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F1F3C" w14:textId="77777777" w:rsidR="001009D4" w:rsidRPr="001009D4" w:rsidRDefault="001009D4" w:rsidP="001009D4">
      <w:pPr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Gill Sans MT" w:hAnsi="Gill Sans MT" w:cs="Arial"/>
          <w:b/>
          <w:sz w:val="40"/>
          <w:szCs w:val="26"/>
        </w:rPr>
      </w:pPr>
      <w:bookmarkStart w:id="0" w:name="_GoBack"/>
      <w:bookmarkEnd w:id="0"/>
      <w:r w:rsidRPr="001009D4">
        <w:rPr>
          <w:rFonts w:ascii="Gill Sans MT" w:hAnsi="Gill Sans MT"/>
          <w:sz w:val="40"/>
          <w:szCs w:val="26"/>
        </w:rPr>
        <w:t xml:space="preserve">MAGISTRATES COURT </w:t>
      </w:r>
      <w:r w:rsidRPr="001009D4">
        <w:rPr>
          <w:rFonts w:ascii="Gill Sans MT" w:hAnsi="Gill Sans MT"/>
          <w:i/>
          <w:sz w:val="40"/>
          <w:szCs w:val="26"/>
        </w:rPr>
        <w:t xml:space="preserve">of </w:t>
      </w:r>
      <w:r w:rsidRPr="001009D4">
        <w:rPr>
          <w:rFonts w:ascii="Gill Sans MT" w:hAnsi="Gill Sans MT"/>
          <w:sz w:val="40"/>
          <w:szCs w:val="26"/>
        </w:rPr>
        <w:t>TASMANIA</w:t>
      </w:r>
    </w:p>
    <w:p w14:paraId="49BE1923" w14:textId="77777777" w:rsidR="001009D4" w:rsidRPr="001009D4" w:rsidRDefault="001009D4" w:rsidP="001009D4">
      <w:pPr>
        <w:tabs>
          <w:tab w:val="left" w:pos="1134"/>
        </w:tabs>
        <w:spacing w:before="120" w:after="0" w:line="240" w:lineRule="auto"/>
        <w:ind w:left="1134" w:hanging="1134"/>
        <w:jc w:val="center"/>
        <w:rPr>
          <w:rFonts w:ascii="Gill Sans MT" w:eastAsia="Times New Roman" w:hAnsi="Gill Sans MT" w:cs="Times New Roman"/>
          <w:b/>
          <w:bCs/>
          <w:sz w:val="32"/>
          <w:szCs w:val="26"/>
        </w:rPr>
      </w:pPr>
      <w:r w:rsidRPr="001009D4">
        <w:rPr>
          <w:rFonts w:ascii="Gill Sans MT" w:eastAsia="Times New Roman" w:hAnsi="Gill Sans MT" w:cs="Times New Roman"/>
          <w:b/>
          <w:bCs/>
          <w:sz w:val="32"/>
          <w:szCs w:val="26"/>
        </w:rPr>
        <w:t>Audio/Visual (Zoom) Conference Booking Request Form</w:t>
      </w:r>
      <w:r w:rsidR="007C7DD7">
        <w:rPr>
          <w:rFonts w:ascii="Gill Sans MT" w:eastAsia="Times New Roman" w:hAnsi="Gill Sans MT" w:cs="Times New Roman"/>
          <w:b/>
          <w:bCs/>
          <w:sz w:val="32"/>
          <w:szCs w:val="26"/>
        </w:rPr>
        <w:t xml:space="preserve"> </w:t>
      </w:r>
    </w:p>
    <w:p w14:paraId="1CD7337A" w14:textId="77777777" w:rsidR="001009D4" w:rsidRPr="001009D4" w:rsidRDefault="001009D4" w:rsidP="001009D4">
      <w:pPr>
        <w:framePr w:hSpace="180" w:wrap="auto" w:vAnchor="text" w:hAnchor="page" w:x="1309" w:y="-1364"/>
        <w:overflowPunct w:val="0"/>
        <w:autoSpaceDE w:val="0"/>
        <w:autoSpaceDN w:val="0"/>
        <w:adjustRightInd w:val="0"/>
        <w:jc w:val="both"/>
        <w:textAlignment w:val="baseline"/>
        <w:rPr>
          <w:rFonts w:ascii="Gill Sans MT" w:hAnsi="Gill Sans MT"/>
          <w:sz w:val="26"/>
          <w:szCs w:val="26"/>
        </w:rPr>
      </w:pPr>
      <w:r w:rsidRPr="001009D4">
        <w:rPr>
          <w:rFonts w:ascii="Gill Sans MT" w:hAnsi="Gill Sans MT"/>
          <w:noProof/>
          <w:sz w:val="18"/>
          <w:szCs w:val="18"/>
          <w:lang w:eastAsia="en-AU"/>
        </w:rPr>
        <w:drawing>
          <wp:inline distT="0" distB="0" distL="0" distR="0" wp14:anchorId="1FC64962" wp14:editId="14F9EA67">
            <wp:extent cx="868680" cy="937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D4BB" w14:textId="544FBB82" w:rsidR="001009D4" w:rsidRPr="001009D4" w:rsidRDefault="00567E7C" w:rsidP="00567E7C">
      <w:pPr>
        <w:spacing w:before="100" w:after="60" w:line="240" w:lineRule="auto"/>
        <w:jc w:val="center"/>
        <w:rPr>
          <w:rFonts w:ascii="Gill Sans MT" w:eastAsia="Times New Roman" w:hAnsi="Gill Sans MT" w:cs="Arial"/>
          <w:b/>
          <w:lang w:val="en-US"/>
        </w:rPr>
      </w:pPr>
      <w:r>
        <w:rPr>
          <w:rFonts w:ascii="Gill Sans MT" w:eastAsia="Times New Roman" w:hAnsi="Gill Sans MT" w:cs="Arial"/>
          <w:b/>
          <w:lang w:val="en-US"/>
        </w:rPr>
        <w:t>N</w:t>
      </w:r>
      <w:r w:rsidR="001009D4" w:rsidRPr="001009D4">
        <w:rPr>
          <w:rFonts w:ascii="Gill Sans MT" w:eastAsia="Times New Roman" w:hAnsi="Gill Sans MT" w:cs="Arial"/>
          <w:b/>
          <w:lang w:val="en-US"/>
        </w:rPr>
        <w:t>o audio fee will be charged until further notice.</w:t>
      </w:r>
    </w:p>
    <w:p w14:paraId="3A8ECF65" w14:textId="77777777" w:rsidR="001009D4" w:rsidRPr="001009D4" w:rsidRDefault="001009D4" w:rsidP="001009D4">
      <w:pPr>
        <w:spacing w:before="100" w:after="60" w:line="240" w:lineRule="auto"/>
        <w:ind w:left="-284"/>
        <w:rPr>
          <w:rFonts w:ascii="Gill Sans MT" w:eastAsia="Times New Roman" w:hAnsi="Gill Sans MT" w:cs="Arial"/>
          <w:b/>
          <w:lang w:val="en-US"/>
        </w:rPr>
      </w:pPr>
      <w:r w:rsidRPr="001009D4">
        <w:rPr>
          <w:rFonts w:ascii="Gill Sans MT" w:eastAsia="Times New Roman" w:hAnsi="Gill Sans MT" w:cs="Arial"/>
          <w:b/>
          <w:lang w:val="en-US"/>
        </w:rPr>
        <w:t>Name of case: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1"/>
        <w:gridCol w:w="3685"/>
        <w:gridCol w:w="1418"/>
        <w:gridCol w:w="3542"/>
      </w:tblGrid>
      <w:tr w:rsidR="007C7DD7" w:rsidRPr="001009D4" w14:paraId="20072751" w14:textId="77777777" w:rsidTr="004F5E2A">
        <w:trPr>
          <w:cantSplit/>
          <w:trHeight w:hRule="exact" w:val="550"/>
          <w:jc w:val="center"/>
        </w:trPr>
        <w:tc>
          <w:tcPr>
            <w:tcW w:w="1561" w:type="dxa"/>
            <w:shd w:val="pct5" w:color="auto" w:fill="FFFFFF"/>
          </w:tcPr>
          <w:p w14:paraId="13B717C8" w14:textId="77777777" w:rsidR="007C7DD7" w:rsidRPr="001009D4" w:rsidRDefault="007C7DD7" w:rsidP="001009D4">
            <w:pPr>
              <w:spacing w:before="60" w:after="60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Matter</w:t>
            </w:r>
          </w:p>
        </w:tc>
        <w:tc>
          <w:tcPr>
            <w:tcW w:w="8645" w:type="dxa"/>
            <w:gridSpan w:val="3"/>
          </w:tcPr>
          <w:p w14:paraId="72180F12" w14:textId="77777777" w:rsidR="007C7DD7" w:rsidRPr="001009D4" w:rsidRDefault="007C7DD7" w:rsidP="001009D4">
            <w:pPr>
              <w:spacing w:before="60" w:after="6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val="fr-FR"/>
              </w:rPr>
            </w:pPr>
          </w:p>
        </w:tc>
      </w:tr>
      <w:tr w:rsidR="001009D4" w:rsidRPr="001009D4" w14:paraId="1938EAF1" w14:textId="77777777" w:rsidTr="000B5A97">
        <w:trPr>
          <w:cantSplit/>
          <w:trHeight w:hRule="exact" w:val="572"/>
          <w:jc w:val="center"/>
        </w:trPr>
        <w:tc>
          <w:tcPr>
            <w:tcW w:w="1561" w:type="dxa"/>
            <w:shd w:val="pct5" w:color="auto" w:fill="FFFFFF"/>
          </w:tcPr>
          <w:p w14:paraId="4D7C18FB" w14:textId="77777777" w:rsidR="001009D4" w:rsidRPr="001009D4" w:rsidRDefault="001009D4" w:rsidP="001009D4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 w:rsidRPr="001009D4">
              <w:rPr>
                <w:rFonts w:ascii="Gill Sans MT" w:hAnsi="Gill Sans MT"/>
                <w:b/>
                <w:bCs/>
                <w:lang w:val="fr-FR"/>
              </w:rPr>
              <w:t>Court File No.:</w:t>
            </w:r>
          </w:p>
        </w:tc>
        <w:tc>
          <w:tcPr>
            <w:tcW w:w="3685" w:type="dxa"/>
          </w:tcPr>
          <w:p w14:paraId="2CD724C2" w14:textId="77777777" w:rsidR="001009D4" w:rsidRPr="001009D4" w:rsidRDefault="001009D4" w:rsidP="001009D4">
            <w:pPr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  <w:tc>
          <w:tcPr>
            <w:tcW w:w="1418" w:type="dxa"/>
            <w:shd w:val="pct5" w:color="auto" w:fill="FFFFFF"/>
          </w:tcPr>
          <w:p w14:paraId="54A9FC91" w14:textId="77777777" w:rsidR="001009D4" w:rsidRPr="001009D4" w:rsidRDefault="007C7DD7" w:rsidP="001009D4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>
              <w:rPr>
                <w:rFonts w:ascii="Gill Sans MT" w:hAnsi="Gill Sans MT"/>
                <w:b/>
                <w:bCs/>
              </w:rPr>
              <w:t>Coroner</w:t>
            </w:r>
            <w:r w:rsidR="001009D4" w:rsidRPr="001009D4">
              <w:rPr>
                <w:rFonts w:ascii="Gill Sans MT" w:hAnsi="Gill Sans MT"/>
                <w:b/>
                <w:bCs/>
                <w:lang w:val="fr-FR"/>
              </w:rPr>
              <w:t>:</w:t>
            </w:r>
          </w:p>
        </w:tc>
        <w:tc>
          <w:tcPr>
            <w:tcW w:w="3542" w:type="dxa"/>
          </w:tcPr>
          <w:p w14:paraId="184B3B91" w14:textId="77777777" w:rsidR="001009D4" w:rsidRPr="001009D4" w:rsidRDefault="001009D4" w:rsidP="001009D4">
            <w:pPr>
              <w:spacing w:before="60" w:after="6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val="fr-FR"/>
              </w:rPr>
            </w:pPr>
          </w:p>
        </w:tc>
      </w:tr>
      <w:tr w:rsidR="001009D4" w:rsidRPr="001009D4" w14:paraId="3A6B6CE5" w14:textId="77777777" w:rsidTr="000B5A97">
        <w:trPr>
          <w:cantSplit/>
          <w:trHeight w:hRule="exact" w:val="572"/>
          <w:jc w:val="center"/>
        </w:trPr>
        <w:tc>
          <w:tcPr>
            <w:tcW w:w="1561" w:type="dxa"/>
            <w:shd w:val="pct5" w:color="auto" w:fill="FFFFFF"/>
          </w:tcPr>
          <w:p w14:paraId="3799DB0B" w14:textId="77777777" w:rsidR="001009D4" w:rsidRPr="001009D4" w:rsidRDefault="001009D4" w:rsidP="001009D4">
            <w:pPr>
              <w:spacing w:before="60" w:after="60"/>
              <w:rPr>
                <w:rFonts w:ascii="Gill Sans MT" w:hAnsi="Gill Sans MT"/>
                <w:b/>
                <w:bCs/>
                <w:lang w:val="fr-FR"/>
              </w:rPr>
            </w:pPr>
            <w:r w:rsidRPr="001009D4">
              <w:rPr>
                <w:rFonts w:ascii="Gill Sans MT" w:hAnsi="Gill Sans MT"/>
                <w:b/>
                <w:bCs/>
                <w:lang w:val="fr-FR"/>
              </w:rPr>
              <w:t>Date listing :</w:t>
            </w:r>
          </w:p>
        </w:tc>
        <w:tc>
          <w:tcPr>
            <w:tcW w:w="3685" w:type="dxa"/>
          </w:tcPr>
          <w:p w14:paraId="24751761" w14:textId="77777777" w:rsidR="001009D4" w:rsidRPr="001009D4" w:rsidRDefault="001009D4" w:rsidP="001009D4">
            <w:pPr>
              <w:spacing w:before="60" w:after="60"/>
              <w:rPr>
                <w:rFonts w:ascii="Gill Sans MT" w:hAnsi="Gill Sans MT"/>
                <w:bCs/>
                <w:lang w:val="fr-FR"/>
              </w:rPr>
            </w:pPr>
          </w:p>
        </w:tc>
        <w:tc>
          <w:tcPr>
            <w:tcW w:w="1418" w:type="dxa"/>
            <w:shd w:val="pct5" w:color="auto" w:fill="FFFFFF"/>
          </w:tcPr>
          <w:p w14:paraId="3B0EAAAC" w14:textId="77777777" w:rsidR="001009D4" w:rsidRPr="001009D4" w:rsidRDefault="001009D4" w:rsidP="001009D4">
            <w:pPr>
              <w:spacing w:before="60" w:after="60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542" w:type="dxa"/>
          </w:tcPr>
          <w:p w14:paraId="3CB6586F" w14:textId="77777777" w:rsidR="001009D4" w:rsidRPr="001009D4" w:rsidRDefault="001009D4" w:rsidP="001009D4">
            <w:pPr>
              <w:spacing w:before="60" w:after="60" w:line="240" w:lineRule="auto"/>
              <w:rPr>
                <w:rFonts w:ascii="Gill Sans MT" w:eastAsia="Times New Roman" w:hAnsi="Gill Sans MT" w:cs="Times New Roman"/>
                <w:bCs/>
                <w:sz w:val="20"/>
                <w:szCs w:val="20"/>
                <w:lang w:val="fr-FR"/>
              </w:rPr>
            </w:pPr>
          </w:p>
        </w:tc>
      </w:tr>
    </w:tbl>
    <w:p w14:paraId="463D6D79" w14:textId="77777777" w:rsidR="001009D4" w:rsidRPr="001009D4" w:rsidRDefault="001009D4" w:rsidP="001009D4">
      <w:pPr>
        <w:rPr>
          <w:rFonts w:ascii="Gill Sans MT" w:hAnsi="Gill Sans MT"/>
          <w:b/>
        </w:rPr>
      </w:pPr>
      <w:r w:rsidRPr="001009D4">
        <w:rPr>
          <w:rFonts w:ascii="Gill Sans MT" w:hAnsi="Gill Sans MT"/>
          <w:b/>
        </w:rPr>
        <w:br/>
        <w:t>Please ensure your phone can accept calls from a private number</w:t>
      </w:r>
    </w:p>
    <w:p w14:paraId="3D9DA475" w14:textId="77777777" w:rsidR="001009D4" w:rsidRPr="001009D4" w:rsidRDefault="001009D4" w:rsidP="001009D4">
      <w:pPr>
        <w:spacing w:before="100" w:after="60" w:line="240" w:lineRule="auto"/>
        <w:ind w:left="-284"/>
        <w:rPr>
          <w:rFonts w:ascii="Gill Sans MT" w:eastAsia="Times New Roman" w:hAnsi="Gill Sans MT" w:cs="Arial"/>
          <w:b/>
          <w:lang w:val="en-US"/>
        </w:rPr>
      </w:pPr>
      <w:r>
        <w:rPr>
          <w:rFonts w:ascii="Gill Sans MT" w:eastAsia="Times New Roman" w:hAnsi="Gill Sans MT" w:cs="Arial"/>
          <w:b/>
          <w:lang w:val="en-US"/>
        </w:rPr>
        <w:t xml:space="preserve">Party </w:t>
      </w:r>
      <w:r w:rsidRPr="001009D4">
        <w:rPr>
          <w:rFonts w:ascii="Gill Sans MT" w:eastAsia="Times New Roman" w:hAnsi="Gill Sans MT" w:cs="Arial"/>
          <w:b/>
          <w:lang w:val="en-US"/>
        </w:rPr>
        <w:t>Details:</w:t>
      </w:r>
      <w:r w:rsidRPr="001009D4">
        <w:rPr>
          <w:rFonts w:ascii="Gill Sans MT" w:eastAsia="Times New Roman" w:hAnsi="Gill Sans MT" w:cs="Arial"/>
          <w:b/>
          <w:lang w:val="en-US"/>
        </w:rPr>
        <w:tab/>
      </w:r>
      <w:r w:rsidRPr="001009D4">
        <w:rPr>
          <w:rFonts w:ascii="Gill Sans MT" w:eastAsia="Times New Roman" w:hAnsi="Gill Sans MT" w:cs="Arial"/>
          <w:b/>
          <w:lang w:val="en-US"/>
        </w:rPr>
        <w:tab/>
        <w:t xml:space="preserve"> </w:t>
      </w:r>
      <w:r w:rsidRPr="001009D4">
        <w:rPr>
          <w:rFonts w:ascii="Gill Sans MT" w:eastAsia="Times New Roman" w:hAnsi="Gill Sans MT" w:cs="Arial"/>
          <w:b/>
          <w:lang w:val="en-US"/>
        </w:rPr>
        <w:sym w:font="Symbol" w:char="F0F0"/>
      </w:r>
      <w:r w:rsidRPr="001009D4">
        <w:rPr>
          <w:rFonts w:ascii="Gill Sans MT" w:eastAsia="Times New Roman" w:hAnsi="Gill Sans MT" w:cs="Arial"/>
          <w:b/>
          <w:lang w:val="en-US"/>
        </w:rPr>
        <w:t xml:space="preserve"> Audio  </w:t>
      </w:r>
      <w:r w:rsidRPr="001009D4">
        <w:rPr>
          <w:rFonts w:ascii="Gill Sans MT" w:eastAsia="Times New Roman" w:hAnsi="Gill Sans MT" w:cs="Arial"/>
          <w:b/>
          <w:lang w:val="en-US"/>
        </w:rPr>
        <w:tab/>
      </w:r>
      <w:r w:rsidRPr="001009D4">
        <w:rPr>
          <w:rFonts w:ascii="Gill Sans MT" w:eastAsia="Times New Roman" w:hAnsi="Gill Sans MT" w:cs="Arial"/>
          <w:b/>
          <w:lang w:val="en-US"/>
        </w:rPr>
        <w:sym w:font="Symbol" w:char="F0F0"/>
      </w:r>
      <w:r w:rsidRPr="001009D4">
        <w:rPr>
          <w:rFonts w:ascii="Gill Sans MT" w:eastAsia="Times New Roman" w:hAnsi="Gill Sans MT" w:cs="Arial"/>
          <w:b/>
          <w:lang w:val="en-US"/>
        </w:rPr>
        <w:t xml:space="preserve"> Visual (Zoom)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916"/>
        <w:gridCol w:w="7290"/>
      </w:tblGrid>
      <w:tr w:rsidR="001009D4" w:rsidRPr="001009D4" w14:paraId="0BF1FDF7" w14:textId="77777777" w:rsidTr="000B5A97">
        <w:tc>
          <w:tcPr>
            <w:tcW w:w="2916" w:type="dxa"/>
            <w:shd w:val="clear" w:color="auto" w:fill="F2F2F2" w:themeFill="background1" w:themeFillShade="F2"/>
          </w:tcPr>
          <w:p w14:paraId="63BAECC0" w14:textId="77777777"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1009D4">
              <w:rPr>
                <w:rFonts w:ascii="Gill Sans MT" w:eastAsia="Times New Roman" w:hAnsi="Gill Sans MT" w:cs="Arial"/>
                <w:lang w:val="en-US"/>
              </w:rPr>
              <w:t>Name:</w:t>
            </w:r>
          </w:p>
        </w:tc>
        <w:tc>
          <w:tcPr>
            <w:tcW w:w="7290" w:type="dxa"/>
          </w:tcPr>
          <w:p w14:paraId="15197032" w14:textId="77777777"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1009D4" w:rsidRPr="001009D4" w14:paraId="13093074" w14:textId="77777777" w:rsidTr="000B5A97">
        <w:tc>
          <w:tcPr>
            <w:tcW w:w="2916" w:type="dxa"/>
            <w:shd w:val="clear" w:color="auto" w:fill="F2F2F2" w:themeFill="background1" w:themeFillShade="F2"/>
          </w:tcPr>
          <w:p w14:paraId="5DA8B15D" w14:textId="77777777"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1009D4">
              <w:rPr>
                <w:rFonts w:ascii="Gill Sans MT" w:eastAsia="Times New Roman" w:hAnsi="Gill Sans MT" w:cs="Arial"/>
                <w:lang w:val="en-US"/>
              </w:rPr>
              <w:t>Direct Mobile:</w:t>
            </w:r>
          </w:p>
        </w:tc>
        <w:tc>
          <w:tcPr>
            <w:tcW w:w="7290" w:type="dxa"/>
          </w:tcPr>
          <w:p w14:paraId="2BA92550" w14:textId="77777777"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1009D4" w:rsidRPr="001009D4" w14:paraId="049F0BA6" w14:textId="77777777" w:rsidTr="000B5A97">
        <w:tc>
          <w:tcPr>
            <w:tcW w:w="2916" w:type="dxa"/>
            <w:shd w:val="clear" w:color="auto" w:fill="F2F2F2" w:themeFill="background1" w:themeFillShade="F2"/>
          </w:tcPr>
          <w:p w14:paraId="62948311" w14:textId="77777777"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1009D4">
              <w:rPr>
                <w:rFonts w:ascii="Gill Sans MT" w:eastAsia="Times New Roman" w:hAnsi="Gill Sans MT" w:cs="Arial"/>
                <w:lang w:val="en-US"/>
              </w:rPr>
              <w:t>Email Address:</w:t>
            </w:r>
          </w:p>
        </w:tc>
        <w:tc>
          <w:tcPr>
            <w:tcW w:w="7290" w:type="dxa"/>
          </w:tcPr>
          <w:p w14:paraId="76751477" w14:textId="77777777" w:rsidR="001009D4" w:rsidRPr="001009D4" w:rsidRDefault="001009D4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7C7DD7" w:rsidRPr="001009D4" w14:paraId="0CE1504B" w14:textId="77777777" w:rsidTr="000B5A97">
        <w:tc>
          <w:tcPr>
            <w:tcW w:w="2916" w:type="dxa"/>
            <w:shd w:val="clear" w:color="auto" w:fill="F2F2F2" w:themeFill="background1" w:themeFillShade="F2"/>
          </w:tcPr>
          <w:p w14:paraId="648EA0DD" w14:textId="77777777"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>
              <w:rPr>
                <w:rFonts w:ascii="Gill Sans MT" w:eastAsia="Times New Roman" w:hAnsi="Gill Sans MT" w:cs="Arial"/>
                <w:lang w:val="en-US"/>
              </w:rPr>
              <w:t>Please complete</w:t>
            </w:r>
          </w:p>
          <w:p w14:paraId="4EBE3C04" w14:textId="77777777"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t>I am:</w:t>
            </w:r>
          </w:p>
          <w:p w14:paraId="73113759" w14:textId="77777777"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547">
              <w:rPr>
                <w:rFonts w:ascii="Gill Sans MT" w:eastAsia="Times New Roman" w:hAnsi="Gill Sans MT" w:cs="Arial"/>
                <w:lang w:val="en-US"/>
              </w:rPr>
              <w:instrText xml:space="preserve"> FORMCHECKBOX </w:instrText>
            </w:r>
            <w:r w:rsidR="00381E79">
              <w:rPr>
                <w:rFonts w:ascii="Gill Sans MT" w:eastAsia="Times New Roman" w:hAnsi="Gill Sans MT" w:cs="Arial"/>
                <w:lang w:val="en-US"/>
              </w:rPr>
            </w:r>
            <w:r w:rsidR="00381E79">
              <w:rPr>
                <w:rFonts w:ascii="Gill Sans MT" w:eastAsia="Times New Roman" w:hAnsi="Gill Sans MT" w:cs="Arial"/>
                <w:lang w:val="en-US"/>
              </w:rPr>
              <w:fldChar w:fldCharType="separate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end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t xml:space="preserve"> the senior next of kin </w:t>
            </w:r>
          </w:p>
          <w:p w14:paraId="76853FA0" w14:textId="77777777"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547">
              <w:rPr>
                <w:rFonts w:ascii="Gill Sans MT" w:eastAsia="Times New Roman" w:hAnsi="Gill Sans MT" w:cs="Arial"/>
                <w:lang w:val="en-US"/>
              </w:rPr>
              <w:instrText xml:space="preserve"> FORMCHECKBOX </w:instrText>
            </w:r>
            <w:r w:rsidR="00381E79">
              <w:rPr>
                <w:rFonts w:ascii="Gill Sans MT" w:eastAsia="Times New Roman" w:hAnsi="Gill Sans MT" w:cs="Arial"/>
                <w:lang w:val="en-US"/>
              </w:rPr>
            </w:r>
            <w:r w:rsidR="00381E79">
              <w:rPr>
                <w:rFonts w:ascii="Gill Sans MT" w:eastAsia="Times New Roman" w:hAnsi="Gill Sans MT" w:cs="Arial"/>
                <w:lang w:val="en-US"/>
              </w:rPr>
              <w:fldChar w:fldCharType="separate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end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t xml:space="preserve"> an interested person </w:t>
            </w:r>
          </w:p>
          <w:p w14:paraId="70E6C559" w14:textId="77777777" w:rsidR="002F1547" w:rsidRPr="002F1547" w:rsidRDefault="002F1547" w:rsidP="002F1547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1547">
              <w:rPr>
                <w:rFonts w:ascii="Gill Sans MT" w:eastAsia="Times New Roman" w:hAnsi="Gill Sans MT" w:cs="Arial"/>
                <w:lang w:val="en-US"/>
              </w:rPr>
              <w:instrText xml:space="preserve"> FORMCHECKBOX </w:instrText>
            </w:r>
            <w:r w:rsidR="00381E79">
              <w:rPr>
                <w:rFonts w:ascii="Gill Sans MT" w:eastAsia="Times New Roman" w:hAnsi="Gill Sans MT" w:cs="Arial"/>
                <w:lang w:val="en-US"/>
              </w:rPr>
            </w:r>
            <w:r w:rsidR="00381E79">
              <w:rPr>
                <w:rFonts w:ascii="Gill Sans MT" w:eastAsia="Times New Roman" w:hAnsi="Gill Sans MT" w:cs="Arial"/>
                <w:lang w:val="en-US"/>
              </w:rPr>
              <w:fldChar w:fldCharType="separate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fldChar w:fldCharType="end"/>
            </w:r>
            <w:r w:rsidRPr="002F1547">
              <w:rPr>
                <w:rFonts w:ascii="Gill Sans MT" w:eastAsia="Times New Roman" w:hAnsi="Gill Sans MT" w:cs="Arial"/>
                <w:lang w:val="en-US"/>
              </w:rPr>
              <w:t xml:space="preserve"> other: (Please state in detail)</w:t>
            </w:r>
          </w:p>
          <w:p w14:paraId="602DDAA5" w14:textId="77777777" w:rsidR="002F1547" w:rsidRPr="001009D4" w:rsidRDefault="002F1547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  <w:tc>
          <w:tcPr>
            <w:tcW w:w="7290" w:type="dxa"/>
          </w:tcPr>
          <w:p w14:paraId="5A29DAC2" w14:textId="77777777" w:rsidR="002F1547" w:rsidRPr="002F1547" w:rsidRDefault="002F1547" w:rsidP="002F1547">
            <w:pPr>
              <w:spacing w:after="240"/>
              <w:rPr>
                <w:rFonts w:ascii="Gill Sans MT" w:eastAsia="Times New Roman" w:hAnsi="Gill Sans MT" w:cs="Arial"/>
                <w:lang w:val="en-US"/>
              </w:rPr>
            </w:pPr>
          </w:p>
          <w:p w14:paraId="12BA371F" w14:textId="77777777" w:rsidR="007C7DD7" w:rsidRPr="001009D4" w:rsidRDefault="007C7DD7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</w:tr>
      <w:tr w:rsidR="002F1547" w:rsidRPr="001009D4" w14:paraId="69101CF6" w14:textId="77777777" w:rsidTr="000B5A97">
        <w:tc>
          <w:tcPr>
            <w:tcW w:w="2916" w:type="dxa"/>
            <w:shd w:val="clear" w:color="auto" w:fill="F2F2F2" w:themeFill="background1" w:themeFillShade="F2"/>
          </w:tcPr>
          <w:p w14:paraId="3AD21148" w14:textId="77777777" w:rsidR="002F1547" w:rsidRDefault="002F1547" w:rsidP="001009D4">
            <w:pPr>
              <w:spacing w:before="100" w:after="60"/>
              <w:rPr>
                <w:rFonts w:ascii="Gill Sans MT" w:eastAsia="Times New Roman" w:hAnsi="Gill Sans MT" w:cs="Arial"/>
                <w:lang w:val="en-US"/>
              </w:rPr>
            </w:pPr>
          </w:p>
        </w:tc>
        <w:tc>
          <w:tcPr>
            <w:tcW w:w="7290" w:type="dxa"/>
          </w:tcPr>
          <w:p w14:paraId="27EDCE4D" w14:textId="77777777" w:rsidR="002F1547" w:rsidRDefault="002F1547" w:rsidP="002F1547">
            <w:pPr>
              <w:spacing w:after="240"/>
              <w:ind w:firstLine="720"/>
              <w:rPr>
                <w:rFonts w:ascii="Gill Sans MT" w:eastAsia="Times New Roman" w:hAnsi="Gill Sans MT" w:cs="Arial"/>
                <w:lang w:val="en-US"/>
              </w:rPr>
            </w:pPr>
          </w:p>
        </w:tc>
      </w:tr>
    </w:tbl>
    <w:p w14:paraId="2A340407" w14:textId="77777777" w:rsidR="001009D4" w:rsidRDefault="001009D4" w:rsidP="001009D4">
      <w:pPr>
        <w:spacing w:before="120" w:after="120"/>
        <w:ind w:left="720"/>
        <w:contextualSpacing/>
        <w:rPr>
          <w:rFonts w:ascii="Gill Sans MT" w:hAnsi="Gill Sans MT"/>
          <w:bCs/>
        </w:rPr>
      </w:pPr>
    </w:p>
    <w:p w14:paraId="288B4148" w14:textId="77777777" w:rsidR="001009D4" w:rsidRPr="001009D4" w:rsidRDefault="001009D4" w:rsidP="001009D4">
      <w:pPr>
        <w:numPr>
          <w:ilvl w:val="0"/>
          <w:numId w:val="3"/>
        </w:numPr>
        <w:spacing w:before="120" w:after="120"/>
        <w:contextualSpacing/>
        <w:rPr>
          <w:rFonts w:ascii="Gill Sans MT" w:hAnsi="Gill Sans MT"/>
          <w:bCs/>
        </w:rPr>
      </w:pPr>
      <w:r w:rsidRPr="001009D4">
        <w:rPr>
          <w:rFonts w:ascii="Gill Sans MT" w:hAnsi="Gill Sans MT"/>
          <w:bCs/>
        </w:rPr>
        <w:t xml:space="preserve">Your booking form is for the court file and your contact details will not be given </w:t>
      </w:r>
      <w:r>
        <w:rPr>
          <w:rFonts w:ascii="Gill Sans MT" w:hAnsi="Gill Sans MT"/>
          <w:bCs/>
        </w:rPr>
        <w:t>to any</w:t>
      </w:r>
      <w:r w:rsidRPr="001009D4">
        <w:rPr>
          <w:rFonts w:ascii="Gill Sans MT" w:hAnsi="Gill Sans MT"/>
          <w:bCs/>
        </w:rPr>
        <w:t xml:space="preserve"> other party.</w:t>
      </w:r>
    </w:p>
    <w:p w14:paraId="01543E9A" w14:textId="77777777" w:rsidR="001009D4" w:rsidRPr="001009D4" w:rsidRDefault="001009D4" w:rsidP="001009D4">
      <w:pPr>
        <w:numPr>
          <w:ilvl w:val="0"/>
          <w:numId w:val="2"/>
        </w:numPr>
        <w:spacing w:before="120" w:after="120" w:line="240" w:lineRule="auto"/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</w:pPr>
      <w:r w:rsidRPr="001009D4"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  <w:t xml:space="preserve">Fill in the Audio/Visual (Zoom) Booking Form and email it to the court </w:t>
      </w:r>
      <w:r w:rsidRPr="001009D4">
        <w:rPr>
          <w:rFonts w:ascii="Gill Sans MT" w:hAnsi="Gill Sans MT"/>
          <w:bCs/>
        </w:rPr>
        <w:t xml:space="preserve">at least two days before </w:t>
      </w:r>
      <w:r w:rsidR="007C7DD7">
        <w:rPr>
          <w:rFonts w:ascii="Gill Sans MT" w:hAnsi="Gill Sans MT"/>
          <w:bCs/>
        </w:rPr>
        <w:t xml:space="preserve">the matter is scheduled in </w:t>
      </w:r>
      <w:r w:rsidRPr="001009D4">
        <w:rPr>
          <w:rFonts w:ascii="Gill Sans MT" w:hAnsi="Gill Sans MT"/>
          <w:bCs/>
        </w:rPr>
        <w:t>court so that you can appear by audio/visual (zoom) link.</w:t>
      </w:r>
    </w:p>
    <w:p w14:paraId="17F24C73" w14:textId="77777777" w:rsidR="001009D4" w:rsidRPr="001009D4" w:rsidRDefault="001009D4" w:rsidP="001009D4">
      <w:pPr>
        <w:numPr>
          <w:ilvl w:val="0"/>
          <w:numId w:val="2"/>
        </w:numPr>
        <w:spacing w:before="120" w:after="120" w:line="240" w:lineRule="auto"/>
        <w:rPr>
          <w:rFonts w:ascii="Gill Sans MT" w:eastAsia="Times New Roman" w:hAnsi="Gill Sans MT" w:cs="Times New Roman"/>
          <w:bCs/>
          <w:color w:val="000000"/>
          <w:kern w:val="36"/>
          <w:lang w:eastAsia="en-AU"/>
        </w:rPr>
      </w:pPr>
      <w:r>
        <w:rPr>
          <w:rFonts w:ascii="Gill Sans MT" w:hAnsi="Gill Sans MT"/>
          <w:bCs/>
        </w:rPr>
        <w:t xml:space="preserve">Complete and sign the acknowledgement </w:t>
      </w:r>
      <w:r w:rsidRPr="001009D4">
        <w:rPr>
          <w:rFonts w:ascii="Gill Sans MT" w:hAnsi="Gill Sans MT"/>
        </w:rPr>
        <w:t xml:space="preserve">of Section 11 of the </w:t>
      </w:r>
      <w:r w:rsidRPr="001009D4">
        <w:rPr>
          <w:rFonts w:ascii="Gill Sans MT" w:hAnsi="Gill Sans MT"/>
          <w:i/>
        </w:rPr>
        <w:t>Court Security Act 2017</w:t>
      </w:r>
      <w:r>
        <w:rPr>
          <w:rFonts w:ascii="Gill Sans MT" w:hAnsi="Gill Sans MT"/>
          <w:i/>
        </w:rPr>
        <w:t xml:space="preserve"> </w:t>
      </w:r>
      <w:r w:rsidRPr="002C6883">
        <w:rPr>
          <w:rFonts w:ascii="Gill Sans MT" w:hAnsi="Gill Sans MT"/>
        </w:rPr>
        <w:t>below</w:t>
      </w:r>
    </w:p>
    <w:p w14:paraId="456B9B97" w14:textId="77777777" w:rsidR="0031262D" w:rsidRDefault="0031262D" w:rsidP="0031262D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  <w:lang w:eastAsia="en-US"/>
        </w:rPr>
      </w:pPr>
      <w:r>
        <w:rPr>
          <w:rFonts w:ascii="Gill Sans MT" w:hAnsi="Gill Sans MT"/>
          <w:sz w:val="22"/>
          <w:szCs w:val="22"/>
          <w:lang w:eastAsia="en-US"/>
        </w:rPr>
        <w:t>If you attend a Zoom or audio link you must mute your microphone during the proceedings and you must switch your camera off.</w:t>
      </w:r>
    </w:p>
    <w:p w14:paraId="4C3CBD98" w14:textId="77777777" w:rsidR="001009D4" w:rsidRPr="001009D4" w:rsidRDefault="001009D4" w:rsidP="001009D4">
      <w:pPr>
        <w:numPr>
          <w:ilvl w:val="0"/>
          <w:numId w:val="1"/>
        </w:numPr>
        <w:spacing w:before="120" w:after="120"/>
        <w:ind w:left="714" w:hanging="357"/>
        <w:rPr>
          <w:rFonts w:ascii="Gill Sans MT" w:hAnsi="Gill Sans MT"/>
          <w:bCs/>
          <w:lang w:val="en-GB"/>
        </w:rPr>
      </w:pPr>
      <w:r w:rsidRPr="001009D4">
        <w:rPr>
          <w:rFonts w:ascii="Gill Sans MT" w:hAnsi="Gill Sans MT"/>
          <w:bCs/>
        </w:rPr>
        <w:t>If you are not able to email the form, telephone the relevant court registry on the number below.</w:t>
      </w:r>
    </w:p>
    <w:p w14:paraId="5142482F" w14:textId="77777777" w:rsidR="001009D4" w:rsidRPr="001009D4" w:rsidRDefault="007C7DD7" w:rsidP="007C7DD7">
      <w:pPr>
        <w:numPr>
          <w:ilvl w:val="1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Gill Sans MT" w:hAnsi="Gill Sans MT"/>
        </w:rPr>
      </w:pPr>
      <w:r w:rsidRPr="007C7DD7">
        <w:rPr>
          <w:rFonts w:ascii="Gill Sans MT" w:hAnsi="Gill Sans MT"/>
        </w:rPr>
        <w:t xml:space="preserve">Coroners Hobart </w:t>
      </w:r>
      <w:hyperlink r:id="rId8" w:history="1">
        <w:r w:rsidRPr="0082624E">
          <w:rPr>
            <w:rStyle w:val="Hyperlink"/>
            <w:rFonts w:ascii="Gill Sans MT" w:hAnsi="Gill Sans MT"/>
          </w:rPr>
          <w:t>Coroners.Hbt@justice.tas.gov.au</w:t>
        </w:r>
      </w:hyperlink>
      <w:r>
        <w:tab/>
      </w:r>
      <w:r>
        <w:tab/>
      </w:r>
      <w:r w:rsidRPr="001009D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(03) 616 57134</w:t>
      </w:r>
    </w:p>
    <w:p w14:paraId="76D8165A" w14:textId="77777777" w:rsidR="007C7DD7" w:rsidRDefault="007C7DD7">
      <w:r>
        <w:br w:type="page"/>
      </w:r>
    </w:p>
    <w:p w14:paraId="5ADE6E62" w14:textId="77777777" w:rsidR="001009D4" w:rsidRDefault="001009D4" w:rsidP="001009D4">
      <w:pPr>
        <w:spacing w:before="100" w:beforeAutospacing="1" w:after="100" w:afterAutospacing="1" w:line="240" w:lineRule="auto"/>
      </w:pPr>
    </w:p>
    <w:p w14:paraId="223D90D3" w14:textId="77777777" w:rsidR="001009D4" w:rsidRPr="001009D4" w:rsidRDefault="001009D4" w:rsidP="001009D4">
      <w:pPr>
        <w:spacing w:before="100" w:beforeAutospacing="1" w:after="100" w:afterAutospacing="1"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</w:t>
      </w:r>
      <w:r w:rsidRPr="001009D4">
        <w:rPr>
          <w:rFonts w:ascii="Gill Sans MT" w:hAnsi="Gill Sans MT"/>
          <w:b/>
        </w:rPr>
        <w:t xml:space="preserve">cknowledgement of Section 11 of the </w:t>
      </w:r>
      <w:r w:rsidRPr="001009D4">
        <w:rPr>
          <w:rFonts w:ascii="Gill Sans MT" w:hAnsi="Gill Sans MT"/>
          <w:b/>
          <w:i/>
        </w:rPr>
        <w:t>Court Security Act 2017</w:t>
      </w:r>
      <w:r w:rsidRPr="001009D4">
        <w:rPr>
          <w:rFonts w:ascii="Gill Sans MT" w:hAnsi="Gill Sans MT"/>
          <w:b/>
        </w:rPr>
        <w:t>:</w:t>
      </w:r>
    </w:p>
    <w:p w14:paraId="2EE9C5B8" w14:textId="77777777" w:rsidR="001009D4" w:rsidRPr="001009D4" w:rsidRDefault="001009D4" w:rsidP="001009D4">
      <w:pPr>
        <w:spacing w:before="160" w:after="1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b/>
          <w:bCs/>
          <w:color w:val="000000"/>
          <w:lang w:val="en"/>
        </w:rPr>
        <w:t>11.</w:t>
      </w:r>
      <w:r w:rsidRPr="001009D4">
        <w:rPr>
          <w:rFonts w:ascii="Gill Sans MT" w:hAnsi="Gill Sans MT"/>
          <w:color w:val="000000"/>
          <w:lang w:val="en"/>
        </w:rPr>
        <w:t>   </w:t>
      </w:r>
      <w:r w:rsidRPr="001009D4">
        <w:rPr>
          <w:rFonts w:ascii="Gill Sans MT" w:hAnsi="Gill Sans MT"/>
          <w:b/>
          <w:bCs/>
          <w:color w:val="000000"/>
          <w:lang w:val="en"/>
        </w:rPr>
        <w:t>Use of electronic and recording devices in principal court premises</w:t>
      </w:r>
    </w:p>
    <w:p w14:paraId="5953003B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1" w:name="GS11@Gs1@EN"/>
      <w:bookmarkEnd w:id="1"/>
      <w:r w:rsidRPr="001009D4">
        <w:rPr>
          <w:rFonts w:ascii="Gill Sans MT" w:hAnsi="Gill Sans MT"/>
          <w:color w:val="000000"/>
          <w:lang w:val="en"/>
        </w:rPr>
        <w:t>(1)  In this section –</w:t>
      </w:r>
    </w:p>
    <w:p w14:paraId="603CAFD9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proofErr w:type="gramStart"/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>principal</w:t>
      </w:r>
      <w:proofErr w:type="gramEnd"/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 xml:space="preserve"> court premises</w:t>
      </w:r>
      <w:r w:rsidRPr="001009D4">
        <w:rPr>
          <w:rFonts w:ascii="Gill Sans MT" w:hAnsi="Gill Sans MT"/>
          <w:color w:val="000000"/>
          <w:lang w:val="en"/>
        </w:rPr>
        <w:t xml:space="preserve"> means – </w:t>
      </w:r>
      <w:bookmarkStart w:id="2" w:name="GS11@Gs1@Nd205200983311@Hpa@EN"/>
      <w:bookmarkEnd w:id="2"/>
    </w:p>
    <w:p w14:paraId="1332FE90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(a) a courtroom; and</w:t>
      </w:r>
    </w:p>
    <w:p w14:paraId="265C8EEA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3" w:name="GS11@Gs1@Nd205200983311@Hpb@EN"/>
      <w:bookmarkEnd w:id="3"/>
      <w:r w:rsidRPr="001009D4">
        <w:rPr>
          <w:rFonts w:ascii="Gill Sans MT" w:hAnsi="Gill Sans MT"/>
          <w:color w:val="000000"/>
          <w:lang w:val="en"/>
        </w:rPr>
        <w:t>(b) a part of premises, or a place, being used to enable a person at a different location to appear before the court by means of audio, or audio-visual, communication; and</w:t>
      </w:r>
    </w:p>
    <w:p w14:paraId="47E36E1D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4" w:name="GS11@Gs1@Nd205200983311@Hpc@EN"/>
      <w:bookmarkEnd w:id="4"/>
      <w:r w:rsidRPr="001009D4">
        <w:rPr>
          <w:rFonts w:ascii="Gill Sans MT" w:hAnsi="Gill Sans MT"/>
          <w:color w:val="000000"/>
          <w:lang w:val="en"/>
        </w:rPr>
        <w:t xml:space="preserve">(c) </w:t>
      </w:r>
      <w:proofErr w:type="gramStart"/>
      <w:r w:rsidRPr="001009D4">
        <w:rPr>
          <w:rFonts w:ascii="Gill Sans MT" w:hAnsi="Gill Sans MT"/>
          <w:color w:val="000000"/>
          <w:lang w:val="en"/>
        </w:rPr>
        <w:t>a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place at which a view, hearing or the taking of evidence is being carried out in relation to proceedings before a court;</w:t>
      </w:r>
    </w:p>
    <w:p w14:paraId="7B0436D5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>relevant restrictions or permissions</w:t>
      </w:r>
      <w:r w:rsidRPr="001009D4">
        <w:rPr>
          <w:rFonts w:ascii="Gill Sans MT" w:hAnsi="Gill Sans MT"/>
          <w:color w:val="000000"/>
          <w:lang w:val="en"/>
        </w:rPr>
        <w:t xml:space="preserve"> means – </w:t>
      </w:r>
      <w:bookmarkStart w:id="5" w:name="GS11@Gs1@Nd282016244611@Hpa@EN"/>
      <w:bookmarkEnd w:id="5"/>
    </w:p>
    <w:p w14:paraId="6BB88396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(a) directions given by a judicial officer or security officer; and</w:t>
      </w:r>
    </w:p>
    <w:p w14:paraId="209CF539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6" w:name="GS11@Gs1@Nd282016244611@Hpb@EN"/>
      <w:bookmarkEnd w:id="6"/>
      <w:r w:rsidRPr="001009D4">
        <w:rPr>
          <w:rFonts w:ascii="Gill Sans MT" w:hAnsi="Gill Sans MT"/>
          <w:color w:val="000000"/>
          <w:lang w:val="en"/>
        </w:rPr>
        <w:t xml:space="preserve">(b) </w:t>
      </w:r>
      <w:proofErr w:type="gramStart"/>
      <w:r w:rsidRPr="001009D4">
        <w:rPr>
          <w:rFonts w:ascii="Gill Sans MT" w:hAnsi="Gill Sans MT"/>
          <w:color w:val="000000"/>
          <w:lang w:val="en"/>
        </w:rPr>
        <w:t>any</w:t>
      </w:r>
      <w:proofErr w:type="gramEnd"/>
      <w:r w:rsidRPr="001009D4">
        <w:rPr>
          <w:rFonts w:ascii="Gill Sans MT" w:hAnsi="Gill Sans MT"/>
          <w:color w:val="000000"/>
          <w:lang w:val="en"/>
        </w:rPr>
        <w:t xml:space="preserve"> guidelines or practice directions issued or given by a judicial officer or under an Act;</w:t>
      </w:r>
    </w:p>
    <w:p w14:paraId="40785C8E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b/>
          <w:bCs/>
          <w:i/>
          <w:iCs/>
          <w:color w:val="000000"/>
          <w:lang w:val="en"/>
        </w:rPr>
        <w:t>use</w:t>
      </w:r>
      <w:r w:rsidRPr="001009D4">
        <w:rPr>
          <w:rFonts w:ascii="Gill Sans MT" w:hAnsi="Gill Sans MT"/>
          <w:color w:val="000000"/>
          <w:lang w:val="en"/>
        </w:rPr>
        <w:t>, in relation to an electronic device or a recording device, includes record, transmit and record and transmit.</w:t>
      </w:r>
    </w:p>
    <w:p w14:paraId="64838D0C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7" w:name="GS11@Gs2@EN"/>
      <w:bookmarkEnd w:id="7"/>
      <w:r w:rsidRPr="001009D4">
        <w:rPr>
          <w:rFonts w:ascii="Gill Sans MT" w:hAnsi="Gill Sans MT"/>
          <w:color w:val="000000"/>
          <w:lang w:val="en"/>
        </w:rPr>
        <w:t>(2)  A person must not use an electronic device, or a recording device, in principal court premises.</w:t>
      </w:r>
    </w:p>
    <w:p w14:paraId="25C700EB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Penalty:  Fine not exceeding 50 penalty units.</w:t>
      </w:r>
    </w:p>
    <w:p w14:paraId="5E7AFF00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8" w:name="GS11@Gs3@EN"/>
      <w:bookmarkEnd w:id="8"/>
      <w:r w:rsidRPr="001009D4">
        <w:rPr>
          <w:rFonts w:ascii="Gill Sans MT" w:hAnsi="Gill Sans MT"/>
          <w:color w:val="000000"/>
          <w:lang w:val="en"/>
        </w:rPr>
        <w:t xml:space="preserve">(3)  </w:t>
      </w:r>
      <w:hyperlink r:id="rId9" w:anchor="GS11@Gs2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Subsection (2)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does not apply in respect of the use of an electronic device, or a recording device, in principal court premises by –</w:t>
      </w:r>
      <w:bookmarkStart w:id="9" w:name="GS11@Gs3@Hpa@EN"/>
      <w:bookmarkEnd w:id="9"/>
    </w:p>
    <w:p w14:paraId="2F9595B7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(a) a judicial officer; or</w:t>
      </w:r>
    </w:p>
    <w:p w14:paraId="189D6AD8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0" w:name="GS11@Gs3@Hpb@EN"/>
      <w:bookmarkEnd w:id="10"/>
      <w:r w:rsidRPr="001009D4">
        <w:rPr>
          <w:rFonts w:ascii="Gill Sans MT" w:hAnsi="Gill Sans MT"/>
          <w:color w:val="000000"/>
          <w:lang w:val="en"/>
        </w:rPr>
        <w:t>(b) a person employed or engaged by or on behalf of the Crown for the purposes of the court.</w:t>
      </w:r>
    </w:p>
    <w:p w14:paraId="6A18A061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11" w:name="GS11@Gs4@EN"/>
      <w:bookmarkEnd w:id="11"/>
      <w:r w:rsidRPr="001009D4">
        <w:rPr>
          <w:rFonts w:ascii="Gill Sans MT" w:hAnsi="Gill Sans MT"/>
          <w:color w:val="000000"/>
          <w:lang w:val="en"/>
        </w:rPr>
        <w:t xml:space="preserve">(4)  </w:t>
      </w:r>
      <w:hyperlink r:id="rId10" w:anchor="GS11@Gs2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Subsection (2)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does not apply in respect of the use of an electronic device, or a recording device, if –</w:t>
      </w:r>
      <w:bookmarkStart w:id="12" w:name="GS11@Gs4@Hpa@EN"/>
      <w:bookmarkEnd w:id="12"/>
    </w:p>
    <w:p w14:paraId="4DCDA71E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(a) the use of the device has been expressly permitted by a judicial officer and is in accordance with the relevant restrictions or permissions; or</w:t>
      </w:r>
    </w:p>
    <w:p w14:paraId="659109BB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3" w:name="GS11@Gs4@Hpb@EN"/>
      <w:bookmarkEnd w:id="13"/>
      <w:r w:rsidRPr="001009D4">
        <w:rPr>
          <w:rFonts w:ascii="Gill Sans MT" w:hAnsi="Gill Sans MT"/>
          <w:color w:val="000000"/>
          <w:lang w:val="en"/>
        </w:rPr>
        <w:t xml:space="preserve">(b) the use is in accordance with the relevant restrictions or permissions and is made by – </w:t>
      </w:r>
      <w:bookmarkStart w:id="14" w:name="GS11@Gs4@Hpb@Hqi@EN"/>
      <w:bookmarkEnd w:id="14"/>
    </w:p>
    <w:p w14:paraId="082F30FD" w14:textId="77777777" w:rsidR="001009D4" w:rsidRPr="001009D4" w:rsidRDefault="001009D4" w:rsidP="001009D4">
      <w:pPr>
        <w:ind w:left="144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(i) an Australian legal practitioner, a prosecutor or an officer of the court, for the purpose of conducting his or her work as such a practitioner, prosecutor or officer; or</w:t>
      </w:r>
    </w:p>
    <w:p w14:paraId="15771C86" w14:textId="77777777" w:rsidR="001009D4" w:rsidRPr="001009D4" w:rsidRDefault="001009D4" w:rsidP="001009D4">
      <w:pPr>
        <w:ind w:left="1440"/>
        <w:rPr>
          <w:rFonts w:ascii="Gill Sans MT" w:hAnsi="Gill Sans MT"/>
          <w:color w:val="000000"/>
          <w:lang w:val="en"/>
        </w:rPr>
      </w:pPr>
      <w:bookmarkStart w:id="15" w:name="GS11@Gs4@Hpb@Hqii@EN"/>
      <w:bookmarkEnd w:id="15"/>
      <w:r w:rsidRPr="001009D4">
        <w:rPr>
          <w:rFonts w:ascii="Gill Sans MT" w:hAnsi="Gill Sans MT"/>
          <w:color w:val="000000"/>
          <w:lang w:val="en"/>
        </w:rPr>
        <w:t xml:space="preserve">(ii) a journalist who is engaged in the profession or practice referred to in </w:t>
      </w:r>
      <w:hyperlink r:id="rId11" w:anchor="GS3@Nd2052009133311@Hpa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paragraph (a)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of the </w:t>
      </w:r>
      <w:hyperlink r:id="rId12" w:anchor="GS3@Nd2052009133311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definition of </w:t>
        </w:r>
        <w:r w:rsidRPr="001009D4">
          <w:rPr>
            <w:rStyle w:val="Hyperlink"/>
            <w:rFonts w:ascii="Gill Sans MT" w:hAnsi="Gill Sans MT"/>
            <w:b/>
            <w:bCs/>
            <w:i/>
            <w:iCs/>
            <w:color w:val="0076BD"/>
            <w:lang w:val="en"/>
          </w:rPr>
          <w:t>journalist</w:t>
        </w:r>
      </w:hyperlink>
      <w:r w:rsidRPr="001009D4">
        <w:rPr>
          <w:rFonts w:ascii="Gill Sans MT" w:hAnsi="Gill Sans MT"/>
          <w:color w:val="000000"/>
          <w:lang w:val="en"/>
        </w:rPr>
        <w:t xml:space="preserve"> in </w:t>
      </w:r>
      <w:hyperlink r:id="rId13" w:anchor="GS3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section 3</w:t>
        </w:r>
      </w:hyperlink>
      <w:r w:rsidRPr="001009D4">
        <w:rPr>
          <w:rFonts w:ascii="Gill Sans MT" w:hAnsi="Gill Sans MT"/>
          <w:color w:val="000000"/>
          <w:lang w:val="en"/>
        </w:rPr>
        <w:t xml:space="preserve"> ; or </w:t>
      </w:r>
    </w:p>
    <w:p w14:paraId="158E0684" w14:textId="77777777" w:rsid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6" w:name="GS11@Gs4@Hpc@EN"/>
      <w:bookmarkEnd w:id="16"/>
      <w:r w:rsidRPr="001009D4">
        <w:rPr>
          <w:rFonts w:ascii="Gill Sans MT" w:hAnsi="Gill Sans MT"/>
          <w:color w:val="000000"/>
          <w:lang w:val="en"/>
        </w:rPr>
        <w:t>(c) the use is made in other circumstances prescribed by the regulations and is in accordance with the relevant restrictions or permissions.</w:t>
      </w:r>
    </w:p>
    <w:p w14:paraId="049CB486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</w:p>
    <w:p w14:paraId="0AC61F7F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17" w:name="GS11@Gs5@EN"/>
      <w:bookmarkEnd w:id="17"/>
      <w:r w:rsidRPr="001009D4">
        <w:rPr>
          <w:rFonts w:ascii="Gill Sans MT" w:hAnsi="Gill Sans MT"/>
          <w:color w:val="000000"/>
          <w:lang w:val="en"/>
        </w:rPr>
        <w:lastRenderedPageBreak/>
        <w:t xml:space="preserve">(5)  </w:t>
      </w:r>
      <w:hyperlink r:id="rId14" w:anchor="GS11@Gs4@EN" w:history="1">
        <w:r w:rsidRPr="001009D4">
          <w:rPr>
            <w:rStyle w:val="Hyperlink"/>
            <w:rFonts w:ascii="Gill Sans MT" w:hAnsi="Gill Sans MT"/>
            <w:color w:val="0076BD"/>
            <w:lang w:val="en"/>
          </w:rPr>
          <w:t>Subsection (4)</w:t>
        </w:r>
      </w:hyperlink>
      <w:r w:rsidRPr="001009D4">
        <w:rPr>
          <w:rFonts w:ascii="Gill Sans MT" w:hAnsi="Gill Sans MT"/>
          <w:color w:val="000000"/>
          <w:lang w:val="en"/>
        </w:rPr>
        <w:t xml:space="preserve"> does not apply in relation to a use of an electronic device, or a recording device, if the use – </w:t>
      </w:r>
      <w:bookmarkStart w:id="18" w:name="GS11@Gs5@Hpa@EN"/>
      <w:bookmarkEnd w:id="18"/>
    </w:p>
    <w:p w14:paraId="6DB3020F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(a) interferes with the court recording system or other technology; or</w:t>
      </w:r>
    </w:p>
    <w:p w14:paraId="0762D8C3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19" w:name="GS11@Gs5@Hpb@EN"/>
      <w:bookmarkEnd w:id="19"/>
      <w:r w:rsidRPr="001009D4">
        <w:rPr>
          <w:rFonts w:ascii="Gill Sans MT" w:hAnsi="Gill Sans MT"/>
          <w:color w:val="000000"/>
          <w:lang w:val="en"/>
        </w:rPr>
        <w:t>(b) interferes with court decorum, is inconsistent with the functions of a court or otherwise impedes the administration of justice; or</w:t>
      </w:r>
    </w:p>
    <w:p w14:paraId="7622661C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0" w:name="GS11@Gs5@Hpc@EN"/>
      <w:bookmarkEnd w:id="20"/>
      <w:r w:rsidRPr="001009D4">
        <w:rPr>
          <w:rFonts w:ascii="Gill Sans MT" w:hAnsi="Gill Sans MT"/>
          <w:color w:val="000000"/>
          <w:lang w:val="en"/>
        </w:rPr>
        <w:t>(c) generates electronic sound or involves speech; or</w:t>
      </w:r>
    </w:p>
    <w:p w14:paraId="20B445FF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1" w:name="GS11@Gs5@Hpd@EN"/>
      <w:bookmarkEnd w:id="21"/>
      <w:r w:rsidRPr="001009D4">
        <w:rPr>
          <w:rFonts w:ascii="Gill Sans MT" w:hAnsi="Gill Sans MT"/>
          <w:color w:val="000000"/>
          <w:lang w:val="en"/>
        </w:rPr>
        <w:t>(d) consists of the taking of photographs or video images; or</w:t>
      </w:r>
    </w:p>
    <w:p w14:paraId="3EEE0AFF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2" w:name="GS11@Gs5@Hpe@EN"/>
      <w:bookmarkEnd w:id="22"/>
      <w:r w:rsidRPr="001009D4">
        <w:rPr>
          <w:rFonts w:ascii="Gill Sans MT" w:hAnsi="Gill Sans MT"/>
          <w:color w:val="000000"/>
          <w:lang w:val="en"/>
        </w:rPr>
        <w:t>(e) consists of the recording or digital transcription of the proceedings.</w:t>
      </w:r>
    </w:p>
    <w:p w14:paraId="4D28BDCA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bookmarkStart w:id="23" w:name="GS11@Gs6@EN"/>
      <w:bookmarkEnd w:id="23"/>
      <w:r w:rsidRPr="001009D4">
        <w:rPr>
          <w:rFonts w:ascii="Gill Sans MT" w:hAnsi="Gill Sans MT"/>
          <w:color w:val="000000"/>
          <w:lang w:val="en"/>
        </w:rPr>
        <w:t xml:space="preserve">(6)  A person must not, without the consent of a judicial officer, publish – </w:t>
      </w:r>
      <w:bookmarkStart w:id="24" w:name="GS11@Gs6@Hpa@EN"/>
      <w:bookmarkEnd w:id="24"/>
    </w:p>
    <w:p w14:paraId="2F05D077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(a) a photograph, or a video image, that was taken in principal court premises; or</w:t>
      </w:r>
    </w:p>
    <w:p w14:paraId="0D1B3628" w14:textId="77777777" w:rsidR="001009D4" w:rsidRPr="001009D4" w:rsidRDefault="001009D4" w:rsidP="001009D4">
      <w:pPr>
        <w:ind w:left="720"/>
        <w:rPr>
          <w:rFonts w:ascii="Gill Sans MT" w:hAnsi="Gill Sans MT"/>
          <w:color w:val="000000"/>
          <w:lang w:val="en"/>
        </w:rPr>
      </w:pPr>
      <w:bookmarkStart w:id="25" w:name="GS11@Gs6@Hpb@EN"/>
      <w:bookmarkEnd w:id="25"/>
      <w:r w:rsidRPr="001009D4">
        <w:rPr>
          <w:rFonts w:ascii="Gill Sans MT" w:hAnsi="Gill Sans MT"/>
          <w:color w:val="000000"/>
          <w:lang w:val="en"/>
        </w:rPr>
        <w:t>(b) a recording, by an electronic device or a recording device, of all or part of proceedings in principal court premises.</w:t>
      </w:r>
    </w:p>
    <w:p w14:paraId="67F95699" w14:textId="77777777" w:rsidR="001009D4" w:rsidRPr="001009D4" w:rsidRDefault="001009D4" w:rsidP="001009D4">
      <w:pPr>
        <w:rPr>
          <w:rFonts w:ascii="Gill Sans MT" w:hAnsi="Gill Sans MT"/>
          <w:color w:val="000000"/>
          <w:lang w:val="en"/>
        </w:rPr>
      </w:pPr>
      <w:r w:rsidRPr="001009D4">
        <w:rPr>
          <w:rFonts w:ascii="Gill Sans MT" w:hAnsi="Gill Sans MT"/>
          <w:color w:val="000000"/>
          <w:lang w:val="en"/>
        </w:rPr>
        <w:t>Penalty:  Fine not exceeding 50 penalty units.</w:t>
      </w:r>
    </w:p>
    <w:p w14:paraId="637C2304" w14:textId="77777777" w:rsidR="001009D4" w:rsidRDefault="001009D4" w:rsidP="001009D4">
      <w:pPr>
        <w:spacing w:before="100" w:beforeAutospacing="1" w:after="100" w:afterAutospacing="1" w:line="240" w:lineRule="auto"/>
      </w:pPr>
    </w:p>
    <w:p w14:paraId="2C583ED3" w14:textId="77777777" w:rsidR="001009D4" w:rsidRDefault="001009D4" w:rsidP="001009D4">
      <w:pPr>
        <w:spacing w:before="100" w:beforeAutospacing="1" w:after="100" w:afterAutospacing="1" w:line="240" w:lineRule="auto"/>
      </w:pPr>
    </w:p>
    <w:p w14:paraId="506EED7B" w14:textId="77777777" w:rsidR="001009D4" w:rsidRDefault="001009D4" w:rsidP="001009D4">
      <w:pPr>
        <w:spacing w:before="100" w:beforeAutospacing="1" w:after="100" w:afterAutospacing="1" w:line="240" w:lineRule="auto"/>
      </w:pPr>
    </w:p>
    <w:p w14:paraId="4A9976CD" w14:textId="77777777" w:rsidR="001009D4" w:rsidRPr="001009D4" w:rsidRDefault="001009D4" w:rsidP="001009D4">
      <w:pPr>
        <w:spacing w:before="100" w:beforeAutospacing="1" w:after="100" w:afterAutospacing="1" w:line="240" w:lineRule="auto"/>
        <w:rPr>
          <w:rFonts w:ascii="Gill Sans MT" w:hAnsi="Gill Sans MT"/>
          <w:i/>
        </w:rPr>
      </w:pPr>
      <w:r w:rsidRPr="001009D4">
        <w:rPr>
          <w:rFonts w:ascii="Gill Sans MT" w:hAnsi="Gill Sans MT"/>
        </w:rPr>
        <w:t xml:space="preserve">I acknowledge the terms and conditions </w:t>
      </w:r>
      <w:r w:rsidR="002C6883">
        <w:rPr>
          <w:rFonts w:ascii="Gill Sans MT" w:hAnsi="Gill Sans MT"/>
        </w:rPr>
        <w:t xml:space="preserve">as </w:t>
      </w:r>
      <w:r w:rsidRPr="001009D4">
        <w:rPr>
          <w:rFonts w:ascii="Gill Sans MT" w:hAnsi="Gill Sans MT"/>
        </w:rPr>
        <w:t xml:space="preserve">set out in Section 11 of the </w:t>
      </w:r>
      <w:r w:rsidRPr="001009D4">
        <w:rPr>
          <w:rFonts w:ascii="Gill Sans MT" w:hAnsi="Gill Sans MT"/>
          <w:i/>
        </w:rPr>
        <w:t>Court Security Act 2017</w:t>
      </w:r>
    </w:p>
    <w:p w14:paraId="7C6F7E9F" w14:textId="77777777" w:rsidR="001009D4" w:rsidRDefault="001009D4" w:rsidP="001009D4">
      <w:pPr>
        <w:spacing w:before="100" w:beforeAutospacing="1" w:after="100" w:afterAutospacing="1" w:line="240" w:lineRule="auto"/>
      </w:pPr>
    </w:p>
    <w:p w14:paraId="5C598608" w14:textId="77777777" w:rsidR="001009D4" w:rsidRDefault="001009D4" w:rsidP="001009D4">
      <w:pPr>
        <w:spacing w:before="100" w:beforeAutospacing="1" w:after="100" w:afterAutospacing="1" w:line="240" w:lineRule="auto"/>
      </w:pPr>
      <w:r>
        <w:t>SIGNED: _______________________________________</w:t>
      </w:r>
    </w:p>
    <w:p w14:paraId="7177CCE0" w14:textId="77777777" w:rsidR="001009D4" w:rsidRDefault="001009D4" w:rsidP="001009D4">
      <w:pPr>
        <w:spacing w:before="100" w:beforeAutospacing="1" w:after="100" w:afterAutospacing="1" w:line="240" w:lineRule="auto"/>
      </w:pPr>
    </w:p>
    <w:p w14:paraId="1BFBA3C4" w14:textId="77777777" w:rsidR="001009D4" w:rsidRDefault="001009D4" w:rsidP="001009D4">
      <w:pPr>
        <w:spacing w:before="100" w:beforeAutospacing="1" w:after="100" w:afterAutospacing="1" w:line="240" w:lineRule="auto"/>
      </w:pPr>
      <w:r>
        <w:t>DATE: _________________________________________</w:t>
      </w:r>
    </w:p>
    <w:sectPr w:rsidR="001009D4" w:rsidSect="001009D4">
      <w:headerReference w:type="default" r:id="rId15"/>
      <w:footerReference w:type="default" r:id="rId16"/>
      <w:pgSz w:w="11906" w:h="16838"/>
      <w:pgMar w:top="142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0999E" w14:textId="77777777" w:rsidR="00B12851" w:rsidRDefault="00B12851">
      <w:pPr>
        <w:spacing w:after="0" w:line="240" w:lineRule="auto"/>
      </w:pPr>
      <w:r>
        <w:separator/>
      </w:r>
    </w:p>
  </w:endnote>
  <w:endnote w:type="continuationSeparator" w:id="0">
    <w:p w14:paraId="05F453AB" w14:textId="77777777" w:rsidR="00B12851" w:rsidRDefault="00B1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61"/>
      <w:gridCol w:w="2461"/>
      <w:gridCol w:w="2461"/>
      <w:gridCol w:w="2734"/>
    </w:tblGrid>
    <w:tr w:rsidR="002D6663" w:rsidRPr="00FA6A9F" w14:paraId="36BD7C2F" w14:textId="77777777" w:rsidTr="002D6663">
      <w:trPr>
        <w:jc w:val="center"/>
      </w:trPr>
      <w:tc>
        <w:tcPr>
          <w:tcW w:w="2461" w:type="dxa"/>
        </w:tcPr>
        <w:p w14:paraId="0A0E3315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BURNIE</w:t>
          </w:r>
        </w:p>
      </w:tc>
      <w:tc>
        <w:tcPr>
          <w:tcW w:w="2461" w:type="dxa"/>
        </w:tcPr>
        <w:p w14:paraId="5DCA5158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DEVONPORT</w:t>
          </w:r>
        </w:p>
      </w:tc>
      <w:tc>
        <w:tcPr>
          <w:tcW w:w="2461" w:type="dxa"/>
        </w:tcPr>
        <w:p w14:paraId="359F76F5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HOBART</w:t>
          </w:r>
        </w:p>
      </w:tc>
      <w:tc>
        <w:tcPr>
          <w:tcW w:w="2734" w:type="dxa"/>
        </w:tcPr>
        <w:p w14:paraId="41A3749D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before="120"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b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b/>
              <w:sz w:val="14"/>
              <w:szCs w:val="24"/>
            </w:rPr>
            <w:t>LAUNCESTON</w:t>
          </w:r>
        </w:p>
      </w:tc>
    </w:tr>
    <w:tr w:rsidR="002D6663" w:rsidRPr="00FA6A9F" w14:paraId="1A4E274F" w14:textId="77777777" w:rsidTr="002D6663">
      <w:trPr>
        <w:jc w:val="center"/>
      </w:trPr>
      <w:tc>
        <w:tcPr>
          <w:tcW w:w="2461" w:type="dxa"/>
        </w:tcPr>
        <w:p w14:paraId="1E51E60D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690, Burnie, 7320</w:t>
          </w:r>
        </w:p>
      </w:tc>
      <w:tc>
        <w:tcPr>
          <w:tcW w:w="2461" w:type="dxa"/>
        </w:tcPr>
        <w:p w14:paraId="46F3456F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208, Devonport, 7310</w:t>
          </w:r>
        </w:p>
      </w:tc>
      <w:tc>
        <w:tcPr>
          <w:tcW w:w="2461" w:type="dxa"/>
        </w:tcPr>
        <w:p w14:paraId="7DBB7C73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GPO Box 354, Hobart, 7000</w:t>
          </w:r>
        </w:p>
      </w:tc>
      <w:tc>
        <w:tcPr>
          <w:tcW w:w="2734" w:type="dxa"/>
        </w:tcPr>
        <w:p w14:paraId="1CA252C6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PO Box 551, Launceston, 7250</w:t>
          </w:r>
        </w:p>
      </w:tc>
    </w:tr>
    <w:tr w:rsidR="002D6663" w:rsidRPr="00FA6A9F" w14:paraId="3FA158E8" w14:textId="77777777" w:rsidTr="002D6663">
      <w:trPr>
        <w:jc w:val="center"/>
      </w:trPr>
      <w:tc>
        <w:tcPr>
          <w:tcW w:w="2461" w:type="dxa"/>
        </w:tcPr>
        <w:p w14:paraId="4346D013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Ph: (03) 647 77145</w:t>
          </w:r>
        </w:p>
      </w:tc>
      <w:tc>
        <w:tcPr>
          <w:tcW w:w="2461" w:type="dxa"/>
        </w:tcPr>
        <w:p w14:paraId="0EA94298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Ph: (03) 647 84353</w:t>
          </w:r>
        </w:p>
      </w:tc>
      <w:tc>
        <w:tcPr>
          <w:tcW w:w="2461" w:type="dxa"/>
        </w:tcPr>
        <w:p w14:paraId="0E6C84F5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>
            <w:rPr>
              <w:rFonts w:ascii="Gill Sans MT" w:eastAsia="Times New Roman" w:hAnsi="Gill Sans MT" w:cs="Times New Roman"/>
              <w:sz w:val="14"/>
              <w:szCs w:val="24"/>
            </w:rPr>
            <w:t>Ph: (03) 616 57136</w:t>
          </w:r>
        </w:p>
      </w:tc>
      <w:tc>
        <w:tcPr>
          <w:tcW w:w="2734" w:type="dxa"/>
        </w:tcPr>
        <w:p w14:paraId="74356645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Ph: (03) 677 72945</w:t>
          </w:r>
        </w:p>
      </w:tc>
    </w:tr>
    <w:tr w:rsidR="002D6663" w:rsidRPr="00FA6A9F" w14:paraId="0963F110" w14:textId="77777777" w:rsidTr="002D6663">
      <w:trPr>
        <w:jc w:val="center"/>
      </w:trPr>
      <w:tc>
        <w:tcPr>
          <w:tcW w:w="2461" w:type="dxa"/>
        </w:tcPr>
        <w:p w14:paraId="2BDC8F3A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  <w:tc>
        <w:tcPr>
          <w:tcW w:w="2461" w:type="dxa"/>
        </w:tcPr>
        <w:p w14:paraId="476F80D5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  <w:tc>
        <w:tcPr>
          <w:tcW w:w="2461" w:type="dxa"/>
        </w:tcPr>
        <w:p w14:paraId="1BAE4046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  <w:tc>
        <w:tcPr>
          <w:tcW w:w="2734" w:type="dxa"/>
        </w:tcPr>
        <w:p w14:paraId="06E48F8E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>Fax: (03) 6173 0221</w:t>
          </w:r>
        </w:p>
      </w:tc>
    </w:tr>
    <w:tr w:rsidR="002D6663" w:rsidRPr="00FA6A9F" w14:paraId="71904DFC" w14:textId="77777777" w:rsidTr="002D6663">
      <w:trPr>
        <w:jc w:val="center"/>
      </w:trPr>
      <w:tc>
        <w:tcPr>
          <w:tcW w:w="2461" w:type="dxa"/>
        </w:tcPr>
        <w:p w14:paraId="5A23A84F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  <w:hyperlink r:id="rId1" w:history="1">
            <w:r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0"/>
              </w:rPr>
              <w:t>registry.burnie@justice.tas.gov.au</w:t>
            </w:r>
          </w:hyperlink>
        </w:p>
      </w:tc>
      <w:tc>
        <w:tcPr>
          <w:tcW w:w="2461" w:type="dxa"/>
        </w:tcPr>
        <w:p w14:paraId="24FCD311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  <w:hyperlink r:id="rId2" w:history="1">
            <w:r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registry.devonport@justice.tas.gov.au</w:t>
            </w:r>
          </w:hyperlink>
        </w:p>
      </w:tc>
      <w:tc>
        <w:tcPr>
          <w:tcW w:w="2461" w:type="dxa"/>
        </w:tcPr>
        <w:p w14:paraId="1239EA07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  <w:hyperlink r:id="rId3" w:history="1">
            <w:r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registry.hobart@justice.tas.gov.au</w:t>
            </w:r>
          </w:hyperlink>
        </w:p>
      </w:tc>
      <w:tc>
        <w:tcPr>
          <w:tcW w:w="2734" w:type="dxa"/>
        </w:tcPr>
        <w:p w14:paraId="52D3C085" w14:textId="77777777" w:rsidR="002D6663" w:rsidRPr="00FA6A9F" w:rsidRDefault="002C6883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r w:rsidRPr="00FA6A9F">
            <w:rPr>
              <w:rFonts w:ascii="Gill Sans MT" w:eastAsia="Times New Roman" w:hAnsi="Gill Sans MT" w:cs="Times New Roman"/>
              <w:sz w:val="14"/>
              <w:szCs w:val="24"/>
            </w:rPr>
            <w:t xml:space="preserve">Email: </w:t>
          </w:r>
        </w:p>
        <w:p w14:paraId="208D8E14" w14:textId="77777777" w:rsidR="002D6663" w:rsidRPr="00FA6A9F" w:rsidRDefault="00381E79" w:rsidP="00FA6A9F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Gill Sans MT" w:eastAsia="Times New Roman" w:hAnsi="Gill Sans MT" w:cs="Times New Roman"/>
              <w:sz w:val="14"/>
              <w:szCs w:val="24"/>
            </w:rPr>
          </w:pPr>
          <w:hyperlink r:id="rId4" w:history="1">
            <w:r w:rsidR="002C6883" w:rsidRPr="0090586D">
              <w:rPr>
                <w:rStyle w:val="Hyperlink"/>
                <w:rFonts w:ascii="Gill Sans MT" w:eastAsia="Times New Roman" w:hAnsi="Gill Sans MT" w:cs="Times New Roman"/>
                <w:sz w:val="14"/>
                <w:szCs w:val="24"/>
              </w:rPr>
              <w:t>registry.launceston@justice.tas.gov.au</w:t>
            </w:r>
          </w:hyperlink>
        </w:p>
      </w:tc>
    </w:tr>
  </w:tbl>
  <w:p w14:paraId="480CA9A4" w14:textId="77777777" w:rsidR="002D6663" w:rsidRPr="00FA6A9F" w:rsidRDefault="00381E79" w:rsidP="00FA6A9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0" w:line="240" w:lineRule="auto"/>
      <w:ind w:left="-284" w:right="-284"/>
      <w:textAlignment w:val="baseline"/>
      <w:rPr>
        <w:rFonts w:ascii="Times New Roman" w:eastAsia="Times New Roman" w:hAnsi="Times New Roman" w:cs="Times New Roman"/>
        <w:sz w:val="4"/>
        <w:szCs w:val="20"/>
      </w:rPr>
    </w:pPr>
  </w:p>
  <w:p w14:paraId="28D4E467" w14:textId="77777777" w:rsidR="002D6663" w:rsidRPr="00FA6A9F" w:rsidRDefault="00381E79" w:rsidP="00FA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34ED" w14:textId="77777777" w:rsidR="00B12851" w:rsidRDefault="00B12851">
      <w:pPr>
        <w:spacing w:after="0" w:line="240" w:lineRule="auto"/>
      </w:pPr>
      <w:r>
        <w:separator/>
      </w:r>
    </w:p>
  </w:footnote>
  <w:footnote w:type="continuationSeparator" w:id="0">
    <w:p w14:paraId="1B181A47" w14:textId="77777777" w:rsidR="00B12851" w:rsidRDefault="00B1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A492E" w14:textId="77777777" w:rsidR="002D6663" w:rsidRDefault="00381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2F7"/>
    <w:multiLevelType w:val="hybridMultilevel"/>
    <w:tmpl w:val="5AE67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D04DF"/>
    <w:multiLevelType w:val="hybridMultilevel"/>
    <w:tmpl w:val="3F6A1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7063E"/>
    <w:multiLevelType w:val="hybridMultilevel"/>
    <w:tmpl w:val="6B2AB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D4"/>
    <w:rsid w:val="001009D4"/>
    <w:rsid w:val="002C6883"/>
    <w:rsid w:val="002F1547"/>
    <w:rsid w:val="0031262D"/>
    <w:rsid w:val="00381E79"/>
    <w:rsid w:val="004C592A"/>
    <w:rsid w:val="00567E7C"/>
    <w:rsid w:val="00674F88"/>
    <w:rsid w:val="007966F2"/>
    <w:rsid w:val="007C7DD7"/>
    <w:rsid w:val="00914184"/>
    <w:rsid w:val="00A9714A"/>
    <w:rsid w:val="00B12851"/>
    <w:rsid w:val="00C52C63"/>
    <w:rsid w:val="00E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70D9C"/>
  <w15:chartTrackingRefBased/>
  <w15:docId w15:val="{488AFF53-AB51-4B1E-8F52-6962C5DA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9D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0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09D4"/>
  </w:style>
  <w:style w:type="paragraph" w:styleId="Footer">
    <w:name w:val="footer"/>
    <w:basedOn w:val="Normal"/>
    <w:link w:val="FooterChar"/>
    <w:uiPriority w:val="99"/>
    <w:unhideWhenUsed/>
    <w:rsid w:val="00100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D4"/>
  </w:style>
  <w:style w:type="table" w:styleId="TableGrid">
    <w:name w:val="Table Grid"/>
    <w:basedOn w:val="TableNormal"/>
    <w:uiPriority w:val="59"/>
    <w:rsid w:val="0010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62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oners.Hbt@justice.tas.gov.au" TargetMode="External"/><Relationship Id="rId13" Type="http://schemas.openxmlformats.org/officeDocument/2006/relationships/hyperlink" Target="https://www.legislation.tas.gov.au/view/html/inforce/current/act-2017-0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legislation.tas.gov.au/view/html/inforce/current/act-2017-0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tas.gov.au/view/html/inforce/current/act-2017-0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lation.tas.gov.au/view/html/inforce/current/act-2017-0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tas.gov.au/view/html/inforce/current/act-2017-034" TargetMode="External"/><Relationship Id="rId14" Type="http://schemas.openxmlformats.org/officeDocument/2006/relationships/hyperlink" Target="https://www.legislation.tas.gov.au/view/html/inforce/current/act-2017-03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.hobart@justice.tas.gov.au" TargetMode="External"/><Relationship Id="rId2" Type="http://schemas.openxmlformats.org/officeDocument/2006/relationships/hyperlink" Target="mailto:registry.devonport@justice.tas.gov.au" TargetMode="External"/><Relationship Id="rId1" Type="http://schemas.openxmlformats.org/officeDocument/2006/relationships/hyperlink" Target="mailto:registry.burnie@justice.tas.gov.au" TargetMode="External"/><Relationship Id="rId4" Type="http://schemas.openxmlformats.org/officeDocument/2006/relationships/hyperlink" Target="mailto:registry.launceston@justice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Priest, Marissa</dc:creator>
  <cp:keywords/>
  <dc:description/>
  <cp:lastModifiedBy>O'Shannassy, Sarah</cp:lastModifiedBy>
  <cp:revision>2</cp:revision>
  <dcterms:created xsi:type="dcterms:W3CDTF">2022-12-16T03:36:00Z</dcterms:created>
  <dcterms:modified xsi:type="dcterms:W3CDTF">2022-12-16T03:36:00Z</dcterms:modified>
</cp:coreProperties>
</file>