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AFC9C" w14:textId="450EBC65" w:rsidR="006D6732" w:rsidRDefault="00133711" w:rsidP="006D6732">
      <w:pPr>
        <w:pStyle w:val="Heading1"/>
        <w:spacing w:after="0"/>
        <w:jc w:val="center"/>
      </w:pPr>
      <w:bookmarkStart w:id="0" w:name="_Toc1041123"/>
      <w:bookmarkStart w:id="1" w:name="_Toc529270629"/>
      <w:bookmarkStart w:id="2" w:name="_Toc529270837"/>
      <w:bookmarkStart w:id="3" w:name="_Toc529272530"/>
      <w:bookmarkStart w:id="4" w:name="_Toc529272605"/>
      <w:r>
        <w:rPr>
          <w:rStyle w:val="Hyperlink"/>
          <w:rFonts w:cs="Calibri"/>
          <w:caps w:val="0"/>
          <w:noProof/>
          <w:sz w:val="20"/>
          <w:szCs w:val="20"/>
        </w:rPr>
        <w:softHyphen/>
      </w:r>
      <w:r>
        <w:rPr>
          <w:rStyle w:val="Hyperlink"/>
          <w:rFonts w:cs="Calibri"/>
          <w:caps w:val="0"/>
          <w:noProof/>
          <w:sz w:val="20"/>
          <w:szCs w:val="20"/>
        </w:rPr>
        <w:softHyphen/>
      </w:r>
      <w:r>
        <w:rPr>
          <w:rStyle w:val="Hyperlink"/>
          <w:rFonts w:cs="Calibri"/>
          <w:caps w:val="0"/>
          <w:noProof/>
          <w:sz w:val="20"/>
          <w:szCs w:val="20"/>
        </w:rPr>
        <w:softHyphen/>
      </w:r>
      <w:r w:rsidR="006D6732" w:rsidRPr="006D6732">
        <w:t>The Magistrates Court of Tasmania</w:t>
      </w:r>
      <w:bookmarkEnd w:id="0"/>
    </w:p>
    <w:p w14:paraId="5E6B1365" w14:textId="53C10D96" w:rsidR="006D6732" w:rsidRPr="006D6732" w:rsidRDefault="006D6732" w:rsidP="006D6732">
      <w:pPr>
        <w:pStyle w:val="Heading1"/>
        <w:spacing w:after="0"/>
        <w:jc w:val="center"/>
      </w:pPr>
      <w:bookmarkStart w:id="5" w:name="_Toc1041124"/>
      <w:r w:rsidRPr="006D6732">
        <w:t>Annual Report 2017-2018</w:t>
      </w:r>
      <w:bookmarkEnd w:id="5"/>
    </w:p>
    <w:p w14:paraId="1E1EF25C" w14:textId="503CD14B" w:rsidR="00E11EA1" w:rsidRPr="006D6732" w:rsidRDefault="00E11EA1" w:rsidP="006D6732">
      <w:pPr>
        <w:pStyle w:val="Heading1"/>
      </w:pPr>
      <w:bookmarkStart w:id="6" w:name="_Toc1041125"/>
      <w:bookmarkStart w:id="7" w:name="_Toc247096976"/>
      <w:bookmarkStart w:id="8" w:name="_Toc277684602"/>
      <w:bookmarkStart w:id="9" w:name="_Toc151974452"/>
      <w:bookmarkStart w:id="10" w:name="_Toc193777143"/>
      <w:bookmarkStart w:id="11" w:name="_Toc247096988"/>
      <w:r w:rsidRPr="006D6732">
        <w:t>Table of Contents</w:t>
      </w:r>
      <w:bookmarkEnd w:id="1"/>
      <w:bookmarkEnd w:id="2"/>
      <w:bookmarkEnd w:id="3"/>
      <w:bookmarkEnd w:id="4"/>
      <w:bookmarkEnd w:id="6"/>
      <w:bookmarkEnd w:id="7"/>
    </w:p>
    <w:p w14:paraId="2444651A" w14:textId="77777777" w:rsidR="00E11EA1" w:rsidRPr="00847FAE" w:rsidRDefault="00E11EA1" w:rsidP="00E5311F">
      <w:pPr>
        <w:pStyle w:val="Heading2"/>
        <w:rPr>
          <w:highlight w:val="yellow"/>
        </w:rPr>
      </w:pPr>
    </w:p>
    <w:p w14:paraId="3EE6AC39" w14:textId="56FB6E66" w:rsidR="00BB4B4C" w:rsidRPr="00BB4B4C" w:rsidRDefault="00BB4B4C">
      <w:pPr>
        <w:pStyle w:val="TOC1"/>
        <w:tabs>
          <w:tab w:val="right" w:leader="dot" w:pos="8296"/>
        </w:tabs>
        <w:rPr>
          <w:rFonts w:ascii="Gill Sans MT" w:eastAsiaTheme="minorEastAsia" w:hAnsi="Gill Sans MT" w:cstheme="minorBidi"/>
          <w:bCs w:val="0"/>
          <w:caps w:val="0"/>
          <w:noProof/>
          <w:sz w:val="22"/>
          <w:szCs w:val="22"/>
        </w:rPr>
      </w:pPr>
      <w:r w:rsidRPr="00BB4B4C">
        <w:rPr>
          <w:rFonts w:ascii="Gill Sans MT" w:hAnsi="Gill Sans MT"/>
          <w:bCs w:val="0"/>
          <w:caps w:val="0"/>
          <w:highlight w:val="yellow"/>
        </w:rPr>
        <w:fldChar w:fldCharType="begin"/>
      </w:r>
      <w:r w:rsidRPr="00BB4B4C">
        <w:rPr>
          <w:rFonts w:ascii="Gill Sans MT" w:hAnsi="Gill Sans MT"/>
          <w:bCs w:val="0"/>
          <w:caps w:val="0"/>
          <w:highlight w:val="yellow"/>
        </w:rPr>
        <w:instrText xml:space="preserve"> TOC \o "1-2" \h \z \u </w:instrText>
      </w:r>
      <w:r w:rsidRPr="00BB4B4C">
        <w:rPr>
          <w:rFonts w:ascii="Gill Sans MT" w:hAnsi="Gill Sans MT"/>
          <w:bCs w:val="0"/>
          <w:caps w:val="0"/>
          <w:highlight w:val="yellow"/>
        </w:rPr>
        <w:fldChar w:fldCharType="separate"/>
      </w:r>
      <w:hyperlink w:anchor="_Toc529272605" w:history="1">
        <w:r w:rsidRPr="00BB4B4C">
          <w:rPr>
            <w:rStyle w:val="Hyperlink"/>
            <w:rFonts w:ascii="Gill Sans MT" w:hAnsi="Gill Sans MT"/>
            <w:noProof/>
          </w:rPr>
          <w:t>Table of Contents</w:t>
        </w:r>
        <w:r w:rsidRPr="00BB4B4C">
          <w:rPr>
            <w:rFonts w:ascii="Gill Sans MT" w:hAnsi="Gill Sans MT"/>
            <w:noProof/>
            <w:webHidden/>
          </w:rPr>
          <w:tab/>
        </w:r>
        <w:r w:rsidRPr="00BB4B4C">
          <w:rPr>
            <w:rFonts w:ascii="Gill Sans MT" w:hAnsi="Gill Sans MT"/>
            <w:noProof/>
            <w:webHidden/>
          </w:rPr>
          <w:fldChar w:fldCharType="begin"/>
        </w:r>
        <w:r w:rsidRPr="00BB4B4C">
          <w:rPr>
            <w:rFonts w:ascii="Gill Sans MT" w:hAnsi="Gill Sans MT"/>
            <w:noProof/>
            <w:webHidden/>
          </w:rPr>
          <w:instrText xml:space="preserve"> PAGEREF _Toc529272605 \h </w:instrText>
        </w:r>
        <w:r w:rsidRPr="00BB4B4C">
          <w:rPr>
            <w:rFonts w:ascii="Gill Sans MT" w:hAnsi="Gill Sans MT"/>
            <w:noProof/>
            <w:webHidden/>
          </w:rPr>
        </w:r>
        <w:r w:rsidRPr="00BB4B4C">
          <w:rPr>
            <w:rFonts w:ascii="Gill Sans MT" w:hAnsi="Gill Sans MT"/>
            <w:noProof/>
            <w:webHidden/>
          </w:rPr>
          <w:fldChar w:fldCharType="separate"/>
        </w:r>
        <w:r w:rsidRPr="00BB4B4C">
          <w:rPr>
            <w:rFonts w:ascii="Gill Sans MT" w:hAnsi="Gill Sans MT"/>
            <w:noProof/>
            <w:webHidden/>
          </w:rPr>
          <w:t>1</w:t>
        </w:r>
        <w:r w:rsidRPr="00BB4B4C">
          <w:rPr>
            <w:rFonts w:ascii="Gill Sans MT" w:hAnsi="Gill Sans MT"/>
            <w:noProof/>
            <w:webHidden/>
          </w:rPr>
          <w:fldChar w:fldCharType="end"/>
        </w:r>
      </w:hyperlink>
    </w:p>
    <w:p w14:paraId="3269DB3A" w14:textId="4FB88D0E"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06" w:history="1">
        <w:r w:rsidR="00BB4B4C" w:rsidRPr="00BB4B4C">
          <w:rPr>
            <w:rStyle w:val="Hyperlink"/>
            <w:rFonts w:ascii="Gill Sans MT" w:hAnsi="Gill Sans MT"/>
            <w:noProof/>
          </w:rPr>
          <w:t>Aim of the Court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_Toc529272606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6</w:t>
        </w:r>
        <w:r w:rsidR="00BB4B4C" w:rsidRPr="00BB4B4C">
          <w:rPr>
            <w:rFonts w:ascii="Gill Sans MT" w:hAnsi="Gill Sans MT"/>
            <w:noProof/>
            <w:webHidden/>
          </w:rPr>
          <w:fldChar w:fldCharType="end"/>
        </w:r>
      </w:hyperlink>
    </w:p>
    <w:p w14:paraId="220C15B7" w14:textId="6B1095F7"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07" w:history="1">
        <w:r w:rsidR="00BB4B4C" w:rsidRPr="00BB4B4C">
          <w:rPr>
            <w:rStyle w:val="Hyperlink"/>
            <w:rFonts w:ascii="Gill Sans MT" w:hAnsi="Gill Sans MT"/>
            <w:noProof/>
          </w:rPr>
          <w:t>Purpose</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_Toc529272607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6</w:t>
        </w:r>
        <w:r w:rsidR="00BB4B4C" w:rsidRPr="00BB4B4C">
          <w:rPr>
            <w:rFonts w:ascii="Gill Sans MT" w:hAnsi="Gill Sans MT"/>
            <w:noProof/>
            <w:webHidden/>
          </w:rPr>
          <w:fldChar w:fldCharType="end"/>
        </w:r>
      </w:hyperlink>
    </w:p>
    <w:p w14:paraId="44A9D88F" w14:textId="19775263"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08" w:history="1">
        <w:r w:rsidR="00BB4B4C" w:rsidRPr="00BB4B4C">
          <w:rPr>
            <w:rStyle w:val="Hyperlink"/>
            <w:rFonts w:ascii="Gill Sans MT" w:hAnsi="Gill Sans MT"/>
            <w:noProof/>
          </w:rPr>
          <w:t>Values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_Toc529272608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6</w:t>
        </w:r>
        <w:r w:rsidR="00BB4B4C" w:rsidRPr="00BB4B4C">
          <w:rPr>
            <w:rFonts w:ascii="Gill Sans MT" w:hAnsi="Gill Sans MT"/>
            <w:noProof/>
            <w:webHidden/>
          </w:rPr>
          <w:fldChar w:fldCharType="end"/>
        </w:r>
      </w:hyperlink>
    </w:p>
    <w:p w14:paraId="42E5BFF0" w14:textId="16E69840"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09" w:history="1">
        <w:r w:rsidR="00BB4B4C" w:rsidRPr="00BB4B4C">
          <w:rPr>
            <w:rStyle w:val="Hyperlink"/>
            <w:rFonts w:ascii="Gill Sans MT" w:hAnsi="Gill Sans MT"/>
            <w:noProof/>
          </w:rPr>
          <w:t>Overview of the Court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_Toc529272609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6</w:t>
        </w:r>
        <w:r w:rsidR="00BB4B4C" w:rsidRPr="00BB4B4C">
          <w:rPr>
            <w:rFonts w:ascii="Gill Sans MT" w:hAnsi="Gill Sans MT"/>
            <w:noProof/>
            <w:webHidden/>
          </w:rPr>
          <w:fldChar w:fldCharType="end"/>
        </w:r>
      </w:hyperlink>
    </w:p>
    <w:p w14:paraId="030139CD" w14:textId="5B897D94"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10" w:history="1">
        <w:r w:rsidR="00BB4B4C" w:rsidRPr="00BB4B4C">
          <w:rPr>
            <w:rStyle w:val="Hyperlink"/>
            <w:rFonts w:ascii="Gill Sans MT" w:hAnsi="Gill Sans MT"/>
            <w:noProof/>
          </w:rPr>
          <w:t>Acknowledgments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_Toc529272610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7</w:t>
        </w:r>
        <w:r w:rsidR="00BB4B4C" w:rsidRPr="00BB4B4C">
          <w:rPr>
            <w:rFonts w:ascii="Gill Sans MT" w:hAnsi="Gill Sans MT"/>
            <w:noProof/>
            <w:webHidden/>
          </w:rPr>
          <w:fldChar w:fldCharType="end"/>
        </w:r>
      </w:hyperlink>
    </w:p>
    <w:p w14:paraId="61131841" w14:textId="16C93888"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11" w:history="1">
        <w:r w:rsidR="00BB4B4C" w:rsidRPr="00BB4B4C">
          <w:rPr>
            <w:rStyle w:val="Hyperlink"/>
            <w:rFonts w:ascii="Gill Sans MT" w:hAnsi="Gill Sans MT"/>
            <w:noProof/>
          </w:rPr>
          <w:t>Court Locations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_Toc529272611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7</w:t>
        </w:r>
        <w:r w:rsidR="00BB4B4C" w:rsidRPr="00BB4B4C">
          <w:rPr>
            <w:rFonts w:ascii="Gill Sans MT" w:hAnsi="Gill Sans MT"/>
            <w:noProof/>
            <w:webHidden/>
          </w:rPr>
          <w:fldChar w:fldCharType="end"/>
        </w:r>
      </w:hyperlink>
    </w:p>
    <w:p w14:paraId="34966AF4" w14:textId="517B019D"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12" w:history="1">
        <w:r w:rsidR="00BB4B4C" w:rsidRPr="00BB4B4C">
          <w:rPr>
            <w:rStyle w:val="Hyperlink"/>
            <w:rFonts w:ascii="Gill Sans MT" w:hAnsi="Gill Sans MT"/>
            <w:noProof/>
          </w:rPr>
          <w:t>Personalia</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_Toc529272612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8</w:t>
        </w:r>
        <w:r w:rsidR="00BB4B4C" w:rsidRPr="00BB4B4C">
          <w:rPr>
            <w:rFonts w:ascii="Gill Sans MT" w:hAnsi="Gill Sans MT"/>
            <w:noProof/>
            <w:webHidden/>
          </w:rPr>
          <w:fldChar w:fldCharType="end"/>
        </w:r>
      </w:hyperlink>
    </w:p>
    <w:p w14:paraId="0991EE5B" w14:textId="5FD71609"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13" w:history="1">
        <w:r w:rsidR="00BB4B4C" w:rsidRPr="00BB4B4C">
          <w:rPr>
            <w:rStyle w:val="Hyperlink"/>
            <w:rFonts w:ascii="Gill Sans MT" w:hAnsi="Gill Sans MT"/>
            <w:noProof/>
          </w:rPr>
          <w:t>Court Staff</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_Toc529272613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8</w:t>
        </w:r>
        <w:r w:rsidR="00BB4B4C" w:rsidRPr="00BB4B4C">
          <w:rPr>
            <w:rFonts w:ascii="Gill Sans MT" w:hAnsi="Gill Sans MT"/>
            <w:noProof/>
            <w:webHidden/>
          </w:rPr>
          <w:fldChar w:fldCharType="end"/>
        </w:r>
      </w:hyperlink>
    </w:p>
    <w:p w14:paraId="3E71D91F" w14:textId="4DBD7F2C"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14" w:history="1">
        <w:r w:rsidR="00BB4B4C" w:rsidRPr="00BB4B4C">
          <w:rPr>
            <w:rStyle w:val="Hyperlink"/>
            <w:rFonts w:ascii="Gill Sans MT" w:hAnsi="Gill Sans MT"/>
            <w:noProof/>
          </w:rPr>
          <w:t>Bench Justices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_Toc529272614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8</w:t>
        </w:r>
        <w:r w:rsidR="00BB4B4C" w:rsidRPr="00BB4B4C">
          <w:rPr>
            <w:rFonts w:ascii="Gill Sans MT" w:hAnsi="Gill Sans MT"/>
            <w:noProof/>
            <w:webHidden/>
          </w:rPr>
          <w:fldChar w:fldCharType="end"/>
        </w:r>
      </w:hyperlink>
    </w:p>
    <w:p w14:paraId="30A35FB7" w14:textId="0B54829D"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15" w:history="1">
        <w:r w:rsidR="00BB4B4C" w:rsidRPr="00BB4B4C">
          <w:rPr>
            <w:rStyle w:val="Hyperlink"/>
            <w:rFonts w:ascii="Gill Sans MT" w:hAnsi="Gill Sans MT"/>
            <w:noProof/>
          </w:rPr>
          <w:t>The Court’s National Involvement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_Toc529272615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9</w:t>
        </w:r>
        <w:r w:rsidR="00BB4B4C" w:rsidRPr="00BB4B4C">
          <w:rPr>
            <w:rFonts w:ascii="Gill Sans MT" w:hAnsi="Gill Sans MT"/>
            <w:noProof/>
            <w:webHidden/>
          </w:rPr>
          <w:fldChar w:fldCharType="end"/>
        </w:r>
      </w:hyperlink>
    </w:p>
    <w:p w14:paraId="069BC713" w14:textId="56FF7864"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16" w:history="1">
        <w:r w:rsidR="00BB4B4C" w:rsidRPr="00BB4B4C">
          <w:rPr>
            <w:rStyle w:val="Hyperlink"/>
            <w:rFonts w:ascii="Gill Sans MT" w:hAnsi="Gill Sans MT"/>
            <w:noProof/>
          </w:rPr>
          <w:t>Professional Development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_Toc529272616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9</w:t>
        </w:r>
        <w:r w:rsidR="00BB4B4C" w:rsidRPr="00BB4B4C">
          <w:rPr>
            <w:rFonts w:ascii="Gill Sans MT" w:hAnsi="Gill Sans MT"/>
            <w:noProof/>
            <w:webHidden/>
          </w:rPr>
          <w:fldChar w:fldCharType="end"/>
        </w:r>
      </w:hyperlink>
    </w:p>
    <w:p w14:paraId="2130E458" w14:textId="44A3DE8F"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17" w:history="1">
        <w:r w:rsidR="00BB4B4C" w:rsidRPr="00BB4B4C">
          <w:rPr>
            <w:rStyle w:val="Hyperlink"/>
            <w:rFonts w:ascii="Gill Sans MT" w:hAnsi="Gill Sans MT"/>
            <w:noProof/>
          </w:rPr>
          <w:t>Magistrates Court Review</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_Toc529272617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10</w:t>
        </w:r>
        <w:r w:rsidR="00BB4B4C" w:rsidRPr="00BB4B4C">
          <w:rPr>
            <w:rFonts w:ascii="Gill Sans MT" w:hAnsi="Gill Sans MT"/>
            <w:noProof/>
            <w:webHidden/>
          </w:rPr>
          <w:fldChar w:fldCharType="end"/>
        </w:r>
      </w:hyperlink>
    </w:p>
    <w:p w14:paraId="6BB4BF89" w14:textId="251FB2B3"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18" w:history="1">
        <w:r w:rsidR="00BB4B4C" w:rsidRPr="00BB4B4C">
          <w:rPr>
            <w:rStyle w:val="Hyperlink"/>
            <w:rFonts w:ascii="Gill Sans MT" w:hAnsi="Gill Sans MT"/>
            <w:noProof/>
          </w:rPr>
          <w:t>Legislative Changes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_Toc529272618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12</w:t>
        </w:r>
        <w:r w:rsidR="00BB4B4C" w:rsidRPr="00BB4B4C">
          <w:rPr>
            <w:rFonts w:ascii="Gill Sans MT" w:hAnsi="Gill Sans MT"/>
            <w:noProof/>
            <w:webHidden/>
          </w:rPr>
          <w:fldChar w:fldCharType="end"/>
        </w:r>
      </w:hyperlink>
    </w:p>
    <w:p w14:paraId="1024D41F" w14:textId="244FD040"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19" w:history="1">
        <w:r w:rsidR="00BB4B4C" w:rsidRPr="00BB4B4C">
          <w:rPr>
            <w:rStyle w:val="Hyperlink"/>
            <w:rFonts w:ascii="Gill Sans MT" w:hAnsi="Gill Sans MT"/>
            <w:noProof/>
          </w:rPr>
          <w:t>Criminal and General Division Legislation</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_Toc529272619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12</w:t>
        </w:r>
        <w:r w:rsidR="00BB4B4C" w:rsidRPr="00BB4B4C">
          <w:rPr>
            <w:rFonts w:ascii="Gill Sans MT" w:hAnsi="Gill Sans MT"/>
            <w:noProof/>
            <w:webHidden/>
          </w:rPr>
          <w:fldChar w:fldCharType="end"/>
        </w:r>
      </w:hyperlink>
    </w:p>
    <w:p w14:paraId="6FEA6BB8" w14:textId="68FD356B"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20" w:history="1">
        <w:r w:rsidR="00BB4B4C" w:rsidRPr="00BB4B4C">
          <w:rPr>
            <w:rStyle w:val="Hyperlink"/>
            <w:rFonts w:ascii="Gill Sans MT" w:hAnsi="Gill Sans MT"/>
            <w:noProof/>
          </w:rPr>
          <w:t>National Domestic Violence Orders Recognition Scheme</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_Toc529272620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13</w:t>
        </w:r>
        <w:r w:rsidR="00BB4B4C" w:rsidRPr="00BB4B4C">
          <w:rPr>
            <w:rFonts w:ascii="Gill Sans MT" w:hAnsi="Gill Sans MT"/>
            <w:noProof/>
            <w:webHidden/>
          </w:rPr>
          <w:fldChar w:fldCharType="end"/>
        </w:r>
      </w:hyperlink>
    </w:p>
    <w:p w14:paraId="0F337678" w14:textId="2E8346D8"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21" w:history="1">
        <w:r w:rsidR="00BB4B4C" w:rsidRPr="00BB4B4C">
          <w:rPr>
            <w:rStyle w:val="Hyperlink"/>
            <w:rFonts w:ascii="Gill Sans MT" w:hAnsi="Gill Sans MT"/>
            <w:noProof/>
          </w:rPr>
          <w:t>Matters Received from the Supreme Court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_Toc529272621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14</w:t>
        </w:r>
        <w:r w:rsidR="00BB4B4C" w:rsidRPr="00BB4B4C">
          <w:rPr>
            <w:rFonts w:ascii="Gill Sans MT" w:hAnsi="Gill Sans MT"/>
            <w:noProof/>
            <w:webHidden/>
          </w:rPr>
          <w:fldChar w:fldCharType="end"/>
        </w:r>
      </w:hyperlink>
    </w:p>
    <w:p w14:paraId="4454A08D" w14:textId="085EFD86"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22" w:history="1">
        <w:r w:rsidR="00BB4B4C" w:rsidRPr="00BB4B4C">
          <w:rPr>
            <w:rStyle w:val="Hyperlink"/>
            <w:rFonts w:ascii="Gill Sans MT" w:hAnsi="Gill Sans MT"/>
            <w:noProof/>
          </w:rPr>
          <w:t>Caseload</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_Toc529272622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14</w:t>
        </w:r>
        <w:r w:rsidR="00BB4B4C" w:rsidRPr="00BB4B4C">
          <w:rPr>
            <w:rFonts w:ascii="Gill Sans MT" w:hAnsi="Gill Sans MT"/>
            <w:noProof/>
            <w:webHidden/>
          </w:rPr>
          <w:fldChar w:fldCharType="end"/>
        </w:r>
      </w:hyperlink>
    </w:p>
    <w:p w14:paraId="7DA01B95" w14:textId="7BA52198"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23" w:history="1">
        <w:r w:rsidR="00BB4B4C" w:rsidRPr="00BB4B4C">
          <w:rPr>
            <w:rStyle w:val="Hyperlink"/>
            <w:rFonts w:ascii="Gill Sans MT" w:hAnsi="Gill Sans MT"/>
            <w:noProof/>
          </w:rPr>
          <w:t>Problem-solving Courts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_Toc529272623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15</w:t>
        </w:r>
        <w:r w:rsidR="00BB4B4C" w:rsidRPr="00BB4B4C">
          <w:rPr>
            <w:rFonts w:ascii="Gill Sans MT" w:hAnsi="Gill Sans MT"/>
            <w:noProof/>
            <w:webHidden/>
          </w:rPr>
          <w:fldChar w:fldCharType="end"/>
        </w:r>
      </w:hyperlink>
    </w:p>
    <w:p w14:paraId="024F2595" w14:textId="44C663BF"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24" w:history="1">
        <w:r w:rsidR="00BB4B4C" w:rsidRPr="00BB4B4C">
          <w:rPr>
            <w:rStyle w:val="Hyperlink"/>
            <w:rFonts w:ascii="Gill Sans MT" w:hAnsi="Gill Sans MT"/>
            <w:noProof/>
          </w:rPr>
          <w:t>Court Mandated Drug Diversion Program</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_Toc529272624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15</w:t>
        </w:r>
        <w:r w:rsidR="00BB4B4C" w:rsidRPr="00BB4B4C">
          <w:rPr>
            <w:rFonts w:ascii="Gill Sans MT" w:hAnsi="Gill Sans MT"/>
            <w:noProof/>
            <w:webHidden/>
          </w:rPr>
          <w:fldChar w:fldCharType="end"/>
        </w:r>
      </w:hyperlink>
    </w:p>
    <w:p w14:paraId="316181BF" w14:textId="3F26AA4E"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25" w:history="1">
        <w:r w:rsidR="00BB4B4C" w:rsidRPr="00BB4B4C">
          <w:rPr>
            <w:rStyle w:val="Hyperlink"/>
            <w:rFonts w:ascii="Gill Sans MT" w:hAnsi="Gill Sans MT"/>
            <w:noProof/>
          </w:rPr>
          <w:t>Diversion List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_Toc529272625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16</w:t>
        </w:r>
        <w:r w:rsidR="00BB4B4C" w:rsidRPr="00BB4B4C">
          <w:rPr>
            <w:rFonts w:ascii="Gill Sans MT" w:hAnsi="Gill Sans MT"/>
            <w:noProof/>
            <w:webHidden/>
          </w:rPr>
          <w:fldChar w:fldCharType="end"/>
        </w:r>
      </w:hyperlink>
    </w:p>
    <w:p w14:paraId="04BB5435" w14:textId="345A611D"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26" w:history="1">
        <w:r w:rsidR="00BB4B4C" w:rsidRPr="00BB4B4C">
          <w:rPr>
            <w:rStyle w:val="Hyperlink"/>
            <w:rFonts w:ascii="Gill Sans MT" w:hAnsi="Gill Sans MT"/>
            <w:noProof/>
          </w:rPr>
          <w:t>Family Violence Lists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_Toc529272626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16</w:t>
        </w:r>
        <w:r w:rsidR="00BB4B4C" w:rsidRPr="00BB4B4C">
          <w:rPr>
            <w:rFonts w:ascii="Gill Sans MT" w:hAnsi="Gill Sans MT"/>
            <w:noProof/>
            <w:webHidden/>
          </w:rPr>
          <w:fldChar w:fldCharType="end"/>
        </w:r>
      </w:hyperlink>
    </w:p>
    <w:p w14:paraId="219A3B3D" w14:textId="5EC60FAF"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27" w:history="1">
        <w:r w:rsidR="00BB4B4C" w:rsidRPr="00BB4B4C">
          <w:rPr>
            <w:rStyle w:val="Hyperlink"/>
            <w:rFonts w:ascii="Gill Sans MT" w:hAnsi="Gill Sans MT"/>
            <w:noProof/>
          </w:rPr>
          <w:t>Contest Mention System</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_Toc529272627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16</w:t>
        </w:r>
        <w:r w:rsidR="00BB4B4C" w:rsidRPr="00BB4B4C">
          <w:rPr>
            <w:rFonts w:ascii="Gill Sans MT" w:hAnsi="Gill Sans MT"/>
            <w:noProof/>
            <w:webHidden/>
          </w:rPr>
          <w:fldChar w:fldCharType="end"/>
        </w:r>
      </w:hyperlink>
    </w:p>
    <w:p w14:paraId="34DF5FAA" w14:textId="4ACE8537"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28" w:history="1">
        <w:r w:rsidR="00BB4B4C" w:rsidRPr="00BB4B4C">
          <w:rPr>
            <w:rStyle w:val="Hyperlink"/>
            <w:rFonts w:ascii="Gill Sans MT" w:hAnsi="Gill Sans MT"/>
            <w:noProof/>
          </w:rPr>
          <w:t>Youth Justice Court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_Toc529272628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17</w:t>
        </w:r>
        <w:r w:rsidR="00BB4B4C" w:rsidRPr="00BB4B4C">
          <w:rPr>
            <w:rFonts w:ascii="Gill Sans MT" w:hAnsi="Gill Sans MT"/>
            <w:noProof/>
            <w:webHidden/>
          </w:rPr>
          <w:fldChar w:fldCharType="end"/>
        </w:r>
      </w:hyperlink>
    </w:p>
    <w:p w14:paraId="7865C1B0" w14:textId="6E10DD4D"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29" w:history="1">
        <w:r w:rsidR="00BB4B4C" w:rsidRPr="00BB4B4C">
          <w:rPr>
            <w:rStyle w:val="Hyperlink"/>
            <w:rFonts w:ascii="Gill Sans MT" w:hAnsi="Gill Sans MT"/>
            <w:noProof/>
          </w:rPr>
          <w:t>Court User Groups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_Toc529272629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18</w:t>
        </w:r>
        <w:r w:rsidR="00BB4B4C" w:rsidRPr="00BB4B4C">
          <w:rPr>
            <w:rFonts w:ascii="Gill Sans MT" w:hAnsi="Gill Sans MT"/>
            <w:noProof/>
            <w:webHidden/>
          </w:rPr>
          <w:fldChar w:fldCharType="end"/>
        </w:r>
      </w:hyperlink>
    </w:p>
    <w:p w14:paraId="72C48155" w14:textId="74E573B6"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30" w:history="1">
        <w:r w:rsidR="00BB4B4C" w:rsidRPr="00BB4B4C">
          <w:rPr>
            <w:rStyle w:val="Hyperlink"/>
            <w:rFonts w:ascii="Gill Sans MT" w:hAnsi="Gill Sans MT"/>
            <w:noProof/>
          </w:rPr>
          <w:t>Information Technology</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_Toc529272630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19</w:t>
        </w:r>
        <w:r w:rsidR="00BB4B4C" w:rsidRPr="00BB4B4C">
          <w:rPr>
            <w:rFonts w:ascii="Gill Sans MT" w:hAnsi="Gill Sans MT"/>
            <w:noProof/>
            <w:webHidden/>
          </w:rPr>
          <w:fldChar w:fldCharType="end"/>
        </w:r>
      </w:hyperlink>
    </w:p>
    <w:p w14:paraId="77A29894" w14:textId="1150B5BE"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31" w:history="1">
        <w:r w:rsidR="00BB4B4C" w:rsidRPr="00BB4B4C">
          <w:rPr>
            <w:rStyle w:val="Hyperlink"/>
            <w:rFonts w:ascii="Gill Sans MT" w:hAnsi="Gill Sans MT"/>
            <w:noProof/>
          </w:rPr>
          <w:t>Justice Connect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_Toc529272631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19</w:t>
        </w:r>
        <w:r w:rsidR="00BB4B4C" w:rsidRPr="00BB4B4C">
          <w:rPr>
            <w:rFonts w:ascii="Gill Sans MT" w:hAnsi="Gill Sans MT"/>
            <w:noProof/>
            <w:webHidden/>
          </w:rPr>
          <w:fldChar w:fldCharType="end"/>
        </w:r>
      </w:hyperlink>
    </w:p>
    <w:p w14:paraId="33C46BF7" w14:textId="0F81908C"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32" w:history="1">
        <w:r w:rsidR="00BB4B4C" w:rsidRPr="00BB4B4C">
          <w:rPr>
            <w:rStyle w:val="Hyperlink"/>
            <w:rFonts w:ascii="Gill Sans MT" w:hAnsi="Gill Sans MT"/>
            <w:noProof/>
          </w:rPr>
          <w:t>Video Conferencing</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_Toc529272632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19</w:t>
        </w:r>
        <w:r w:rsidR="00BB4B4C" w:rsidRPr="00BB4B4C">
          <w:rPr>
            <w:rFonts w:ascii="Gill Sans MT" w:hAnsi="Gill Sans MT"/>
            <w:noProof/>
            <w:webHidden/>
          </w:rPr>
          <w:fldChar w:fldCharType="end"/>
        </w:r>
      </w:hyperlink>
    </w:p>
    <w:p w14:paraId="116EA27F" w14:textId="28980AF1"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33" w:history="1">
        <w:r w:rsidR="00BB4B4C" w:rsidRPr="00BB4B4C">
          <w:rPr>
            <w:rStyle w:val="Hyperlink"/>
            <w:rFonts w:ascii="Gill Sans MT" w:hAnsi="Gill Sans MT"/>
            <w:noProof/>
          </w:rPr>
          <w:t>Burnie Court Complex Redevelopment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_Toc529272633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20</w:t>
        </w:r>
        <w:r w:rsidR="00BB4B4C" w:rsidRPr="00BB4B4C">
          <w:rPr>
            <w:rFonts w:ascii="Gill Sans MT" w:hAnsi="Gill Sans MT"/>
            <w:noProof/>
            <w:webHidden/>
          </w:rPr>
          <w:fldChar w:fldCharType="end"/>
        </w:r>
      </w:hyperlink>
    </w:p>
    <w:p w14:paraId="5C5CABB7" w14:textId="1348F1EA"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34" w:history="1">
        <w:r w:rsidR="00BB4B4C" w:rsidRPr="00BB4B4C">
          <w:rPr>
            <w:rStyle w:val="Hyperlink"/>
            <w:rFonts w:ascii="Gill Sans MT" w:hAnsi="Gill Sans MT"/>
            <w:noProof/>
          </w:rPr>
          <w:t>Legal Education Initiatives and Community Involvement</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_Toc529272634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20</w:t>
        </w:r>
        <w:r w:rsidR="00BB4B4C" w:rsidRPr="00BB4B4C">
          <w:rPr>
            <w:rFonts w:ascii="Gill Sans MT" w:hAnsi="Gill Sans MT"/>
            <w:noProof/>
            <w:webHidden/>
          </w:rPr>
          <w:fldChar w:fldCharType="end"/>
        </w:r>
      </w:hyperlink>
    </w:p>
    <w:p w14:paraId="6A34738E" w14:textId="128D691C"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35" w:history="1">
        <w:r w:rsidR="00BB4B4C" w:rsidRPr="00BB4B4C">
          <w:rPr>
            <w:rStyle w:val="Hyperlink"/>
            <w:rFonts w:ascii="Gill Sans MT" w:hAnsi="Gill Sans MT"/>
            <w:noProof/>
          </w:rPr>
          <w:t>Legal Practice Course</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_Toc529272635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20</w:t>
        </w:r>
        <w:r w:rsidR="00BB4B4C" w:rsidRPr="00BB4B4C">
          <w:rPr>
            <w:rFonts w:ascii="Gill Sans MT" w:hAnsi="Gill Sans MT"/>
            <w:noProof/>
            <w:webHidden/>
          </w:rPr>
          <w:fldChar w:fldCharType="end"/>
        </w:r>
      </w:hyperlink>
    </w:p>
    <w:p w14:paraId="7941F3E3" w14:textId="44C2A119"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36" w:history="1">
        <w:r w:rsidR="00BB4B4C" w:rsidRPr="00BB4B4C">
          <w:rPr>
            <w:rStyle w:val="Hyperlink"/>
            <w:rFonts w:ascii="Gill Sans MT" w:hAnsi="Gill Sans MT"/>
            <w:noProof/>
          </w:rPr>
          <w:t>CourtWatch</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_Toc529272636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20</w:t>
        </w:r>
        <w:r w:rsidR="00BB4B4C" w:rsidRPr="00BB4B4C">
          <w:rPr>
            <w:rFonts w:ascii="Gill Sans MT" w:hAnsi="Gill Sans MT"/>
            <w:noProof/>
            <w:webHidden/>
          </w:rPr>
          <w:fldChar w:fldCharType="end"/>
        </w:r>
      </w:hyperlink>
    </w:p>
    <w:p w14:paraId="72363B7B" w14:textId="2AB3404E"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37" w:history="1">
        <w:r w:rsidR="00BB4B4C" w:rsidRPr="00BB4B4C">
          <w:rPr>
            <w:rStyle w:val="Hyperlink"/>
            <w:rFonts w:ascii="Gill Sans MT" w:hAnsi="Gill Sans MT"/>
            <w:noProof/>
          </w:rPr>
          <w:t>Legal Education</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_Toc529272637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21</w:t>
        </w:r>
        <w:r w:rsidR="00BB4B4C" w:rsidRPr="00BB4B4C">
          <w:rPr>
            <w:rFonts w:ascii="Gill Sans MT" w:hAnsi="Gill Sans MT"/>
            <w:noProof/>
            <w:webHidden/>
          </w:rPr>
          <w:fldChar w:fldCharType="end"/>
        </w:r>
      </w:hyperlink>
    </w:p>
    <w:p w14:paraId="2594CCCE" w14:textId="21EF1ACA"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38" w:history="1">
        <w:r w:rsidR="00BB4B4C" w:rsidRPr="00BB4B4C">
          <w:rPr>
            <w:rStyle w:val="Hyperlink"/>
            <w:rFonts w:ascii="Gill Sans MT" w:hAnsi="Gill Sans MT"/>
            <w:noProof/>
          </w:rPr>
          <w:t>Community Events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_Toc529272638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21</w:t>
        </w:r>
        <w:r w:rsidR="00BB4B4C" w:rsidRPr="00BB4B4C">
          <w:rPr>
            <w:rFonts w:ascii="Gill Sans MT" w:hAnsi="Gill Sans MT"/>
            <w:noProof/>
            <w:webHidden/>
          </w:rPr>
          <w:fldChar w:fldCharType="end"/>
        </w:r>
      </w:hyperlink>
    </w:p>
    <w:p w14:paraId="5881BCB2" w14:textId="0F41CD78"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39" w:history="1">
        <w:r w:rsidR="00BB4B4C" w:rsidRPr="00BB4B4C">
          <w:rPr>
            <w:rStyle w:val="Hyperlink"/>
            <w:rFonts w:ascii="Gill Sans MT" w:hAnsi="Gill Sans MT"/>
            <w:noProof/>
          </w:rPr>
          <w:t>Access to Justice</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_Toc529272639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22</w:t>
        </w:r>
        <w:r w:rsidR="00BB4B4C" w:rsidRPr="00BB4B4C">
          <w:rPr>
            <w:rFonts w:ascii="Gill Sans MT" w:hAnsi="Gill Sans MT"/>
            <w:noProof/>
            <w:webHidden/>
          </w:rPr>
          <w:fldChar w:fldCharType="end"/>
        </w:r>
      </w:hyperlink>
    </w:p>
    <w:p w14:paraId="0430EBE8" w14:textId="38CD6F85"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40" w:history="1">
        <w:r w:rsidR="00BB4B4C" w:rsidRPr="00BB4B4C">
          <w:rPr>
            <w:rStyle w:val="Hyperlink"/>
            <w:rFonts w:ascii="Gill Sans MT" w:hAnsi="Gill Sans MT"/>
            <w:noProof/>
          </w:rPr>
          <w:t>Disability Access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_Toc529272640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22</w:t>
        </w:r>
        <w:r w:rsidR="00BB4B4C" w:rsidRPr="00BB4B4C">
          <w:rPr>
            <w:rFonts w:ascii="Gill Sans MT" w:hAnsi="Gill Sans MT"/>
            <w:noProof/>
            <w:webHidden/>
          </w:rPr>
          <w:fldChar w:fldCharType="end"/>
        </w:r>
      </w:hyperlink>
    </w:p>
    <w:p w14:paraId="63D6E4B1" w14:textId="13023557"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41" w:history="1">
        <w:r w:rsidR="00BB4B4C" w:rsidRPr="00BB4B4C">
          <w:rPr>
            <w:rStyle w:val="Hyperlink"/>
            <w:rFonts w:ascii="Gill Sans MT" w:hAnsi="Gill Sans MT"/>
            <w:noProof/>
          </w:rPr>
          <w:t>Interpreters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_Toc529272641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22</w:t>
        </w:r>
        <w:r w:rsidR="00BB4B4C" w:rsidRPr="00BB4B4C">
          <w:rPr>
            <w:rFonts w:ascii="Gill Sans MT" w:hAnsi="Gill Sans MT"/>
            <w:noProof/>
            <w:webHidden/>
          </w:rPr>
          <w:fldChar w:fldCharType="end"/>
        </w:r>
      </w:hyperlink>
    </w:p>
    <w:p w14:paraId="46104A18" w14:textId="5506F942"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42" w:history="1">
        <w:r w:rsidR="00BB4B4C" w:rsidRPr="00BB4B4C">
          <w:rPr>
            <w:rStyle w:val="Hyperlink"/>
            <w:rFonts w:ascii="Gill Sans MT" w:hAnsi="Gill Sans MT"/>
            <w:noProof/>
          </w:rPr>
          <w:t>Court Support Services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_Toc529272642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23</w:t>
        </w:r>
        <w:r w:rsidR="00BB4B4C" w:rsidRPr="00BB4B4C">
          <w:rPr>
            <w:rFonts w:ascii="Gill Sans MT" w:hAnsi="Gill Sans MT"/>
            <w:noProof/>
            <w:webHidden/>
          </w:rPr>
          <w:fldChar w:fldCharType="end"/>
        </w:r>
      </w:hyperlink>
    </w:p>
    <w:p w14:paraId="79F754DB" w14:textId="7E8A5CB8"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43" w:history="1">
        <w:r w:rsidR="00BB4B4C" w:rsidRPr="00BB4B4C">
          <w:rPr>
            <w:rStyle w:val="Hyperlink"/>
            <w:rFonts w:ascii="Gill Sans MT" w:hAnsi="Gill Sans MT"/>
            <w:noProof/>
          </w:rPr>
          <w:t>Witness Assistance Service</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_Toc529272643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23</w:t>
        </w:r>
        <w:r w:rsidR="00BB4B4C" w:rsidRPr="00BB4B4C">
          <w:rPr>
            <w:rFonts w:ascii="Gill Sans MT" w:hAnsi="Gill Sans MT"/>
            <w:noProof/>
            <w:webHidden/>
          </w:rPr>
          <w:fldChar w:fldCharType="end"/>
        </w:r>
      </w:hyperlink>
    </w:p>
    <w:p w14:paraId="207F431B" w14:textId="1C3AECB6"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44" w:history="1">
        <w:r w:rsidR="00BB4B4C" w:rsidRPr="00BB4B4C">
          <w:rPr>
            <w:rStyle w:val="Hyperlink"/>
            <w:rFonts w:ascii="Gill Sans MT" w:hAnsi="Gill Sans MT"/>
            <w:noProof/>
          </w:rPr>
          <w:t>Salvation Army - Court and Prison Chaplaincy</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_Toc529272644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23</w:t>
        </w:r>
        <w:r w:rsidR="00BB4B4C" w:rsidRPr="00BB4B4C">
          <w:rPr>
            <w:rFonts w:ascii="Gill Sans MT" w:hAnsi="Gill Sans MT"/>
            <w:noProof/>
            <w:webHidden/>
          </w:rPr>
          <w:fldChar w:fldCharType="end"/>
        </w:r>
      </w:hyperlink>
    </w:p>
    <w:p w14:paraId="4D3E2BDD" w14:textId="27C74223"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45" w:history="1">
        <w:r w:rsidR="00BB4B4C" w:rsidRPr="00BB4B4C">
          <w:rPr>
            <w:rStyle w:val="Hyperlink"/>
            <w:rFonts w:ascii="Gill Sans MT" w:hAnsi="Gill Sans MT"/>
            <w:noProof/>
          </w:rPr>
          <w:t>Save the Children</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_Toc529272645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23</w:t>
        </w:r>
        <w:r w:rsidR="00BB4B4C" w:rsidRPr="00BB4B4C">
          <w:rPr>
            <w:rFonts w:ascii="Gill Sans MT" w:hAnsi="Gill Sans MT"/>
            <w:noProof/>
            <w:webHidden/>
          </w:rPr>
          <w:fldChar w:fldCharType="end"/>
        </w:r>
      </w:hyperlink>
    </w:p>
    <w:p w14:paraId="65259AF2" w14:textId="27E6CA3E"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46" w:history="1">
        <w:r w:rsidR="00BB4B4C" w:rsidRPr="00BB4B4C">
          <w:rPr>
            <w:rStyle w:val="Hyperlink"/>
            <w:rFonts w:ascii="Gill Sans MT" w:hAnsi="Gill Sans MT"/>
            <w:noProof/>
          </w:rPr>
          <w:t>Baptcare and Mission Australia</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_Toc529272646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24</w:t>
        </w:r>
        <w:r w:rsidR="00BB4B4C" w:rsidRPr="00BB4B4C">
          <w:rPr>
            <w:rFonts w:ascii="Gill Sans MT" w:hAnsi="Gill Sans MT"/>
            <w:noProof/>
            <w:webHidden/>
          </w:rPr>
          <w:fldChar w:fldCharType="end"/>
        </w:r>
      </w:hyperlink>
    </w:p>
    <w:p w14:paraId="6EB611B3" w14:textId="735918A2"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47" w:history="1">
        <w:r w:rsidR="00BB4B4C" w:rsidRPr="00BB4B4C">
          <w:rPr>
            <w:rStyle w:val="Hyperlink"/>
            <w:rFonts w:ascii="Gill Sans MT" w:hAnsi="Gill Sans MT"/>
            <w:noProof/>
          </w:rPr>
          <w:t>Community Legal Services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_Toc529272647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24</w:t>
        </w:r>
        <w:r w:rsidR="00BB4B4C" w:rsidRPr="00BB4B4C">
          <w:rPr>
            <w:rFonts w:ascii="Gill Sans MT" w:hAnsi="Gill Sans MT"/>
            <w:noProof/>
            <w:webHidden/>
          </w:rPr>
          <w:fldChar w:fldCharType="end"/>
        </w:r>
      </w:hyperlink>
    </w:p>
    <w:p w14:paraId="59D1ED6C" w14:textId="7D0BD395"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48" w:history="1">
        <w:r w:rsidR="00BB4B4C" w:rsidRPr="00BB4B4C">
          <w:rPr>
            <w:rStyle w:val="Hyperlink"/>
            <w:rFonts w:ascii="Gill Sans MT" w:hAnsi="Gill Sans MT"/>
            <w:noProof/>
          </w:rPr>
          <w:t>Coronial Division</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_Toc529272648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25</w:t>
        </w:r>
        <w:r w:rsidR="00BB4B4C" w:rsidRPr="00BB4B4C">
          <w:rPr>
            <w:rFonts w:ascii="Gill Sans MT" w:hAnsi="Gill Sans MT"/>
            <w:noProof/>
            <w:webHidden/>
          </w:rPr>
          <w:fldChar w:fldCharType="end"/>
        </w:r>
      </w:hyperlink>
    </w:p>
    <w:p w14:paraId="658E2990" w14:textId="5DE329B1"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49" w:history="1">
        <w:r w:rsidR="00BB4B4C" w:rsidRPr="00BB4B4C">
          <w:rPr>
            <w:rStyle w:val="Hyperlink"/>
            <w:rFonts w:ascii="Gill Sans MT" w:hAnsi="Gill Sans MT"/>
            <w:noProof/>
          </w:rPr>
          <w:t>Court Statistics and Performance Indicators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_Toc529272649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27</w:t>
        </w:r>
        <w:r w:rsidR="00BB4B4C" w:rsidRPr="00BB4B4C">
          <w:rPr>
            <w:rFonts w:ascii="Gill Sans MT" w:hAnsi="Gill Sans MT"/>
            <w:noProof/>
            <w:webHidden/>
          </w:rPr>
          <w:fldChar w:fldCharType="end"/>
        </w:r>
      </w:hyperlink>
    </w:p>
    <w:p w14:paraId="19DD77A5" w14:textId="3193D888"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50" w:history="1">
        <w:r w:rsidR="00BB4B4C" w:rsidRPr="00BB4B4C">
          <w:rPr>
            <w:rStyle w:val="Hyperlink"/>
            <w:rFonts w:ascii="Gill Sans MT" w:hAnsi="Gill Sans MT" w:cstheme="majorBidi"/>
            <w:noProof/>
            <w:lang w:eastAsia="en-US"/>
          </w:rPr>
          <w:t>1. Caseload</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_Toc529272650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29</w:t>
        </w:r>
        <w:r w:rsidR="00BB4B4C" w:rsidRPr="00BB4B4C">
          <w:rPr>
            <w:rFonts w:ascii="Gill Sans MT" w:hAnsi="Gill Sans MT"/>
            <w:noProof/>
            <w:webHidden/>
          </w:rPr>
          <w:fldChar w:fldCharType="end"/>
        </w:r>
      </w:hyperlink>
    </w:p>
    <w:p w14:paraId="6043B1DB" w14:textId="3E63A3A8"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51" w:history="1">
        <w:r w:rsidR="00BB4B4C" w:rsidRPr="00BB4B4C">
          <w:rPr>
            <w:rStyle w:val="Hyperlink"/>
            <w:rFonts w:ascii="Gill Sans MT" w:hAnsi="Gill Sans MT" w:cstheme="majorBidi"/>
            <w:noProof/>
            <w:lang w:eastAsia="en-US"/>
          </w:rPr>
          <w:t>2. Court Statistics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_Toc529272651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31</w:t>
        </w:r>
        <w:r w:rsidR="00BB4B4C" w:rsidRPr="00BB4B4C">
          <w:rPr>
            <w:rFonts w:ascii="Gill Sans MT" w:hAnsi="Gill Sans MT"/>
            <w:noProof/>
            <w:webHidden/>
          </w:rPr>
          <w:fldChar w:fldCharType="end"/>
        </w:r>
      </w:hyperlink>
    </w:p>
    <w:p w14:paraId="200B1240" w14:textId="11099BB4"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52" w:history="1">
        <w:r w:rsidR="00BB4B4C" w:rsidRPr="00BB4B4C">
          <w:rPr>
            <w:rStyle w:val="Hyperlink"/>
            <w:rFonts w:ascii="Gill Sans MT" w:hAnsi="Gill Sans MT" w:cstheme="majorBidi"/>
            <w:noProof/>
            <w:lang w:eastAsia="en-US"/>
          </w:rPr>
          <w:t>3. Performance Indicators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_Toc529272652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38</w:t>
        </w:r>
        <w:r w:rsidR="00BB4B4C" w:rsidRPr="00BB4B4C">
          <w:rPr>
            <w:rFonts w:ascii="Gill Sans MT" w:hAnsi="Gill Sans MT"/>
            <w:noProof/>
            <w:webHidden/>
          </w:rPr>
          <w:fldChar w:fldCharType="end"/>
        </w:r>
      </w:hyperlink>
    </w:p>
    <w:p w14:paraId="63C7E61B" w14:textId="374C863C"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53" w:history="1">
        <w:r w:rsidR="00BB4B4C" w:rsidRPr="00BB4B4C">
          <w:rPr>
            <w:rStyle w:val="Hyperlink"/>
            <w:rFonts w:ascii="Gill Sans MT" w:hAnsi="Gill Sans MT"/>
            <w:noProof/>
          </w:rPr>
          <w:t>Backlog Indicator</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_Toc529272653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38</w:t>
        </w:r>
        <w:r w:rsidR="00BB4B4C" w:rsidRPr="00BB4B4C">
          <w:rPr>
            <w:rFonts w:ascii="Gill Sans MT" w:hAnsi="Gill Sans MT"/>
            <w:noProof/>
            <w:webHidden/>
          </w:rPr>
          <w:fldChar w:fldCharType="end"/>
        </w:r>
      </w:hyperlink>
    </w:p>
    <w:p w14:paraId="06D3973E" w14:textId="58760E38"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54" w:history="1">
        <w:r w:rsidR="00BB4B4C" w:rsidRPr="00BB4B4C">
          <w:rPr>
            <w:rStyle w:val="Hyperlink"/>
            <w:rFonts w:ascii="Gill Sans MT" w:hAnsi="Gill Sans MT"/>
            <w:noProof/>
          </w:rPr>
          <w:t>Clearance Rate</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_Toc529272654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39</w:t>
        </w:r>
        <w:r w:rsidR="00BB4B4C" w:rsidRPr="00BB4B4C">
          <w:rPr>
            <w:rFonts w:ascii="Gill Sans MT" w:hAnsi="Gill Sans MT"/>
            <w:noProof/>
            <w:webHidden/>
          </w:rPr>
          <w:fldChar w:fldCharType="end"/>
        </w:r>
      </w:hyperlink>
    </w:p>
    <w:p w14:paraId="7E5DDB8B" w14:textId="0B954D0A" w:rsidR="00BB4B4C" w:rsidRPr="00BB4B4C" w:rsidRDefault="00A00D95">
      <w:pPr>
        <w:pStyle w:val="TOC2"/>
        <w:tabs>
          <w:tab w:val="right" w:leader="dot" w:pos="8296"/>
        </w:tabs>
        <w:rPr>
          <w:rFonts w:ascii="Gill Sans MT" w:eastAsiaTheme="minorEastAsia" w:hAnsi="Gill Sans MT" w:cstheme="minorBidi"/>
          <w:smallCaps w:val="0"/>
          <w:noProof/>
          <w:sz w:val="22"/>
          <w:szCs w:val="22"/>
        </w:rPr>
      </w:pPr>
      <w:hyperlink w:anchor="_Toc529272655" w:history="1">
        <w:r w:rsidR="00BB4B4C" w:rsidRPr="00BB4B4C">
          <w:rPr>
            <w:rStyle w:val="Hyperlink"/>
            <w:rFonts w:ascii="Gill Sans MT" w:hAnsi="Gill Sans MT"/>
            <w:noProof/>
          </w:rPr>
          <w:t>Attendance index</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_Toc529272655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41</w:t>
        </w:r>
        <w:r w:rsidR="00BB4B4C" w:rsidRPr="00BB4B4C">
          <w:rPr>
            <w:rFonts w:ascii="Gill Sans MT" w:hAnsi="Gill Sans MT"/>
            <w:noProof/>
            <w:webHidden/>
          </w:rPr>
          <w:fldChar w:fldCharType="end"/>
        </w:r>
      </w:hyperlink>
    </w:p>
    <w:p w14:paraId="71BC6246" w14:textId="7A3C7631" w:rsidR="00BB4B4C" w:rsidRPr="00BB4B4C" w:rsidRDefault="00A00D95">
      <w:pPr>
        <w:pStyle w:val="TOC1"/>
        <w:tabs>
          <w:tab w:val="right" w:leader="dot" w:pos="8296"/>
        </w:tabs>
        <w:rPr>
          <w:rFonts w:ascii="Gill Sans MT" w:eastAsiaTheme="minorEastAsia" w:hAnsi="Gill Sans MT" w:cstheme="minorBidi"/>
          <w:bCs w:val="0"/>
          <w:caps w:val="0"/>
          <w:noProof/>
          <w:sz w:val="22"/>
          <w:szCs w:val="22"/>
        </w:rPr>
      </w:pPr>
      <w:hyperlink w:anchor="_Toc529272656" w:history="1">
        <w:r w:rsidR="00BB4B4C" w:rsidRPr="00BB4B4C">
          <w:rPr>
            <w:rStyle w:val="Hyperlink"/>
            <w:rFonts w:ascii="Gill Sans MT" w:hAnsi="Gill Sans MT"/>
            <w:noProof/>
          </w:rPr>
          <w:t>Court Finances</w:t>
        </w:r>
        <w:r w:rsidR="00BB4B4C" w:rsidRPr="00BB4B4C">
          <w:rPr>
            <w:rFonts w:ascii="Gill Sans MT" w:hAnsi="Gill Sans MT"/>
            <w:noProof/>
            <w:webHidden/>
          </w:rPr>
          <w:tab/>
        </w:r>
        <w:r w:rsidR="00BB4B4C" w:rsidRPr="00BB4B4C">
          <w:rPr>
            <w:rFonts w:ascii="Gill Sans MT" w:hAnsi="Gill Sans MT"/>
            <w:noProof/>
            <w:webHidden/>
          </w:rPr>
          <w:fldChar w:fldCharType="begin"/>
        </w:r>
        <w:r w:rsidR="00BB4B4C" w:rsidRPr="00BB4B4C">
          <w:rPr>
            <w:rFonts w:ascii="Gill Sans MT" w:hAnsi="Gill Sans MT"/>
            <w:noProof/>
            <w:webHidden/>
          </w:rPr>
          <w:instrText xml:space="preserve"> PAGEREF _Toc529272656 \h </w:instrText>
        </w:r>
        <w:r w:rsidR="00BB4B4C" w:rsidRPr="00BB4B4C">
          <w:rPr>
            <w:rFonts w:ascii="Gill Sans MT" w:hAnsi="Gill Sans MT"/>
            <w:noProof/>
            <w:webHidden/>
          </w:rPr>
        </w:r>
        <w:r w:rsidR="00BB4B4C" w:rsidRPr="00BB4B4C">
          <w:rPr>
            <w:rFonts w:ascii="Gill Sans MT" w:hAnsi="Gill Sans MT"/>
            <w:noProof/>
            <w:webHidden/>
          </w:rPr>
          <w:fldChar w:fldCharType="separate"/>
        </w:r>
        <w:r w:rsidR="00BB4B4C" w:rsidRPr="00BB4B4C">
          <w:rPr>
            <w:rFonts w:ascii="Gill Sans MT" w:hAnsi="Gill Sans MT"/>
            <w:noProof/>
            <w:webHidden/>
          </w:rPr>
          <w:t>42</w:t>
        </w:r>
        <w:r w:rsidR="00BB4B4C" w:rsidRPr="00BB4B4C">
          <w:rPr>
            <w:rFonts w:ascii="Gill Sans MT" w:hAnsi="Gill Sans MT"/>
            <w:noProof/>
            <w:webHidden/>
          </w:rPr>
          <w:fldChar w:fldCharType="end"/>
        </w:r>
      </w:hyperlink>
    </w:p>
    <w:p w14:paraId="6A523122" w14:textId="4F8E7932" w:rsidR="00D74364" w:rsidRDefault="00BB4B4C" w:rsidP="00BD2A8D">
      <w:pPr>
        <w:rPr>
          <w:rFonts w:cs="Calibri"/>
          <w:b/>
          <w:bCs/>
          <w:caps/>
          <w:sz w:val="20"/>
          <w:szCs w:val="20"/>
          <w:highlight w:val="yellow"/>
        </w:rPr>
        <w:sectPr w:rsidR="00D74364" w:rsidSect="00C5072D">
          <w:footerReference w:type="default" r:id="rId8"/>
          <w:type w:val="continuous"/>
          <w:pgSz w:w="11906" w:h="16838"/>
          <w:pgMar w:top="899" w:right="1800" w:bottom="1440" w:left="1800" w:header="0" w:footer="708" w:gutter="0"/>
          <w:cols w:space="708"/>
          <w:docGrid w:linePitch="360"/>
        </w:sectPr>
      </w:pPr>
      <w:r w:rsidRPr="00BB4B4C">
        <w:rPr>
          <w:rFonts w:cs="Calibri"/>
          <w:bCs/>
          <w:caps/>
          <w:sz w:val="20"/>
          <w:szCs w:val="20"/>
          <w:highlight w:val="yellow"/>
        </w:rPr>
        <w:fldChar w:fldCharType="end"/>
      </w:r>
    </w:p>
    <w:p w14:paraId="4A16A9AA" w14:textId="47B37CDA" w:rsidR="00E11EA1" w:rsidRPr="00847FAE" w:rsidRDefault="00EF7A47" w:rsidP="00BD2A8D">
      <w:r w:rsidRPr="00EF7A47">
        <w:rPr>
          <w:noProof/>
        </w:rPr>
        <w:lastRenderedPageBreak/>
        <w:drawing>
          <wp:inline distT="0" distB="0" distL="0" distR="0" wp14:anchorId="4280BDE7" wp14:editId="600230F1">
            <wp:extent cx="885825" cy="956129"/>
            <wp:effectExtent l="0" t="0" r="0" b="0"/>
            <wp:docPr id="5" name="Picture 5" descr="MagistratesCourtTasmaniaScalesofJusticeLogo" title="MagistratesCourtTasmaniaScalesof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KimH\Pictures\ScalesofJusticeMagCr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56129"/>
                    </a:xfrm>
                    <a:prstGeom prst="rect">
                      <a:avLst/>
                    </a:prstGeom>
                    <a:noFill/>
                    <a:ln>
                      <a:noFill/>
                    </a:ln>
                  </pic:spPr>
                </pic:pic>
              </a:graphicData>
            </a:graphic>
          </wp:inline>
        </w:drawing>
      </w:r>
    </w:p>
    <w:p w14:paraId="393C2E80" w14:textId="5CE3307C" w:rsidR="00EF7A47" w:rsidRDefault="00EF7A47" w:rsidP="006A622E">
      <w:pPr>
        <w:pStyle w:val="BodyText"/>
        <w:keepLines w:val="0"/>
        <w:ind w:left="5040"/>
        <w:jc w:val="left"/>
        <w:rPr>
          <w:szCs w:val="22"/>
        </w:rPr>
      </w:pPr>
      <w:bookmarkStart w:id="12" w:name="_MON_1132577515"/>
      <w:bookmarkStart w:id="13" w:name="_MON_1132650145"/>
      <w:bookmarkStart w:id="14" w:name="_MON_1132728124"/>
      <w:bookmarkStart w:id="15" w:name="_MON_1166613432"/>
      <w:bookmarkStart w:id="16" w:name="_MON_1191128526"/>
      <w:bookmarkStart w:id="17" w:name="_MON_1224416819"/>
      <w:bookmarkStart w:id="18" w:name="_MON_1225609807"/>
      <w:bookmarkStart w:id="19" w:name="_MON_1225625653"/>
      <w:bookmarkStart w:id="20" w:name="_MON_1225632443"/>
      <w:bookmarkStart w:id="21" w:name="_MON_1225690009"/>
      <w:bookmarkStart w:id="22" w:name="_MON_1225690406"/>
      <w:bookmarkStart w:id="23" w:name="_MON_1225696946"/>
      <w:bookmarkStart w:id="24" w:name="_MON_1225699233"/>
      <w:bookmarkStart w:id="25" w:name="_MON_1225702146"/>
      <w:bookmarkStart w:id="26" w:name="_MON_1225702968"/>
      <w:bookmarkStart w:id="27" w:name="_MON_1225703971"/>
      <w:bookmarkStart w:id="28" w:name="_MON_1225704226"/>
      <w:bookmarkStart w:id="29" w:name="_MON_1225705055"/>
      <w:bookmarkStart w:id="30" w:name="_MON_1225709853"/>
      <w:bookmarkStart w:id="31" w:name="_MON_1225716284"/>
      <w:bookmarkStart w:id="32" w:name="_MON_132083976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A42DAF">
        <w:rPr>
          <w:rFonts w:ascii="Gill Sans MT" w:hAnsi="Gill Sans MT"/>
          <w:sz w:val="22"/>
          <w:szCs w:val="22"/>
        </w:rPr>
        <w:t>MAGISTRATE</w:t>
      </w:r>
      <w:r w:rsidR="006A622E">
        <w:rPr>
          <w:rFonts w:ascii="Gill Sans MT" w:hAnsi="Gill Sans MT"/>
          <w:sz w:val="22"/>
          <w:szCs w:val="22"/>
        </w:rPr>
        <w:t>S CHAMBERS</w:t>
      </w:r>
      <w:r w:rsidR="006A622E">
        <w:rPr>
          <w:rFonts w:ascii="Gill Sans MT" w:hAnsi="Gill Sans MT"/>
          <w:sz w:val="22"/>
          <w:szCs w:val="22"/>
        </w:rPr>
        <w:br/>
        <w:t>GPO Box 354</w:t>
      </w:r>
      <w:r w:rsidR="006A622E">
        <w:rPr>
          <w:rFonts w:ascii="Gill Sans MT" w:hAnsi="Gill Sans MT"/>
          <w:sz w:val="22"/>
          <w:szCs w:val="22"/>
        </w:rPr>
        <w:br/>
        <w:t xml:space="preserve">Hobart </w:t>
      </w:r>
      <w:r w:rsidRPr="00A42DAF">
        <w:rPr>
          <w:rFonts w:ascii="Gill Sans MT" w:hAnsi="Gill Sans MT"/>
          <w:sz w:val="22"/>
          <w:szCs w:val="22"/>
        </w:rPr>
        <w:t>Tasmania</w:t>
      </w:r>
      <w:r w:rsidR="006A622E">
        <w:rPr>
          <w:rFonts w:ascii="Gill Sans MT" w:hAnsi="Gill Sans MT"/>
          <w:sz w:val="22"/>
          <w:szCs w:val="22"/>
        </w:rPr>
        <w:t xml:space="preserve"> </w:t>
      </w:r>
      <w:r w:rsidRPr="00A42DAF">
        <w:rPr>
          <w:rFonts w:ascii="Gill Sans MT" w:hAnsi="Gill Sans MT"/>
          <w:sz w:val="22"/>
          <w:szCs w:val="22"/>
        </w:rPr>
        <w:t>7000</w:t>
      </w:r>
    </w:p>
    <w:p w14:paraId="1DDEF04D" w14:textId="1B80DA1C" w:rsidR="0028108C" w:rsidRPr="00847FAE" w:rsidRDefault="0028108C" w:rsidP="00520EBC">
      <w:pPr>
        <w:rPr>
          <w:highlight w:val="yellow"/>
        </w:rPr>
      </w:pPr>
      <w:r w:rsidRPr="00847FAE">
        <w:t xml:space="preserve">The Honourable </w:t>
      </w:r>
      <w:r w:rsidR="000E2CC6" w:rsidRPr="00847FAE">
        <w:t xml:space="preserve">Elise Archer </w:t>
      </w:r>
      <w:r w:rsidRPr="00847FAE">
        <w:t>MP</w:t>
      </w:r>
    </w:p>
    <w:p w14:paraId="0CB5843B" w14:textId="3792F047" w:rsidR="0028108C" w:rsidRPr="00847FAE" w:rsidRDefault="005F46F8" w:rsidP="00520EBC">
      <w:r w:rsidRPr="00847FAE">
        <w:t xml:space="preserve">Attorney-General and </w:t>
      </w:r>
      <w:r w:rsidR="000E2CC6" w:rsidRPr="00847FAE">
        <w:t>Minister for Justice</w:t>
      </w:r>
    </w:p>
    <w:p w14:paraId="2A9E7F23" w14:textId="77777777" w:rsidR="0028108C" w:rsidRPr="00847FAE" w:rsidRDefault="0028108C" w:rsidP="00520EBC">
      <w:pPr>
        <w:rPr>
          <w:lang w:val="en"/>
        </w:rPr>
      </w:pPr>
      <w:r w:rsidRPr="00847FAE">
        <w:rPr>
          <w:lang w:val="en"/>
        </w:rPr>
        <w:t>Level 10, 15 Murray Street</w:t>
      </w:r>
    </w:p>
    <w:p w14:paraId="1D8021EE" w14:textId="77777777" w:rsidR="0028108C" w:rsidRPr="00847FAE" w:rsidRDefault="0028108C" w:rsidP="00520EBC">
      <w:pPr>
        <w:rPr>
          <w:lang w:val="en"/>
        </w:rPr>
      </w:pPr>
      <w:r w:rsidRPr="00847FAE">
        <w:rPr>
          <w:lang w:val="en"/>
        </w:rPr>
        <w:t>HOBART,   TAS   7000</w:t>
      </w:r>
    </w:p>
    <w:p w14:paraId="57A2747C" w14:textId="77777777" w:rsidR="0028108C" w:rsidRPr="00847FAE" w:rsidRDefault="0028108C" w:rsidP="00520EBC"/>
    <w:p w14:paraId="0E5BAEC3" w14:textId="12EF03F6" w:rsidR="00E11EA1" w:rsidRPr="00847FAE" w:rsidRDefault="00E11EA1" w:rsidP="00520EBC">
      <w:pPr>
        <w:pStyle w:val="NormalNew"/>
        <w:keepLines w:val="0"/>
      </w:pPr>
      <w:r w:rsidRPr="00847FAE">
        <w:t xml:space="preserve">Dear </w:t>
      </w:r>
      <w:r w:rsidR="005F46F8" w:rsidRPr="00847FAE">
        <w:t>Attorney-General</w:t>
      </w:r>
    </w:p>
    <w:p w14:paraId="7BDB576D" w14:textId="13BA375D" w:rsidR="00E11EA1" w:rsidRPr="00847FAE" w:rsidRDefault="00E11EA1" w:rsidP="00520EBC">
      <w:pPr>
        <w:pStyle w:val="BodyText"/>
        <w:keepLines w:val="0"/>
        <w:rPr>
          <w:rFonts w:ascii="Gill Sans MT" w:hAnsi="Gill Sans MT"/>
          <w:b/>
          <w:sz w:val="22"/>
          <w:szCs w:val="22"/>
        </w:rPr>
      </w:pPr>
      <w:r w:rsidRPr="00847FAE">
        <w:rPr>
          <w:rFonts w:ascii="Gill Sans MT" w:hAnsi="Gill Sans MT"/>
          <w:b/>
          <w:sz w:val="22"/>
          <w:szCs w:val="22"/>
        </w:rPr>
        <w:t xml:space="preserve">MAGISTRATES COURT </w:t>
      </w:r>
      <w:r w:rsidR="0032233A" w:rsidRPr="00847FAE">
        <w:rPr>
          <w:rFonts w:ascii="Gill Sans MT" w:hAnsi="Gill Sans MT"/>
          <w:b/>
          <w:sz w:val="22"/>
          <w:szCs w:val="22"/>
        </w:rPr>
        <w:t xml:space="preserve">AND CORONIAL DIVISION </w:t>
      </w:r>
      <w:r w:rsidRPr="00847FAE">
        <w:rPr>
          <w:rFonts w:ascii="Gill Sans MT" w:hAnsi="Gill Sans MT"/>
          <w:b/>
          <w:sz w:val="22"/>
          <w:szCs w:val="22"/>
        </w:rPr>
        <w:t>ANNUAL REPORT</w:t>
      </w:r>
      <w:r w:rsidR="0032233A" w:rsidRPr="00847FAE">
        <w:rPr>
          <w:rFonts w:ascii="Gill Sans MT" w:hAnsi="Gill Sans MT"/>
          <w:b/>
          <w:sz w:val="22"/>
          <w:szCs w:val="22"/>
        </w:rPr>
        <w:t xml:space="preserve">S </w:t>
      </w:r>
      <w:r w:rsidRPr="00847FAE">
        <w:rPr>
          <w:rFonts w:ascii="Gill Sans MT" w:hAnsi="Gill Sans MT"/>
          <w:b/>
          <w:sz w:val="22"/>
          <w:szCs w:val="22"/>
        </w:rPr>
        <w:t>201</w:t>
      </w:r>
      <w:r w:rsidR="005F46F8" w:rsidRPr="00847FAE">
        <w:rPr>
          <w:rFonts w:ascii="Gill Sans MT" w:hAnsi="Gill Sans MT"/>
          <w:b/>
          <w:sz w:val="22"/>
          <w:szCs w:val="22"/>
        </w:rPr>
        <w:t>7</w:t>
      </w:r>
      <w:r w:rsidRPr="00847FAE">
        <w:rPr>
          <w:rFonts w:ascii="Gill Sans MT" w:hAnsi="Gill Sans MT"/>
          <w:b/>
          <w:sz w:val="22"/>
          <w:szCs w:val="22"/>
        </w:rPr>
        <w:t>-201</w:t>
      </w:r>
      <w:r w:rsidR="005F46F8" w:rsidRPr="00847FAE">
        <w:rPr>
          <w:rFonts w:ascii="Gill Sans MT" w:hAnsi="Gill Sans MT"/>
          <w:b/>
          <w:sz w:val="22"/>
          <w:szCs w:val="22"/>
        </w:rPr>
        <w:t>8</w:t>
      </w:r>
    </w:p>
    <w:p w14:paraId="175330D4" w14:textId="1F1CE618" w:rsidR="00C57E96" w:rsidRPr="00847FAE" w:rsidRDefault="00E11EA1" w:rsidP="00D10774">
      <w:pPr>
        <w:pStyle w:val="NormalNew"/>
        <w:keepLines w:val="0"/>
      </w:pPr>
      <w:r w:rsidRPr="00847FAE">
        <w:t>I enclos</w:t>
      </w:r>
      <w:r w:rsidR="00B325A2" w:rsidRPr="00847FAE">
        <w:t xml:space="preserve">e the </w:t>
      </w:r>
      <w:r w:rsidRPr="00847FAE">
        <w:t xml:space="preserve">Annual Report </w:t>
      </w:r>
      <w:r w:rsidR="001E1165" w:rsidRPr="00847FAE">
        <w:t>for 201</w:t>
      </w:r>
      <w:r w:rsidR="005F46F8" w:rsidRPr="00847FAE">
        <w:t>7</w:t>
      </w:r>
      <w:r w:rsidR="001E1165" w:rsidRPr="00847FAE">
        <w:t>-201</w:t>
      </w:r>
      <w:r w:rsidR="005F46F8" w:rsidRPr="00847FAE">
        <w:t>8</w:t>
      </w:r>
      <w:r w:rsidR="001E1165" w:rsidRPr="00847FAE">
        <w:t xml:space="preserve"> for the </w:t>
      </w:r>
      <w:r w:rsidRPr="00847FAE">
        <w:t>Magistrates Court</w:t>
      </w:r>
      <w:r w:rsidR="005F46F8" w:rsidRPr="00847FAE">
        <w:t xml:space="preserve">, </w:t>
      </w:r>
      <w:r w:rsidRPr="00847FAE">
        <w:t>as required by the</w:t>
      </w:r>
      <w:r w:rsidR="00D10774" w:rsidRPr="00847FAE">
        <w:t xml:space="preserve"> </w:t>
      </w:r>
      <w:r w:rsidR="00D10774" w:rsidRPr="00847FAE">
        <w:rPr>
          <w:i/>
        </w:rPr>
        <w:t>M</w:t>
      </w:r>
      <w:r w:rsidRPr="00847FAE">
        <w:rPr>
          <w:i/>
        </w:rPr>
        <w:t xml:space="preserve">agistrates Court Act </w:t>
      </w:r>
      <w:r w:rsidRPr="00847FAE">
        <w:t>1987, section 17C</w:t>
      </w:r>
      <w:r w:rsidR="005F46F8" w:rsidRPr="00847FAE">
        <w:t xml:space="preserve">.  The report is provided to you as Minister for Justice.  The report </w:t>
      </w:r>
      <w:r w:rsidR="005F46F8" w:rsidRPr="00847FAE">
        <w:rPr>
          <w:rFonts w:eastAsiaTheme="minorHAnsi"/>
          <w:lang w:eastAsia="en-US"/>
        </w:rPr>
        <w:t xml:space="preserve">incorporates the annual report for the Coronial Division which is required by the </w:t>
      </w:r>
      <w:r w:rsidR="005F46F8" w:rsidRPr="00847FAE">
        <w:rPr>
          <w:rFonts w:eastAsiaTheme="minorHAnsi"/>
          <w:i/>
          <w:lang w:eastAsia="en-US"/>
        </w:rPr>
        <w:t xml:space="preserve">Coroners Act </w:t>
      </w:r>
      <w:r w:rsidR="005F46F8" w:rsidRPr="00847FAE">
        <w:rPr>
          <w:rFonts w:eastAsiaTheme="minorHAnsi"/>
          <w:lang w:eastAsia="en-US"/>
        </w:rPr>
        <w:t>1995 section 69 to be provided to you as Attorney-General.</w:t>
      </w:r>
    </w:p>
    <w:p w14:paraId="10C11E2F" w14:textId="64F3B138" w:rsidR="00C57E96" w:rsidRPr="00847FAE" w:rsidRDefault="00C57E96" w:rsidP="00D10774">
      <w:pPr>
        <w:pStyle w:val="BodyDot1"/>
        <w:keepLines w:val="0"/>
        <w:ind w:left="0" w:firstLine="0"/>
        <w:rPr>
          <w:rFonts w:ascii="Gill Sans MT" w:hAnsi="Gill Sans MT"/>
          <w:snapToGrid/>
          <w:sz w:val="22"/>
          <w:szCs w:val="22"/>
        </w:rPr>
      </w:pPr>
    </w:p>
    <w:p w14:paraId="1E1A1A9A" w14:textId="70D9F4EE" w:rsidR="005A1CEF" w:rsidRPr="00847FAE" w:rsidRDefault="006D0E23" w:rsidP="00520EBC">
      <w:pPr>
        <w:pStyle w:val="NormalNew"/>
        <w:keepLines w:val="0"/>
      </w:pPr>
      <w:r>
        <w:rPr>
          <w:noProof/>
          <w:color w:val="000000"/>
          <w:sz w:val="24"/>
        </w:rPr>
        <w:drawing>
          <wp:inline distT="0" distB="0" distL="0" distR="0" wp14:anchorId="366908A7" wp14:editId="767DD1A5">
            <wp:extent cx="2445657" cy="609600"/>
            <wp:effectExtent l="0" t="0" r="0" b="0"/>
            <wp:docPr id="3" name="Picture 3" descr="cid:image001.jpg@01D47FF8.111D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FF8.111D32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45657" cy="609600"/>
                    </a:xfrm>
                    <a:prstGeom prst="rect">
                      <a:avLst/>
                    </a:prstGeom>
                    <a:noFill/>
                    <a:ln>
                      <a:noFill/>
                    </a:ln>
                  </pic:spPr>
                </pic:pic>
              </a:graphicData>
            </a:graphic>
          </wp:inline>
        </w:drawing>
      </w:r>
      <w:r w:rsidR="00E11EA1" w:rsidRPr="00847FAE">
        <w:t>Yours sincerely</w:t>
      </w:r>
    </w:p>
    <w:p w14:paraId="73F2B92B" w14:textId="77777777" w:rsidR="00E11EA1" w:rsidRPr="00847FAE" w:rsidRDefault="0028108C" w:rsidP="00520EBC">
      <w:pPr>
        <w:pStyle w:val="BodyText"/>
        <w:keepLines w:val="0"/>
        <w:jc w:val="left"/>
        <w:rPr>
          <w:rFonts w:ascii="Gill Sans MT" w:hAnsi="Gill Sans MT"/>
          <w:b/>
          <w:sz w:val="22"/>
          <w:szCs w:val="22"/>
        </w:rPr>
      </w:pPr>
      <w:r w:rsidRPr="00847FAE">
        <w:rPr>
          <w:rFonts w:ascii="Gill Sans MT" w:hAnsi="Gill Sans MT"/>
          <w:b/>
          <w:sz w:val="22"/>
          <w:szCs w:val="22"/>
        </w:rPr>
        <w:t>Catherine</w:t>
      </w:r>
      <w:r w:rsidR="00A744EB" w:rsidRPr="00847FAE">
        <w:rPr>
          <w:rFonts w:ascii="Gill Sans MT" w:hAnsi="Gill Sans MT"/>
          <w:b/>
          <w:sz w:val="22"/>
          <w:szCs w:val="22"/>
        </w:rPr>
        <w:t xml:space="preserve"> </w:t>
      </w:r>
      <w:r w:rsidRPr="00847FAE">
        <w:rPr>
          <w:rFonts w:ascii="Gill Sans MT" w:hAnsi="Gill Sans MT"/>
          <w:b/>
          <w:sz w:val="22"/>
          <w:szCs w:val="22"/>
        </w:rPr>
        <w:t>Geason</w:t>
      </w:r>
      <w:r w:rsidR="00E11EA1" w:rsidRPr="00847FAE">
        <w:rPr>
          <w:rFonts w:ascii="Gill Sans MT" w:hAnsi="Gill Sans MT"/>
          <w:b/>
          <w:sz w:val="22"/>
          <w:szCs w:val="22"/>
        </w:rPr>
        <w:br/>
      </w:r>
      <w:r w:rsidR="00EA20EA" w:rsidRPr="00847FAE">
        <w:rPr>
          <w:rFonts w:ascii="Gill Sans MT" w:hAnsi="Gill Sans MT"/>
          <w:b/>
          <w:sz w:val="22"/>
          <w:szCs w:val="22"/>
        </w:rPr>
        <w:t xml:space="preserve">Chief Magistrate </w:t>
      </w:r>
    </w:p>
    <w:p w14:paraId="41B69A3C" w14:textId="5A4AFDAF" w:rsidR="00E90749" w:rsidRPr="00847FAE" w:rsidRDefault="001E2CB7" w:rsidP="00520EBC">
      <w:pPr>
        <w:pStyle w:val="BodyText"/>
        <w:keepLines w:val="0"/>
        <w:rPr>
          <w:rFonts w:ascii="Gill Sans MT" w:hAnsi="Gill Sans MT"/>
          <w:sz w:val="22"/>
          <w:szCs w:val="22"/>
        </w:rPr>
      </w:pPr>
      <w:r w:rsidRPr="001E2CB7">
        <w:rPr>
          <w:rFonts w:ascii="Gill Sans MT" w:hAnsi="Gill Sans MT"/>
          <w:sz w:val="22"/>
          <w:szCs w:val="22"/>
        </w:rPr>
        <w:t>19</w:t>
      </w:r>
      <w:r w:rsidR="000F4076" w:rsidRPr="001E2CB7">
        <w:rPr>
          <w:rFonts w:ascii="Gill Sans MT" w:hAnsi="Gill Sans MT"/>
          <w:sz w:val="22"/>
          <w:szCs w:val="22"/>
        </w:rPr>
        <w:t xml:space="preserve"> </w:t>
      </w:r>
      <w:r w:rsidR="005204BC" w:rsidRPr="001E2CB7">
        <w:rPr>
          <w:rFonts w:ascii="Gill Sans MT" w:hAnsi="Gill Sans MT"/>
          <w:sz w:val="22"/>
          <w:szCs w:val="22"/>
        </w:rPr>
        <w:t>November</w:t>
      </w:r>
      <w:r w:rsidR="00E11EA1" w:rsidRPr="001E2CB7">
        <w:rPr>
          <w:rFonts w:ascii="Gill Sans MT" w:hAnsi="Gill Sans MT"/>
          <w:sz w:val="22"/>
          <w:szCs w:val="22"/>
        </w:rPr>
        <w:t xml:space="preserve"> 201</w:t>
      </w:r>
      <w:r w:rsidR="005F46F8" w:rsidRPr="001E2CB7">
        <w:rPr>
          <w:rFonts w:ascii="Gill Sans MT" w:hAnsi="Gill Sans MT"/>
          <w:sz w:val="22"/>
          <w:szCs w:val="22"/>
        </w:rPr>
        <w:t>8</w:t>
      </w:r>
    </w:p>
    <w:p w14:paraId="357BF58C" w14:textId="77777777" w:rsidR="00E90749" w:rsidRPr="00847FAE" w:rsidRDefault="00E90749">
      <w:pPr>
        <w:rPr>
          <w:rFonts w:cs="Tahoma"/>
          <w:lang w:eastAsia="en-US"/>
        </w:rPr>
      </w:pPr>
      <w:r w:rsidRPr="00847FAE">
        <w:br w:type="page"/>
      </w:r>
    </w:p>
    <w:p w14:paraId="5B584F7F" w14:textId="0FCDB682" w:rsidR="00E11EA1" w:rsidRPr="00847FAE" w:rsidRDefault="00E11EA1" w:rsidP="006D6732">
      <w:pPr>
        <w:pStyle w:val="Heading1"/>
      </w:pPr>
      <w:bookmarkStart w:id="33" w:name="_Toc247096977"/>
      <w:bookmarkStart w:id="34" w:name="_Toc277684588"/>
      <w:bookmarkStart w:id="35" w:name="_Toc311717595"/>
      <w:bookmarkStart w:id="36" w:name="_Toc311718283"/>
      <w:bookmarkStart w:id="37" w:name="_Toc311725648"/>
      <w:bookmarkStart w:id="38" w:name="_Toc529270630"/>
      <w:bookmarkStart w:id="39" w:name="_Toc529270838"/>
      <w:bookmarkStart w:id="40" w:name="_Toc529272531"/>
      <w:bookmarkStart w:id="41" w:name="_Toc529272606"/>
      <w:bookmarkStart w:id="42" w:name="_Toc1041126"/>
      <w:r w:rsidRPr="00847FAE">
        <w:lastRenderedPageBreak/>
        <w:t>Aim of the Court</w:t>
      </w:r>
      <w:bookmarkEnd w:id="33"/>
      <w:bookmarkEnd w:id="34"/>
      <w:bookmarkEnd w:id="35"/>
      <w:bookmarkEnd w:id="36"/>
      <w:bookmarkEnd w:id="37"/>
      <w:bookmarkEnd w:id="38"/>
      <w:bookmarkEnd w:id="39"/>
      <w:bookmarkEnd w:id="40"/>
      <w:bookmarkEnd w:id="41"/>
      <w:bookmarkEnd w:id="42"/>
    </w:p>
    <w:p w14:paraId="65EEA1A3" w14:textId="4E38C86F" w:rsidR="00E11EA1" w:rsidRPr="00847FAE" w:rsidRDefault="00E11EA1" w:rsidP="00E5311F">
      <w:r w:rsidRPr="00847FAE">
        <w:t>The aim of the Magistrates Court is</w:t>
      </w:r>
      <w:r w:rsidR="00A7094C" w:rsidRPr="00847FAE">
        <w:t xml:space="preserve"> to contribute to</w:t>
      </w:r>
      <w:r w:rsidRPr="00847FAE">
        <w:t xml:space="preserve"> a fair, just and safe Tasmania</w:t>
      </w:r>
      <w:r w:rsidR="001069A1" w:rsidRPr="00847FAE">
        <w:t xml:space="preserve">.  </w:t>
      </w:r>
      <w:r w:rsidR="00A7094C" w:rsidRPr="00847FAE">
        <w:t>The Court</w:t>
      </w:r>
      <w:r w:rsidR="001E1165" w:rsidRPr="00847FAE">
        <w:t xml:space="preserve"> serves </w:t>
      </w:r>
      <w:r w:rsidRPr="00847FAE">
        <w:t xml:space="preserve">the community by providing access to an accountable, independent and impartial system of justice </w:t>
      </w:r>
      <w:r w:rsidR="00A7094C" w:rsidRPr="00847FAE">
        <w:t xml:space="preserve">which is </w:t>
      </w:r>
      <w:r w:rsidRPr="00847FAE">
        <w:t>administered according to law.</w:t>
      </w:r>
    </w:p>
    <w:p w14:paraId="0EBBD6A4" w14:textId="77777777" w:rsidR="00E11EA1" w:rsidRPr="00847FAE" w:rsidRDefault="00E11EA1" w:rsidP="00E5311F">
      <w:pPr>
        <w:pStyle w:val="Heading2"/>
      </w:pPr>
      <w:bookmarkStart w:id="43" w:name="_Toc247096979"/>
      <w:bookmarkStart w:id="44" w:name="_Toc277684590"/>
      <w:bookmarkStart w:id="45" w:name="_Toc311717597"/>
      <w:bookmarkStart w:id="46" w:name="_Toc529270631"/>
      <w:bookmarkStart w:id="47" w:name="_Toc529270839"/>
      <w:bookmarkStart w:id="48" w:name="_Toc529272532"/>
      <w:bookmarkStart w:id="49" w:name="_Toc529272607"/>
      <w:bookmarkStart w:id="50" w:name="_Toc1041127"/>
      <w:r w:rsidRPr="00847FAE">
        <w:t>Purpose</w:t>
      </w:r>
      <w:bookmarkEnd w:id="43"/>
      <w:bookmarkEnd w:id="44"/>
      <w:bookmarkEnd w:id="45"/>
      <w:bookmarkEnd w:id="46"/>
      <w:bookmarkEnd w:id="47"/>
      <w:bookmarkEnd w:id="48"/>
      <w:bookmarkEnd w:id="49"/>
      <w:bookmarkEnd w:id="50"/>
    </w:p>
    <w:p w14:paraId="5725FEAF" w14:textId="2279EF85" w:rsidR="00E11EA1" w:rsidRPr="00847FAE" w:rsidRDefault="00E11EA1" w:rsidP="00E5311F">
      <w:r w:rsidRPr="00847FAE">
        <w:t xml:space="preserve">The purpose of the Magistrates Court of Tasmania is to provide an open, transparent and accessible system of justice, to apply the </w:t>
      </w:r>
      <w:r w:rsidR="00A7094C" w:rsidRPr="00847FAE">
        <w:t>r</w:t>
      </w:r>
      <w:r w:rsidRPr="00847FAE">
        <w:t xml:space="preserve">ule of </w:t>
      </w:r>
      <w:r w:rsidR="00A7094C" w:rsidRPr="00847FAE">
        <w:t>l</w:t>
      </w:r>
      <w:r w:rsidRPr="00847FAE">
        <w:t>aw, and to protect and respect individuals’ rights</w:t>
      </w:r>
      <w:r w:rsidR="001069A1" w:rsidRPr="00847FAE">
        <w:t xml:space="preserve">.  </w:t>
      </w:r>
    </w:p>
    <w:p w14:paraId="67A866C0" w14:textId="77777777" w:rsidR="00E11EA1" w:rsidRPr="00847FAE" w:rsidRDefault="00E11EA1" w:rsidP="00E5311F">
      <w:pPr>
        <w:pStyle w:val="Heading2"/>
      </w:pPr>
      <w:bookmarkStart w:id="51" w:name="_Toc118713987"/>
      <w:bookmarkStart w:id="52" w:name="_Toc193777141"/>
      <w:bookmarkStart w:id="53" w:name="_Toc247096980"/>
      <w:bookmarkStart w:id="54" w:name="_Toc277684591"/>
      <w:bookmarkStart w:id="55" w:name="_Toc311717598"/>
      <w:bookmarkStart w:id="56" w:name="_Toc529270632"/>
      <w:bookmarkStart w:id="57" w:name="_Toc529270840"/>
      <w:bookmarkStart w:id="58" w:name="_Toc529272533"/>
      <w:bookmarkStart w:id="59" w:name="_Toc529272608"/>
      <w:bookmarkStart w:id="60" w:name="_Toc1041128"/>
      <w:r w:rsidRPr="00847FAE">
        <w:t>Values</w:t>
      </w:r>
      <w:bookmarkEnd w:id="51"/>
      <w:bookmarkEnd w:id="52"/>
      <w:bookmarkEnd w:id="53"/>
      <w:bookmarkEnd w:id="54"/>
      <w:bookmarkEnd w:id="55"/>
      <w:bookmarkEnd w:id="56"/>
      <w:bookmarkEnd w:id="57"/>
      <w:bookmarkEnd w:id="58"/>
      <w:bookmarkEnd w:id="59"/>
      <w:bookmarkEnd w:id="60"/>
    </w:p>
    <w:p w14:paraId="427AB229" w14:textId="6E773EDC" w:rsidR="00E11EA1" w:rsidRPr="00847FAE" w:rsidRDefault="00FE6241" w:rsidP="00E5311F">
      <w:pPr>
        <w:pStyle w:val="NormalDot1"/>
        <w:keepLines w:val="0"/>
      </w:pPr>
      <w:r w:rsidRPr="00847FAE">
        <w:t>J</w:t>
      </w:r>
      <w:r w:rsidR="00E11EA1" w:rsidRPr="00847FAE">
        <w:t xml:space="preserve">udicial independence </w:t>
      </w:r>
      <w:r w:rsidRPr="00847FAE">
        <w:t xml:space="preserve">– the Court </w:t>
      </w:r>
      <w:r w:rsidR="00E11EA1" w:rsidRPr="00847FAE">
        <w:t>act</w:t>
      </w:r>
      <w:r w:rsidRPr="00847FAE">
        <w:t>s</w:t>
      </w:r>
      <w:r w:rsidR="00E11EA1" w:rsidRPr="00847FAE">
        <w:t xml:space="preserve"> independently from Government in the exercise of </w:t>
      </w:r>
      <w:r w:rsidRPr="00847FAE">
        <w:t xml:space="preserve">its </w:t>
      </w:r>
      <w:r w:rsidR="00E11EA1" w:rsidRPr="00847FAE">
        <w:t>judicial functions.</w:t>
      </w:r>
    </w:p>
    <w:p w14:paraId="7811A3A3" w14:textId="77777777" w:rsidR="00E11EA1" w:rsidRPr="00847FAE" w:rsidRDefault="00E11EA1" w:rsidP="00E5311F">
      <w:pPr>
        <w:pStyle w:val="NormalDot1"/>
        <w:keepLines w:val="0"/>
      </w:pPr>
      <w:r w:rsidRPr="00847FAE">
        <w:t>Our staff behave with integrity and respect, are accountable, cooperative, act without bias and in accordance with the State Service Code of Conduct.</w:t>
      </w:r>
    </w:p>
    <w:p w14:paraId="57BF8EC3" w14:textId="41E18F59" w:rsidR="00E11EA1" w:rsidRPr="00847FAE" w:rsidRDefault="001E1165" w:rsidP="00E5311F">
      <w:pPr>
        <w:pStyle w:val="NormalNew"/>
        <w:keepLines w:val="0"/>
      </w:pPr>
      <w:r w:rsidRPr="00847FAE">
        <w:t xml:space="preserve">More </w:t>
      </w:r>
      <w:r w:rsidR="00E11EA1" w:rsidRPr="00847FAE">
        <w:t xml:space="preserve">detailed information relating to the Court’s strategic plan and its day-to-day operations (services, locations, decisions, court lists) </w:t>
      </w:r>
      <w:r w:rsidRPr="00847FAE">
        <w:t xml:space="preserve">is available </w:t>
      </w:r>
      <w:r w:rsidR="005B1544">
        <w:t xml:space="preserve">on the Magistrates Court website under </w:t>
      </w:r>
      <w:hyperlink r:id="rId12" w:history="1">
        <w:r w:rsidR="005B1544" w:rsidRPr="005B1544">
          <w:rPr>
            <w:rStyle w:val="Hyperlink"/>
          </w:rPr>
          <w:t>Publications</w:t>
        </w:r>
      </w:hyperlink>
      <w:r w:rsidR="005B1544">
        <w:t>.</w:t>
      </w:r>
    </w:p>
    <w:p w14:paraId="34AD5FB0" w14:textId="601A2142" w:rsidR="00E11EA1" w:rsidRPr="00847FAE" w:rsidRDefault="00E11EA1" w:rsidP="006D6732">
      <w:pPr>
        <w:pStyle w:val="Heading1"/>
      </w:pPr>
      <w:bookmarkStart w:id="61" w:name="_Toc130609264"/>
      <w:bookmarkStart w:id="62" w:name="_Ref150932357"/>
      <w:bookmarkStart w:id="63" w:name="_Ref150932774"/>
      <w:bookmarkStart w:id="64" w:name="_Toc151974467"/>
      <w:bookmarkStart w:id="65" w:name="_Toc193777150"/>
      <w:bookmarkStart w:id="66" w:name="_Toc246909132"/>
      <w:bookmarkStart w:id="67" w:name="_Toc247096982"/>
      <w:bookmarkStart w:id="68" w:name="_Toc277684596"/>
      <w:bookmarkStart w:id="69" w:name="_Toc311717603"/>
      <w:bookmarkStart w:id="70" w:name="_Toc311718284"/>
      <w:bookmarkStart w:id="71" w:name="_Toc311725649"/>
      <w:bookmarkStart w:id="72" w:name="_Toc529270633"/>
      <w:bookmarkStart w:id="73" w:name="_Toc529270841"/>
      <w:bookmarkStart w:id="74" w:name="_Toc529272534"/>
      <w:bookmarkStart w:id="75" w:name="_Toc529272609"/>
      <w:bookmarkStart w:id="76" w:name="_Toc1041129"/>
      <w:r w:rsidRPr="00847FAE">
        <w:t>Overview</w:t>
      </w:r>
      <w:bookmarkEnd w:id="61"/>
      <w:bookmarkEnd w:id="62"/>
      <w:bookmarkEnd w:id="63"/>
      <w:r w:rsidRPr="00847FAE">
        <w:t xml:space="preserve"> of the Court</w:t>
      </w:r>
      <w:bookmarkEnd w:id="64"/>
      <w:bookmarkEnd w:id="65"/>
      <w:bookmarkEnd w:id="66"/>
      <w:bookmarkEnd w:id="67"/>
      <w:bookmarkEnd w:id="68"/>
      <w:bookmarkEnd w:id="69"/>
      <w:bookmarkEnd w:id="70"/>
      <w:bookmarkEnd w:id="71"/>
      <w:bookmarkEnd w:id="72"/>
      <w:bookmarkEnd w:id="73"/>
      <w:bookmarkEnd w:id="74"/>
      <w:bookmarkEnd w:id="75"/>
      <w:bookmarkEnd w:id="76"/>
    </w:p>
    <w:p w14:paraId="7A3CBAE6" w14:textId="58D817EE" w:rsidR="00E11EA1" w:rsidRPr="00847FAE" w:rsidRDefault="00E11EA1" w:rsidP="00E5311F">
      <w:pPr>
        <w:pStyle w:val="NormalNew"/>
        <w:keepLines w:val="0"/>
      </w:pPr>
      <w:r w:rsidRPr="00847FAE">
        <w:t xml:space="preserve">The Magistrates Court of Tasmania is a statutory body created as a </w:t>
      </w:r>
      <w:r w:rsidR="00080530" w:rsidRPr="00847FAE">
        <w:t xml:space="preserve">court </w:t>
      </w:r>
      <w:r w:rsidRPr="00847FAE">
        <w:t xml:space="preserve">of record by the </w:t>
      </w:r>
      <w:r w:rsidRPr="00847FAE">
        <w:rPr>
          <w:i/>
        </w:rPr>
        <w:t xml:space="preserve">Magistrates Court Act </w:t>
      </w:r>
      <w:r w:rsidRPr="00847FAE">
        <w:t>1987 section 3A</w:t>
      </w:r>
      <w:r w:rsidR="00FE6241" w:rsidRPr="00847FAE">
        <w:t xml:space="preserve">.  It is made up of </w:t>
      </w:r>
      <w:r w:rsidRPr="00847FAE">
        <w:t>the Chief Magistrate, the Deputy Chief Magistrate</w:t>
      </w:r>
      <w:r w:rsidR="004638A3" w:rsidRPr="00847FAE">
        <w:t>,</w:t>
      </w:r>
      <w:r w:rsidRPr="00847FAE">
        <w:t xml:space="preserve"> and the Magistrates.</w:t>
      </w:r>
    </w:p>
    <w:p w14:paraId="06DB1334" w14:textId="77777777" w:rsidR="00E11EA1" w:rsidRPr="00847FAE" w:rsidRDefault="00E11EA1" w:rsidP="00E5311F">
      <w:pPr>
        <w:pStyle w:val="NormalNew"/>
        <w:keepLines w:val="0"/>
      </w:pPr>
      <w:r w:rsidRPr="00847FAE">
        <w:t>Magistrates have jurisdiction to hear and determine a broad range of legal matters.</w:t>
      </w:r>
    </w:p>
    <w:p w14:paraId="0BA4CBC3" w14:textId="378FAA85" w:rsidR="00FE6241" w:rsidRPr="00847FAE" w:rsidRDefault="00E11EA1" w:rsidP="00E5311F">
      <w:pPr>
        <w:pStyle w:val="NormalNew"/>
        <w:keepLines w:val="0"/>
      </w:pPr>
      <w:r w:rsidRPr="00847FAE">
        <w:t>Magistrates sitting in Courts of Petty Sessions hear and determine</w:t>
      </w:r>
      <w:r w:rsidR="00FE4224" w:rsidRPr="00847FAE">
        <w:t>:</w:t>
      </w:r>
      <w:r w:rsidRPr="00847FAE">
        <w:t xml:space="preserve"> </w:t>
      </w:r>
    </w:p>
    <w:p w14:paraId="575ED5EB" w14:textId="77777777" w:rsidR="00FE6241" w:rsidRPr="00847FAE" w:rsidRDefault="00E11EA1" w:rsidP="00E5311F">
      <w:pPr>
        <w:pStyle w:val="NormalNew"/>
        <w:keepLines w:val="0"/>
        <w:numPr>
          <w:ilvl w:val="0"/>
          <w:numId w:val="25"/>
        </w:numPr>
        <w:spacing w:before="120" w:after="120" w:line="240" w:lineRule="auto"/>
      </w:pPr>
      <w:r w:rsidRPr="00847FAE">
        <w:t>simple offences</w:t>
      </w:r>
    </w:p>
    <w:p w14:paraId="74999837" w14:textId="77777777" w:rsidR="00FE6241" w:rsidRPr="00847FAE" w:rsidRDefault="00E11EA1" w:rsidP="00E5311F">
      <w:pPr>
        <w:pStyle w:val="NormalNew"/>
        <w:keepLines w:val="0"/>
        <w:numPr>
          <w:ilvl w:val="0"/>
          <w:numId w:val="25"/>
        </w:numPr>
        <w:spacing w:before="120" w:after="120" w:line="240" w:lineRule="auto"/>
      </w:pPr>
      <w:r w:rsidRPr="00847FAE">
        <w:t xml:space="preserve">crimes triable summarily under State and Commonwealth legislation </w:t>
      </w:r>
    </w:p>
    <w:p w14:paraId="1D105B07" w14:textId="77777777" w:rsidR="00FE6241" w:rsidRPr="00847FAE" w:rsidRDefault="00E11EA1" w:rsidP="00E5311F">
      <w:pPr>
        <w:pStyle w:val="NormalNew"/>
        <w:keepLines w:val="0"/>
        <w:numPr>
          <w:ilvl w:val="0"/>
          <w:numId w:val="25"/>
        </w:numPr>
        <w:spacing w:before="120" w:after="120" w:line="240" w:lineRule="auto"/>
      </w:pPr>
      <w:r w:rsidRPr="00847FAE">
        <w:t>breaches of duty</w:t>
      </w:r>
    </w:p>
    <w:p w14:paraId="79D6B5CE" w14:textId="23A26897" w:rsidR="00FE6241" w:rsidRPr="00847FAE" w:rsidRDefault="00E11EA1" w:rsidP="00E5311F">
      <w:pPr>
        <w:pStyle w:val="NormalNew"/>
        <w:keepLines w:val="0"/>
        <w:numPr>
          <w:ilvl w:val="0"/>
          <w:numId w:val="25"/>
        </w:numPr>
        <w:spacing w:before="120" w:after="120" w:line="240" w:lineRule="auto"/>
      </w:pPr>
      <w:r w:rsidRPr="00847FAE">
        <w:t>applications under various State and Commonwealth statutes</w:t>
      </w:r>
      <w:r w:rsidR="00FE4224" w:rsidRPr="00847FAE">
        <w:t>;</w:t>
      </w:r>
    </w:p>
    <w:p w14:paraId="238F6B35" w14:textId="11D3C73A" w:rsidR="00FE4224" w:rsidRPr="00847FAE" w:rsidRDefault="00FE4224" w:rsidP="00E5311F">
      <w:pPr>
        <w:pStyle w:val="NormalNew"/>
        <w:keepLines w:val="0"/>
        <w:numPr>
          <w:ilvl w:val="0"/>
          <w:numId w:val="25"/>
        </w:numPr>
        <w:spacing w:before="120" w:after="120" w:line="240" w:lineRule="auto"/>
      </w:pPr>
      <w:r w:rsidRPr="00847FAE">
        <w:t>they also exercise a wide range of appellate and review functions.</w:t>
      </w:r>
    </w:p>
    <w:p w14:paraId="1D7C58EE" w14:textId="1A086C95" w:rsidR="00E11EA1" w:rsidRPr="00847FAE" w:rsidRDefault="00E11EA1" w:rsidP="00E5311F">
      <w:pPr>
        <w:pStyle w:val="NormalNew"/>
        <w:keepLines w:val="0"/>
      </w:pPr>
      <w:r w:rsidRPr="00847FAE">
        <w:t>Magistrates also hear simple and indictable offences in the Youth Justice Division</w:t>
      </w:r>
      <w:r w:rsidR="00F84A47" w:rsidRPr="00847FAE">
        <w:t>,</w:t>
      </w:r>
      <w:r w:rsidRPr="00847FAE">
        <w:t xml:space="preserve"> as well as exercising child </w:t>
      </w:r>
      <w:r w:rsidR="00FE6241" w:rsidRPr="00847FAE">
        <w:t xml:space="preserve">safety </w:t>
      </w:r>
      <w:r w:rsidRPr="00847FAE">
        <w:t>responsibilities</w:t>
      </w:r>
      <w:r w:rsidR="00FE6241" w:rsidRPr="00847FAE">
        <w:t xml:space="preserve"> under the </w:t>
      </w:r>
      <w:r w:rsidR="00FE6241" w:rsidRPr="00847FAE">
        <w:rPr>
          <w:i/>
        </w:rPr>
        <w:t xml:space="preserve">Children, Young Persons and Their Families Act </w:t>
      </w:r>
      <w:r w:rsidR="00FE6241" w:rsidRPr="00847FAE">
        <w:t>1997</w:t>
      </w:r>
      <w:r w:rsidRPr="00847FAE">
        <w:t>.</w:t>
      </w:r>
    </w:p>
    <w:p w14:paraId="466C6E4A" w14:textId="22B0EFF2" w:rsidR="00E11EA1" w:rsidRPr="00847FAE" w:rsidRDefault="00E11EA1" w:rsidP="00E5311F">
      <w:pPr>
        <w:pStyle w:val="NormalNew"/>
        <w:keepLines w:val="0"/>
      </w:pPr>
      <w:r w:rsidRPr="00847FAE">
        <w:t>Magistrates in the Civil Division hear and determine civil matters to a value of $50,000 or an unlimited amount with the consent of the parties</w:t>
      </w:r>
      <w:r w:rsidR="001069A1" w:rsidRPr="00847FAE">
        <w:t xml:space="preserve">.  </w:t>
      </w:r>
      <w:r w:rsidRPr="00847FAE">
        <w:t xml:space="preserve"> </w:t>
      </w:r>
      <w:r w:rsidR="00F84A47" w:rsidRPr="00847FAE">
        <w:t xml:space="preserve">Disputes </w:t>
      </w:r>
      <w:r w:rsidRPr="00847FAE">
        <w:t>up to a value of $5,000 are dealt with as Minor Civil Claims and undergo simplified procedures prior to, and at hearing.</w:t>
      </w:r>
    </w:p>
    <w:p w14:paraId="48CFDFD4" w14:textId="535E069F" w:rsidR="00E11EA1" w:rsidRPr="00847FAE" w:rsidRDefault="00F84A47" w:rsidP="005E0C89">
      <w:pPr>
        <w:pStyle w:val="NormalNew"/>
        <w:keepLines w:val="0"/>
      </w:pPr>
      <w:r w:rsidRPr="00847FAE">
        <w:t>In addition to the Court of Petty Sessions, divisions of the Court are provided for in legislation.  These Divisions are</w:t>
      </w:r>
      <w:r w:rsidR="00E11EA1" w:rsidRPr="00847FAE">
        <w:t>:</w:t>
      </w:r>
    </w:p>
    <w:p w14:paraId="69CAA4C6" w14:textId="77777777" w:rsidR="00E11EA1" w:rsidRPr="00847FAE" w:rsidRDefault="00E11EA1" w:rsidP="008E24A6">
      <w:pPr>
        <w:pStyle w:val="NormalNew"/>
        <w:keepLines w:val="0"/>
        <w:numPr>
          <w:ilvl w:val="0"/>
          <w:numId w:val="17"/>
        </w:numPr>
        <w:spacing w:before="0" w:after="0" w:line="240" w:lineRule="auto"/>
        <w:ind w:left="714" w:hanging="357"/>
      </w:pPr>
      <w:r w:rsidRPr="00847FAE">
        <w:lastRenderedPageBreak/>
        <w:t>Civil Division</w:t>
      </w:r>
    </w:p>
    <w:p w14:paraId="1E203B30" w14:textId="77777777" w:rsidR="00E11EA1" w:rsidRPr="00847FAE" w:rsidRDefault="00E11EA1" w:rsidP="008E24A6">
      <w:pPr>
        <w:pStyle w:val="NormalNew"/>
        <w:keepLines w:val="0"/>
        <w:numPr>
          <w:ilvl w:val="0"/>
          <w:numId w:val="17"/>
        </w:numPr>
        <w:spacing w:before="0" w:after="0" w:line="240" w:lineRule="auto"/>
        <w:ind w:left="714" w:hanging="357"/>
      </w:pPr>
      <w:r w:rsidRPr="00847FAE">
        <w:t>Coronial Division</w:t>
      </w:r>
    </w:p>
    <w:p w14:paraId="558B728F" w14:textId="77777777" w:rsidR="00E11EA1" w:rsidRPr="00847FAE" w:rsidRDefault="00E11EA1" w:rsidP="008E24A6">
      <w:pPr>
        <w:pStyle w:val="NormalNew"/>
        <w:keepLines w:val="0"/>
        <w:numPr>
          <w:ilvl w:val="0"/>
          <w:numId w:val="17"/>
        </w:numPr>
        <w:spacing w:before="0" w:after="0" w:line="240" w:lineRule="auto"/>
        <w:ind w:left="714" w:hanging="357"/>
      </w:pPr>
      <w:r w:rsidRPr="00847FAE">
        <w:t>Youth Justice Division</w:t>
      </w:r>
    </w:p>
    <w:p w14:paraId="61B6B4C9" w14:textId="77777777" w:rsidR="00E11EA1" w:rsidRPr="00847FAE" w:rsidRDefault="00E11EA1" w:rsidP="008E24A6">
      <w:pPr>
        <w:pStyle w:val="NormalNew"/>
        <w:keepLines w:val="0"/>
        <w:numPr>
          <w:ilvl w:val="0"/>
          <w:numId w:val="17"/>
        </w:numPr>
        <w:spacing w:before="0" w:after="0" w:line="240" w:lineRule="auto"/>
        <w:ind w:left="714" w:hanging="357"/>
      </w:pPr>
      <w:r w:rsidRPr="00847FAE">
        <w:t xml:space="preserve">Children’s Division </w:t>
      </w:r>
    </w:p>
    <w:p w14:paraId="39425EE2" w14:textId="77777777" w:rsidR="00E11EA1" w:rsidRPr="00847FAE" w:rsidRDefault="00E11EA1" w:rsidP="008E24A6">
      <w:pPr>
        <w:pStyle w:val="NormalNew"/>
        <w:keepLines w:val="0"/>
        <w:numPr>
          <w:ilvl w:val="0"/>
          <w:numId w:val="17"/>
        </w:numPr>
        <w:spacing w:before="0" w:after="0" w:line="240" w:lineRule="auto"/>
        <w:ind w:left="714" w:hanging="357"/>
      </w:pPr>
      <w:r w:rsidRPr="00847FAE">
        <w:t>Administrative Appeals Division</w:t>
      </w:r>
    </w:p>
    <w:p w14:paraId="423ED21A" w14:textId="77777777" w:rsidR="00E11EA1" w:rsidRPr="00847FAE" w:rsidRDefault="00E11EA1" w:rsidP="008E24A6">
      <w:pPr>
        <w:pStyle w:val="NormalNew"/>
        <w:keepLines w:val="0"/>
        <w:numPr>
          <w:ilvl w:val="0"/>
          <w:numId w:val="17"/>
        </w:numPr>
        <w:spacing w:before="0" w:after="0" w:line="240" w:lineRule="auto"/>
        <w:ind w:left="714" w:hanging="357"/>
      </w:pPr>
      <w:r w:rsidRPr="00847FAE">
        <w:t>Mining Division</w:t>
      </w:r>
    </w:p>
    <w:p w14:paraId="7F0F0CA7" w14:textId="77777777" w:rsidR="00E11EA1" w:rsidRPr="00847FAE" w:rsidRDefault="00E11EA1" w:rsidP="00E5311F">
      <w:pPr>
        <w:pStyle w:val="Heading2"/>
      </w:pPr>
      <w:bookmarkStart w:id="77" w:name="_Toc246909133"/>
      <w:bookmarkStart w:id="78" w:name="_Toc247096983"/>
      <w:bookmarkStart w:id="79" w:name="_Toc277684597"/>
      <w:bookmarkStart w:id="80" w:name="_Toc311717604"/>
      <w:bookmarkStart w:id="81" w:name="_Toc311718285"/>
      <w:bookmarkStart w:id="82" w:name="_Toc311725650"/>
      <w:bookmarkStart w:id="83" w:name="_Toc529270634"/>
      <w:bookmarkStart w:id="84" w:name="_Toc529270842"/>
      <w:bookmarkStart w:id="85" w:name="_Toc529272535"/>
      <w:bookmarkStart w:id="86" w:name="_Toc529272610"/>
      <w:bookmarkStart w:id="87" w:name="_Toc1041130"/>
      <w:r w:rsidRPr="00847FAE">
        <w:t>Acknowledgments</w:t>
      </w:r>
      <w:bookmarkEnd w:id="77"/>
      <w:bookmarkEnd w:id="78"/>
      <w:bookmarkEnd w:id="79"/>
      <w:bookmarkEnd w:id="80"/>
      <w:bookmarkEnd w:id="81"/>
      <w:bookmarkEnd w:id="82"/>
      <w:bookmarkEnd w:id="83"/>
      <w:bookmarkEnd w:id="84"/>
      <w:bookmarkEnd w:id="85"/>
      <w:bookmarkEnd w:id="86"/>
      <w:bookmarkEnd w:id="87"/>
    </w:p>
    <w:p w14:paraId="102052B6" w14:textId="14F600BA" w:rsidR="00F84A47" w:rsidRPr="000E4A4B" w:rsidRDefault="00E11EA1" w:rsidP="005E0C89">
      <w:pPr>
        <w:pStyle w:val="NormalNew"/>
        <w:keepLines w:val="0"/>
      </w:pPr>
      <w:r w:rsidRPr="000E4A4B">
        <w:t xml:space="preserve">The Court </w:t>
      </w:r>
      <w:r w:rsidR="00F84A47" w:rsidRPr="000E4A4B">
        <w:t>was saddened by the death of former Attorney-General, the Honourable Vanessa Goodwin MLC, on 3 March 2018.</w:t>
      </w:r>
      <w:r w:rsidR="009A7D13" w:rsidRPr="000E4A4B">
        <w:t xml:space="preserve">  Acting Attorney-General </w:t>
      </w:r>
      <w:r w:rsidR="007B2844" w:rsidRPr="000E4A4B">
        <w:t xml:space="preserve">the Honourable </w:t>
      </w:r>
      <w:r w:rsidR="009A7D13" w:rsidRPr="000E4A4B">
        <w:t xml:space="preserve">Matthew Groom replaced Dr Goodwin during part of the reporting period, followed by Premier Will Hodgman, and </w:t>
      </w:r>
      <w:r w:rsidR="007B2844" w:rsidRPr="000E4A4B">
        <w:t xml:space="preserve">from April 2018 </w:t>
      </w:r>
      <w:r w:rsidR="009A7D13" w:rsidRPr="000E4A4B">
        <w:t xml:space="preserve">by </w:t>
      </w:r>
      <w:r w:rsidR="007B2844" w:rsidRPr="000E4A4B">
        <w:t xml:space="preserve">the current </w:t>
      </w:r>
      <w:r w:rsidR="009A7D13" w:rsidRPr="000E4A4B">
        <w:t>Attorney-General</w:t>
      </w:r>
      <w:r w:rsidR="007B2844" w:rsidRPr="000E4A4B">
        <w:t>,</w:t>
      </w:r>
      <w:r w:rsidR="009A7D13" w:rsidRPr="000E4A4B">
        <w:t xml:space="preserve"> </w:t>
      </w:r>
      <w:r w:rsidR="007B2844" w:rsidRPr="000E4A4B">
        <w:t xml:space="preserve">the Honourable </w:t>
      </w:r>
      <w:r w:rsidR="009A7D13" w:rsidRPr="000E4A4B">
        <w:t>Elise Archer</w:t>
      </w:r>
      <w:r w:rsidR="007B2844" w:rsidRPr="000E4A4B">
        <w:t xml:space="preserve"> MP.</w:t>
      </w:r>
    </w:p>
    <w:p w14:paraId="38D79961" w14:textId="4E2C3A99" w:rsidR="003D32CB" w:rsidRPr="00847FAE" w:rsidRDefault="003D32CB" w:rsidP="003D32CB">
      <w:pPr>
        <w:pStyle w:val="NormalNew"/>
        <w:keepLines w:val="0"/>
      </w:pPr>
      <w:r w:rsidRPr="000E4A4B">
        <w:t xml:space="preserve">The Court is pleased to continue its productive </w:t>
      </w:r>
      <w:r w:rsidR="001E16D3" w:rsidRPr="000E4A4B">
        <w:t xml:space="preserve">working </w:t>
      </w:r>
      <w:r w:rsidRPr="000E4A4B">
        <w:t>relationship with the Department of Justice and acknowledges the work of the Secretary of the Department Kathrine Morgan-Wicks, who joined the Department of Justice in August 2017, and Deputy Secretary Administration of Justice Kristy Bourne</w:t>
      </w:r>
      <w:r w:rsidR="001E16D3" w:rsidRPr="000E4A4B">
        <w:t>,</w:t>
      </w:r>
      <w:r w:rsidRPr="000E4A4B">
        <w:t xml:space="preserve"> who started in November 2017.  The Department supports the administrative operations of the Court, while the judicial functions of the Court remain entirely separate and independent of the executive and legislative branches of government.</w:t>
      </w:r>
    </w:p>
    <w:p w14:paraId="6F555958" w14:textId="228BD84F" w:rsidR="003C5D75" w:rsidRPr="00847FAE" w:rsidRDefault="00C77F72" w:rsidP="005E0C89">
      <w:pPr>
        <w:spacing w:before="240" w:after="240" w:line="300" w:lineRule="exact"/>
      </w:pPr>
      <w:r w:rsidRPr="00847FAE">
        <w:t xml:space="preserve">I express my appreciation </w:t>
      </w:r>
      <w:r w:rsidR="003C5D75" w:rsidRPr="00847FAE">
        <w:t xml:space="preserve">to </w:t>
      </w:r>
      <w:r w:rsidR="005204BC" w:rsidRPr="00847FAE">
        <w:t xml:space="preserve">Deputy </w:t>
      </w:r>
      <w:r w:rsidR="00EB355C" w:rsidRPr="00847FAE">
        <w:t>Chief Magistrate Michael Daly,</w:t>
      </w:r>
      <w:r w:rsidR="00412E0E" w:rsidRPr="00847FAE">
        <w:t xml:space="preserve"> </w:t>
      </w:r>
      <w:r w:rsidR="003C5D75" w:rsidRPr="00847FAE">
        <w:t xml:space="preserve">all </w:t>
      </w:r>
      <w:r w:rsidR="00080530" w:rsidRPr="00847FAE">
        <w:t>magistrates</w:t>
      </w:r>
      <w:r w:rsidR="003C5D75" w:rsidRPr="00847FAE">
        <w:t>, the</w:t>
      </w:r>
      <w:r w:rsidR="00EB355C" w:rsidRPr="00847FAE">
        <w:t xml:space="preserve"> </w:t>
      </w:r>
      <w:r w:rsidR="003C5D75" w:rsidRPr="00847FAE">
        <w:t xml:space="preserve">Administrator of Courts </w:t>
      </w:r>
      <w:r w:rsidR="00EB355C" w:rsidRPr="00847FAE">
        <w:t xml:space="preserve">Penelope Ikedife, </w:t>
      </w:r>
      <w:r w:rsidR="003C5D75" w:rsidRPr="00847FAE">
        <w:t>Deputy Administrator Roger Illingworth</w:t>
      </w:r>
      <w:r w:rsidR="00EF4867" w:rsidRPr="00847FAE">
        <w:t>,</w:t>
      </w:r>
      <w:r w:rsidR="003C5D75" w:rsidRPr="00847FAE">
        <w:t xml:space="preserve"> and all court staff for their dedication and professionalism throughout the reporting period</w:t>
      </w:r>
      <w:r w:rsidR="001069A1" w:rsidRPr="00847FAE">
        <w:t>.</w:t>
      </w:r>
      <w:r w:rsidR="001069A1" w:rsidRPr="00847FAE">
        <w:rPr>
          <w:highlight w:val="yellow"/>
        </w:rPr>
        <w:t xml:space="preserve">  </w:t>
      </w:r>
    </w:p>
    <w:p w14:paraId="38516B19" w14:textId="30251597" w:rsidR="00E11EA1" w:rsidRPr="00847FAE" w:rsidRDefault="00E11EA1" w:rsidP="005E0C89">
      <w:pPr>
        <w:pStyle w:val="NormalNew"/>
        <w:keepLines w:val="0"/>
      </w:pPr>
      <w:r w:rsidRPr="00847FAE">
        <w:t xml:space="preserve">In addition, I express my </w:t>
      </w:r>
      <w:r w:rsidR="00412E0E" w:rsidRPr="00847FAE">
        <w:t xml:space="preserve">gratitude </w:t>
      </w:r>
      <w:r w:rsidRPr="00847FAE">
        <w:t>to the Court volunteers</w:t>
      </w:r>
      <w:r w:rsidR="00812F10" w:rsidRPr="00847FAE">
        <w:t>, particularly the b</w:t>
      </w:r>
      <w:r w:rsidR="004C11E7" w:rsidRPr="00847FAE">
        <w:t xml:space="preserve">ench </w:t>
      </w:r>
      <w:r w:rsidR="00812F10" w:rsidRPr="00847FAE">
        <w:t>j</w:t>
      </w:r>
      <w:r w:rsidR="004C11E7" w:rsidRPr="00847FAE">
        <w:t>ustices</w:t>
      </w:r>
      <w:r w:rsidR="004851C5" w:rsidRPr="00847FAE">
        <w:t>, for</w:t>
      </w:r>
      <w:r w:rsidRPr="00847FAE">
        <w:t xml:space="preserve"> the support services they provide to litigants, witnesses and others involved in proceedings before the Court</w:t>
      </w:r>
      <w:r w:rsidR="001069A1" w:rsidRPr="00847FAE">
        <w:t xml:space="preserve">.  </w:t>
      </w:r>
      <w:r w:rsidRPr="00847FAE">
        <w:t xml:space="preserve"> The Tasmanian community is indebted to them for their service which is valuable and selfless.</w:t>
      </w:r>
    </w:p>
    <w:p w14:paraId="0D468658" w14:textId="3E353838" w:rsidR="00D30D78" w:rsidRPr="00847FAE" w:rsidRDefault="00307198" w:rsidP="005E0C89">
      <w:r w:rsidRPr="00847FAE">
        <w:t xml:space="preserve">Finally, I acknowledge the outstanding commitment by the magistrates </w:t>
      </w:r>
      <w:r w:rsidR="00BC6F0C" w:rsidRPr="00847FAE">
        <w:t>who provide timely access to justice with courtesy, professionalism and great care</w:t>
      </w:r>
      <w:r w:rsidR="001069A1" w:rsidRPr="00847FAE">
        <w:t>.</w:t>
      </w:r>
      <w:r w:rsidR="00BC6F0C" w:rsidRPr="00847FAE">
        <w:t xml:space="preserve"> </w:t>
      </w:r>
    </w:p>
    <w:p w14:paraId="659C98C9" w14:textId="77777777" w:rsidR="00E11EA1" w:rsidRPr="00847FAE" w:rsidRDefault="00E11EA1" w:rsidP="00E5311F">
      <w:pPr>
        <w:pStyle w:val="Heading2"/>
      </w:pPr>
      <w:bookmarkStart w:id="88" w:name="_Toc247096984"/>
      <w:bookmarkStart w:id="89" w:name="_Toc277684598"/>
      <w:bookmarkStart w:id="90" w:name="_Toc311717605"/>
      <w:bookmarkStart w:id="91" w:name="_Toc311718286"/>
      <w:bookmarkStart w:id="92" w:name="_Toc311725651"/>
      <w:bookmarkStart w:id="93" w:name="_Toc529270635"/>
      <w:bookmarkStart w:id="94" w:name="_Toc529270843"/>
      <w:bookmarkStart w:id="95" w:name="_Toc529272536"/>
      <w:bookmarkStart w:id="96" w:name="_Toc529272611"/>
      <w:bookmarkStart w:id="97" w:name="_Toc1041131"/>
      <w:r w:rsidRPr="00847FAE">
        <w:t>Court Locations</w:t>
      </w:r>
      <w:bookmarkEnd w:id="88"/>
      <w:bookmarkEnd w:id="89"/>
      <w:bookmarkEnd w:id="90"/>
      <w:bookmarkEnd w:id="91"/>
      <w:bookmarkEnd w:id="92"/>
      <w:bookmarkEnd w:id="93"/>
      <w:bookmarkEnd w:id="94"/>
      <w:bookmarkEnd w:id="95"/>
      <w:bookmarkEnd w:id="96"/>
      <w:bookmarkEnd w:id="97"/>
    </w:p>
    <w:p w14:paraId="439E4769" w14:textId="77777777" w:rsidR="00E11EA1" w:rsidRPr="00847FAE" w:rsidRDefault="00E11EA1" w:rsidP="00FE5527">
      <w:pPr>
        <w:pStyle w:val="NormalNew"/>
        <w:keepLines w:val="0"/>
      </w:pPr>
      <w:r w:rsidRPr="00847FAE">
        <w:t xml:space="preserve">During the reporting year, </w:t>
      </w:r>
      <w:r w:rsidR="00080530" w:rsidRPr="00847FAE">
        <w:t xml:space="preserve">magistrates </w:t>
      </w:r>
      <w:r w:rsidRPr="00847FAE">
        <w:t xml:space="preserve">constituted courts of petty sessions under the </w:t>
      </w:r>
      <w:r w:rsidRPr="00847FAE">
        <w:rPr>
          <w:i/>
        </w:rPr>
        <w:t xml:space="preserve">Justices Act </w:t>
      </w:r>
      <w:r w:rsidRPr="00847FAE">
        <w:t xml:space="preserve">1959, and sat in the various </w:t>
      </w:r>
      <w:r w:rsidR="00080530" w:rsidRPr="00847FAE">
        <w:t xml:space="preserve">divisions </w:t>
      </w:r>
      <w:r w:rsidRPr="00847FAE">
        <w:t>of the Magistrates Court at the following locations around the State:</w:t>
      </w:r>
    </w:p>
    <w:p w14:paraId="2A2672AB" w14:textId="77777777" w:rsidR="00E11EA1" w:rsidRPr="00847FAE" w:rsidRDefault="00E11EA1" w:rsidP="00FE5527">
      <w:pPr>
        <w:pStyle w:val="NormalDot1"/>
        <w:keepLines w:val="0"/>
        <w:numPr>
          <w:ilvl w:val="1"/>
          <w:numId w:val="20"/>
        </w:numPr>
        <w:spacing w:before="0" w:after="0"/>
        <w:ind w:left="1434" w:hanging="357"/>
      </w:pPr>
      <w:r w:rsidRPr="00847FAE">
        <w:t>daily court sittings at Hobart, Launceston, Devonport, and Burnie;</w:t>
      </w:r>
    </w:p>
    <w:p w14:paraId="2009D6B3" w14:textId="77777777" w:rsidR="00E11EA1" w:rsidRPr="00847FAE" w:rsidRDefault="00E11EA1" w:rsidP="00FE5527">
      <w:pPr>
        <w:pStyle w:val="NormalDot1"/>
        <w:keepLines w:val="0"/>
        <w:numPr>
          <w:ilvl w:val="1"/>
          <w:numId w:val="20"/>
        </w:numPr>
        <w:spacing w:before="0" w:after="0"/>
        <w:ind w:left="1434" w:hanging="357"/>
      </w:pPr>
      <w:r w:rsidRPr="00847FAE">
        <w:t>circuit court sittings at Queenstown, Smithton, Currie, Whitemark, Scottsdale, St Helens, and Huonville.</w:t>
      </w:r>
    </w:p>
    <w:p w14:paraId="347E5CEE" w14:textId="77777777" w:rsidR="00E11EA1" w:rsidRPr="00847FAE" w:rsidRDefault="00004BE9" w:rsidP="00E5311F">
      <w:pPr>
        <w:pStyle w:val="Heading2"/>
      </w:pPr>
      <w:bookmarkStart w:id="98" w:name="_Toc529270636"/>
      <w:bookmarkStart w:id="99" w:name="_Toc529270844"/>
      <w:bookmarkStart w:id="100" w:name="_Toc529272537"/>
      <w:bookmarkStart w:id="101" w:name="_Toc529272612"/>
      <w:bookmarkStart w:id="102" w:name="_Toc1041132"/>
      <w:r w:rsidRPr="00847FAE">
        <w:t>Personalia</w:t>
      </w:r>
      <w:bookmarkEnd w:id="98"/>
      <w:bookmarkEnd w:id="99"/>
      <w:bookmarkEnd w:id="100"/>
      <w:bookmarkEnd w:id="101"/>
      <w:bookmarkEnd w:id="102"/>
    </w:p>
    <w:p w14:paraId="520623F7" w14:textId="7840A9A4" w:rsidR="00402DB0" w:rsidRDefault="00581932" w:rsidP="005E0C89">
      <w:pPr>
        <w:pStyle w:val="NormalNew"/>
        <w:keepLines w:val="0"/>
      </w:pPr>
      <w:bookmarkStart w:id="103" w:name="_Toc246823417"/>
      <w:r w:rsidRPr="00847FAE">
        <w:t>At 30 June 201</w:t>
      </w:r>
      <w:r w:rsidR="002A1D23" w:rsidRPr="00847FAE">
        <w:t>8</w:t>
      </w:r>
      <w:r w:rsidRPr="00847FAE">
        <w:t xml:space="preserve">, the end of </w:t>
      </w:r>
      <w:r w:rsidR="00E11EA1" w:rsidRPr="00847FAE">
        <w:t xml:space="preserve">the current reporting period, the Magistrates Court was constituted by the following </w:t>
      </w:r>
      <w:r w:rsidR="00EF4867" w:rsidRPr="00847FAE">
        <w:t>m</w:t>
      </w:r>
      <w:r w:rsidR="00E11EA1" w:rsidRPr="00847FAE">
        <w:t xml:space="preserve">agistrates: </w:t>
      </w:r>
    </w:p>
    <w:p w14:paraId="3C28B358" w14:textId="77777777" w:rsidR="00FE5527" w:rsidRPr="00847FAE" w:rsidRDefault="00FE5527" w:rsidP="00FE5527">
      <w:pPr>
        <w:pStyle w:val="NormalNew"/>
        <w:keepLines w:val="0"/>
        <w:spacing w:before="0" w:after="0" w:line="240" w:lineRule="auto"/>
      </w:pPr>
    </w:p>
    <w:p w14:paraId="360F062C" w14:textId="77777777" w:rsidR="00133711" w:rsidRPr="00133711" w:rsidRDefault="00133711" w:rsidP="00133711">
      <w:pPr>
        <w:pStyle w:val="BodyQuote"/>
        <w:keepLines w:val="0"/>
        <w:numPr>
          <w:ilvl w:val="0"/>
          <w:numId w:val="34"/>
        </w:numPr>
        <w:spacing w:after="0"/>
        <w:rPr>
          <w:rFonts w:ascii="Gill Sans MT" w:hAnsi="Gill Sans MT"/>
        </w:rPr>
      </w:pPr>
      <w:bookmarkStart w:id="104" w:name="_Toc529270637"/>
      <w:bookmarkStart w:id="105" w:name="_Toc529270845"/>
      <w:bookmarkStart w:id="106" w:name="_Toc529272538"/>
      <w:bookmarkStart w:id="107" w:name="_Toc529272613"/>
      <w:bookmarkStart w:id="108" w:name="_Toc1041133"/>
      <w:bookmarkStart w:id="109" w:name="_Toc247096986"/>
      <w:bookmarkStart w:id="110" w:name="_Toc277684600"/>
      <w:bookmarkStart w:id="111" w:name="_Toc311717607"/>
      <w:bookmarkStart w:id="112" w:name="_Toc311718288"/>
      <w:bookmarkStart w:id="113" w:name="_Toc311725653"/>
      <w:bookmarkEnd w:id="103"/>
      <w:r w:rsidRPr="00133711">
        <w:rPr>
          <w:rFonts w:ascii="Gill Sans MT" w:hAnsi="Gill Sans MT"/>
          <w:b/>
        </w:rPr>
        <w:t>Hobart</w:t>
      </w:r>
      <w:r w:rsidRPr="00133711">
        <w:rPr>
          <w:rFonts w:ascii="Gill Sans MT" w:hAnsi="Gill Sans MT"/>
        </w:rPr>
        <w:t>:</w:t>
      </w:r>
    </w:p>
    <w:p w14:paraId="796C9448" w14:textId="77777777" w:rsidR="00133711" w:rsidRPr="00133711" w:rsidRDefault="00133711" w:rsidP="00133711">
      <w:pPr>
        <w:pStyle w:val="BodyQuote"/>
        <w:keepLines w:val="0"/>
        <w:numPr>
          <w:ilvl w:val="0"/>
          <w:numId w:val="34"/>
        </w:numPr>
        <w:spacing w:after="0"/>
        <w:rPr>
          <w:rFonts w:ascii="Gill Sans MT" w:hAnsi="Gill Sans MT"/>
        </w:rPr>
      </w:pPr>
      <w:r w:rsidRPr="00133711">
        <w:rPr>
          <w:rFonts w:ascii="Gill Sans MT" w:hAnsi="Gill Sans MT"/>
        </w:rPr>
        <w:lastRenderedPageBreak/>
        <w:t xml:space="preserve">Chief Magistrate C J Geason </w:t>
      </w:r>
    </w:p>
    <w:p w14:paraId="5581873D"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Deputy Chief Magistrate M F Daly</w:t>
      </w:r>
    </w:p>
    <w:p w14:paraId="652E1D61"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Magistrate S F Mollard</w:t>
      </w:r>
    </w:p>
    <w:p w14:paraId="3529F37F"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Magistrate O M McTaggart</w:t>
      </w:r>
    </w:p>
    <w:p w14:paraId="256F2023"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 xml:space="preserve">Magistrate C P Webster </w:t>
      </w:r>
    </w:p>
    <w:p w14:paraId="33309FC1"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Magistrate G A Hay</w:t>
      </w:r>
    </w:p>
    <w:p w14:paraId="6B6D7C10" w14:textId="2A13C6A8" w:rsid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Magistrate R J Marron</w:t>
      </w:r>
    </w:p>
    <w:p w14:paraId="53B8F6BE" w14:textId="273CBE1E" w:rsidR="00133711" w:rsidRDefault="00133711" w:rsidP="00133711">
      <w:pPr>
        <w:pStyle w:val="BodyQuote"/>
        <w:keepLines w:val="0"/>
        <w:spacing w:after="0"/>
        <w:jc w:val="both"/>
        <w:rPr>
          <w:rFonts w:ascii="Gill Sans MT" w:hAnsi="Gill Sans MT"/>
        </w:rPr>
      </w:pPr>
    </w:p>
    <w:p w14:paraId="2BA863D4"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b/>
        </w:rPr>
        <w:t>Launceston</w:t>
      </w:r>
      <w:r w:rsidRPr="00133711">
        <w:rPr>
          <w:rFonts w:ascii="Gill Sans MT" w:hAnsi="Gill Sans MT"/>
        </w:rPr>
        <w:t>:</w:t>
      </w:r>
    </w:p>
    <w:p w14:paraId="760A849E"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Magistrate S J Brown</w:t>
      </w:r>
    </w:p>
    <w:p w14:paraId="0C8EA1FB" w14:textId="77777777" w:rsidR="00133711" w:rsidRPr="00133711" w:rsidRDefault="00133711" w:rsidP="00133711">
      <w:pPr>
        <w:pStyle w:val="BodyQuote"/>
        <w:keepLines w:val="0"/>
        <w:numPr>
          <w:ilvl w:val="0"/>
          <w:numId w:val="34"/>
        </w:numPr>
        <w:spacing w:after="0"/>
        <w:rPr>
          <w:rFonts w:ascii="Gill Sans MT" w:hAnsi="Gill Sans MT"/>
        </w:rPr>
      </w:pPr>
      <w:r w:rsidRPr="00133711">
        <w:rPr>
          <w:rFonts w:ascii="Gill Sans MT" w:hAnsi="Gill Sans MT"/>
        </w:rPr>
        <w:t xml:space="preserve">Magistrate S E Cure </w:t>
      </w:r>
    </w:p>
    <w:p w14:paraId="56E8C1F8" w14:textId="4DDE0775" w:rsidR="00133711" w:rsidRDefault="00133711" w:rsidP="00133711">
      <w:pPr>
        <w:pStyle w:val="BodyQuote"/>
        <w:keepLines w:val="0"/>
        <w:numPr>
          <w:ilvl w:val="0"/>
          <w:numId w:val="34"/>
        </w:numPr>
        <w:spacing w:after="0"/>
        <w:rPr>
          <w:rFonts w:ascii="Gill Sans MT" w:hAnsi="Gill Sans MT"/>
        </w:rPr>
      </w:pPr>
      <w:r w:rsidRPr="00133711">
        <w:rPr>
          <w:rFonts w:ascii="Gill Sans MT" w:hAnsi="Gill Sans MT"/>
        </w:rPr>
        <w:t>Magistrate K J Stanton</w:t>
      </w:r>
    </w:p>
    <w:p w14:paraId="59D0ED58" w14:textId="354CC2FE" w:rsidR="00133711" w:rsidRDefault="00133711" w:rsidP="00133711">
      <w:pPr>
        <w:pStyle w:val="BodyQuote"/>
        <w:keepLines w:val="0"/>
        <w:spacing w:after="0"/>
        <w:rPr>
          <w:rFonts w:ascii="Gill Sans MT" w:hAnsi="Gill Sans MT"/>
        </w:rPr>
      </w:pPr>
    </w:p>
    <w:p w14:paraId="6BF880D7" w14:textId="77777777" w:rsidR="00133711" w:rsidRPr="00133711" w:rsidRDefault="00133711" w:rsidP="00133711">
      <w:pPr>
        <w:pStyle w:val="BodyQuote"/>
        <w:keepLines w:val="0"/>
        <w:numPr>
          <w:ilvl w:val="0"/>
          <w:numId w:val="34"/>
        </w:numPr>
        <w:spacing w:after="0"/>
        <w:rPr>
          <w:rFonts w:ascii="Gill Sans MT" w:hAnsi="Gill Sans MT"/>
        </w:rPr>
      </w:pPr>
      <w:r w:rsidRPr="00133711">
        <w:rPr>
          <w:rFonts w:ascii="Gill Sans MT" w:hAnsi="Gill Sans MT"/>
          <w:b/>
        </w:rPr>
        <w:t>Devonport</w:t>
      </w:r>
      <w:r w:rsidRPr="00133711">
        <w:rPr>
          <w:rFonts w:ascii="Gill Sans MT" w:hAnsi="Gill Sans MT"/>
        </w:rPr>
        <w:t>:</w:t>
      </w:r>
    </w:p>
    <w:p w14:paraId="3773BB88"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 xml:space="preserve">Magistrate A R McKee </w:t>
      </w:r>
    </w:p>
    <w:p w14:paraId="6DEE1AF5" w14:textId="5DCCD6B8"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Magistrate D R Fairley</w:t>
      </w:r>
    </w:p>
    <w:p w14:paraId="16562DFC" w14:textId="77777777" w:rsidR="00133711" w:rsidRPr="00133711" w:rsidRDefault="00133711" w:rsidP="00133711">
      <w:pPr>
        <w:pStyle w:val="BodyQuote"/>
        <w:keepLines w:val="0"/>
        <w:spacing w:after="0"/>
        <w:ind w:left="0"/>
        <w:jc w:val="both"/>
        <w:rPr>
          <w:rFonts w:ascii="Gill Sans MT" w:hAnsi="Gill Sans MT"/>
        </w:rPr>
      </w:pPr>
    </w:p>
    <w:p w14:paraId="2B10601A"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b/>
        </w:rPr>
        <w:t>Burnie</w:t>
      </w:r>
      <w:r w:rsidRPr="00133711">
        <w:rPr>
          <w:rFonts w:ascii="Gill Sans MT" w:hAnsi="Gill Sans MT"/>
        </w:rPr>
        <w:t>:</w:t>
      </w:r>
    </w:p>
    <w:p w14:paraId="2E439818"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 xml:space="preserve">Magistrate T K Jago </w:t>
      </w:r>
    </w:p>
    <w:p w14:paraId="722E919B" w14:textId="77777777" w:rsidR="00133711" w:rsidRPr="00133711" w:rsidRDefault="00133711" w:rsidP="00133711">
      <w:pPr>
        <w:pStyle w:val="BodyQuote"/>
        <w:keepLines w:val="0"/>
        <w:spacing w:after="0"/>
        <w:ind w:left="0"/>
        <w:jc w:val="both"/>
        <w:rPr>
          <w:rFonts w:ascii="Gill Sans MT" w:hAnsi="Gill Sans MT"/>
        </w:rPr>
      </w:pPr>
    </w:p>
    <w:p w14:paraId="7F94CCAF" w14:textId="77777777"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b/>
        </w:rPr>
        <w:t>Temporary</w:t>
      </w:r>
      <w:r w:rsidRPr="00133711">
        <w:rPr>
          <w:rFonts w:ascii="Gill Sans MT" w:hAnsi="Gill Sans MT"/>
        </w:rPr>
        <w:t xml:space="preserve"> Magistrate:</w:t>
      </w:r>
    </w:p>
    <w:p w14:paraId="6ED380D5" w14:textId="0A7D4CA4" w:rsidR="00133711" w:rsidRPr="00133711" w:rsidRDefault="00133711" w:rsidP="00133711">
      <w:pPr>
        <w:pStyle w:val="BodyQuote"/>
        <w:keepLines w:val="0"/>
        <w:numPr>
          <w:ilvl w:val="0"/>
          <w:numId w:val="34"/>
        </w:numPr>
        <w:spacing w:after="0"/>
        <w:jc w:val="both"/>
        <w:rPr>
          <w:rFonts w:ascii="Gill Sans MT" w:hAnsi="Gill Sans MT"/>
        </w:rPr>
      </w:pPr>
      <w:r w:rsidRPr="00133711">
        <w:rPr>
          <w:rFonts w:ascii="Gill Sans MT" w:hAnsi="Gill Sans MT"/>
        </w:rPr>
        <w:t>Magistrate R E Chandler</w:t>
      </w:r>
    </w:p>
    <w:p w14:paraId="5CE167EF" w14:textId="77777777" w:rsidR="00133711" w:rsidRPr="00133711" w:rsidRDefault="00133711" w:rsidP="00133711">
      <w:pPr>
        <w:pStyle w:val="BodyQuote"/>
        <w:keepLines w:val="0"/>
        <w:spacing w:after="0"/>
        <w:rPr>
          <w:rFonts w:ascii="Gill Sans MT" w:hAnsi="Gill Sans MT"/>
        </w:rPr>
      </w:pPr>
    </w:p>
    <w:p w14:paraId="605645AC" w14:textId="77777777" w:rsidR="00133711" w:rsidRPr="00133711" w:rsidRDefault="00133711" w:rsidP="00133711">
      <w:pPr>
        <w:pStyle w:val="BodyQuote"/>
        <w:keepLines w:val="0"/>
        <w:spacing w:after="0"/>
        <w:jc w:val="both"/>
        <w:rPr>
          <w:rFonts w:ascii="Gill Sans MT" w:hAnsi="Gill Sans MT"/>
        </w:rPr>
      </w:pPr>
    </w:p>
    <w:p w14:paraId="257CFD61" w14:textId="11CD8222" w:rsidR="00133711" w:rsidRDefault="00133711" w:rsidP="00E5311F">
      <w:pPr>
        <w:pStyle w:val="Heading2"/>
      </w:pPr>
      <w:r w:rsidRPr="00E5311F">
        <w:rPr>
          <w:b w:val="0"/>
        </w:rPr>
        <w:t>Magistrate S J Cooper</w:t>
      </w:r>
    </w:p>
    <w:p w14:paraId="3343B4C0" w14:textId="32955224" w:rsidR="00D30D78" w:rsidRPr="00847FAE" w:rsidRDefault="00D30D78" w:rsidP="00E5311F">
      <w:pPr>
        <w:pStyle w:val="Heading2"/>
      </w:pPr>
      <w:r w:rsidRPr="00847FAE">
        <w:t>Court Staff</w:t>
      </w:r>
      <w:bookmarkEnd w:id="104"/>
      <w:bookmarkEnd w:id="105"/>
      <w:bookmarkEnd w:id="106"/>
      <w:bookmarkEnd w:id="107"/>
      <w:bookmarkEnd w:id="108"/>
    </w:p>
    <w:p w14:paraId="7FB9CC75" w14:textId="5E920955" w:rsidR="00D30D78" w:rsidRPr="00847FAE" w:rsidRDefault="00D30D78" w:rsidP="00FE5527">
      <w:pPr>
        <w:pStyle w:val="NormalNew"/>
        <w:keepLines w:val="0"/>
      </w:pPr>
      <w:r w:rsidRPr="00847FAE">
        <w:t>At the end of the reporting period, 30 June 201</w:t>
      </w:r>
      <w:r w:rsidR="002A1D23" w:rsidRPr="00847FAE">
        <w:t>8</w:t>
      </w:r>
      <w:r w:rsidRPr="00847FAE">
        <w:t>, the Magistrates Court had an actual staffing number</w:t>
      </w:r>
      <w:r w:rsidR="00F91FF2" w:rsidRPr="00847FAE">
        <w:rPr>
          <w:rStyle w:val="FootnoteReference"/>
        </w:rPr>
        <w:footnoteReference w:id="1"/>
      </w:r>
      <w:r w:rsidRPr="00847FAE">
        <w:t xml:space="preserve"> of </w:t>
      </w:r>
      <w:r w:rsidR="00F91FF2" w:rsidRPr="000E4A4B">
        <w:t xml:space="preserve">61 </w:t>
      </w:r>
      <w:r w:rsidRPr="000E4A4B">
        <w:t>staff</w:t>
      </w:r>
      <w:r w:rsidR="00F91FF2" w:rsidRPr="00847FAE">
        <w:t xml:space="preserve"> (56.8 full time equivalents)</w:t>
      </w:r>
      <w:r w:rsidRPr="00847FAE">
        <w:t xml:space="preserve"> distributed across the four permanent court registries situated in Hobart, Launceston, Devonport and Burnie</w:t>
      </w:r>
      <w:r w:rsidR="001069A1" w:rsidRPr="00847FAE">
        <w:t xml:space="preserve">.  </w:t>
      </w:r>
    </w:p>
    <w:p w14:paraId="237CE131" w14:textId="63A21600" w:rsidR="00DB3728" w:rsidRPr="00847FAE" w:rsidRDefault="00DB3728" w:rsidP="00FE5527">
      <w:pPr>
        <w:pStyle w:val="NormalNew"/>
        <w:keepLines w:val="0"/>
      </w:pPr>
      <w:r w:rsidRPr="00847FAE">
        <w:t xml:space="preserve">The Court employs one trainee in each of the Launceston, </w:t>
      </w:r>
      <w:r w:rsidR="002914E8" w:rsidRPr="00847FAE">
        <w:t>Devonport</w:t>
      </w:r>
      <w:r w:rsidRPr="00847FAE">
        <w:t xml:space="preserve"> and Burnie registries, and two in Hobart</w:t>
      </w:r>
      <w:r w:rsidR="00420A4B">
        <w:t xml:space="preserve"> through training service providers</w:t>
      </w:r>
      <w:r w:rsidRPr="00847FAE">
        <w:t xml:space="preserve">.  </w:t>
      </w:r>
      <w:r w:rsidR="00420A4B">
        <w:t>The employment of trainees is not only beneficial to the Court, but also provides young people with opportunities to complete relevant qualifications and to gain valuable experience in a workplace.</w:t>
      </w:r>
    </w:p>
    <w:p w14:paraId="4E8E900A" w14:textId="502822D9" w:rsidR="00E11EA1" w:rsidRPr="00847FAE" w:rsidRDefault="00E11EA1" w:rsidP="00E5311F">
      <w:pPr>
        <w:pStyle w:val="Heading2"/>
      </w:pPr>
      <w:bookmarkStart w:id="114" w:name="_Toc311717609"/>
      <w:bookmarkStart w:id="115" w:name="_Toc311718290"/>
      <w:bookmarkStart w:id="116" w:name="_Toc311725655"/>
      <w:bookmarkStart w:id="117" w:name="_Toc529270638"/>
      <w:bookmarkStart w:id="118" w:name="_Toc529270846"/>
      <w:bookmarkStart w:id="119" w:name="_Toc529272539"/>
      <w:bookmarkStart w:id="120" w:name="_Toc529272614"/>
      <w:bookmarkStart w:id="121" w:name="_Toc1041134"/>
      <w:bookmarkEnd w:id="109"/>
      <w:bookmarkEnd w:id="110"/>
      <w:bookmarkEnd w:id="111"/>
      <w:bookmarkEnd w:id="112"/>
      <w:bookmarkEnd w:id="113"/>
      <w:r w:rsidRPr="00847FAE">
        <w:t>Bench Justices</w:t>
      </w:r>
      <w:bookmarkEnd w:id="114"/>
      <w:bookmarkEnd w:id="115"/>
      <w:bookmarkEnd w:id="116"/>
      <w:bookmarkEnd w:id="117"/>
      <w:bookmarkEnd w:id="118"/>
      <w:bookmarkEnd w:id="119"/>
      <w:bookmarkEnd w:id="120"/>
      <w:bookmarkEnd w:id="121"/>
    </w:p>
    <w:p w14:paraId="4E38AC52" w14:textId="5B61A790" w:rsidR="00E11EA1" w:rsidRPr="00847FAE" w:rsidRDefault="00E11EA1" w:rsidP="00FE5527">
      <w:pPr>
        <w:pStyle w:val="NormalNew"/>
        <w:keepLines w:val="0"/>
      </w:pPr>
      <w:r w:rsidRPr="00847FAE">
        <w:t xml:space="preserve">The Court once again expresses its gratitude for the </w:t>
      </w:r>
      <w:r w:rsidR="00C111C2" w:rsidRPr="00847FAE">
        <w:t>voluntary contributions of the b</w:t>
      </w:r>
      <w:r w:rsidRPr="00847FAE">
        <w:t xml:space="preserve">ench </w:t>
      </w:r>
      <w:r w:rsidR="00C111C2" w:rsidRPr="00847FAE">
        <w:t>j</w:t>
      </w:r>
      <w:r w:rsidRPr="00847FAE">
        <w:t xml:space="preserve">ustices who </w:t>
      </w:r>
      <w:r w:rsidR="0045199C" w:rsidRPr="000E4A4B">
        <w:t>provide a critically important service to the administration of justice in Ta</w:t>
      </w:r>
      <w:r w:rsidR="00470D3C" w:rsidRPr="000E4A4B">
        <w:t>s</w:t>
      </w:r>
      <w:r w:rsidR="0045199C" w:rsidRPr="000E4A4B">
        <w:t xml:space="preserve">mania.  Their work ensures that people who are arrested are brought before the Court as soon as </w:t>
      </w:r>
      <w:r w:rsidR="0045199C" w:rsidRPr="000E4A4B">
        <w:lastRenderedPageBreak/>
        <w:t xml:space="preserve">practicable, at which time they have an opportunity to make an application for bail.  </w:t>
      </w:r>
      <w:r w:rsidR="00C111C2" w:rsidRPr="00847FAE">
        <w:t>The b</w:t>
      </w:r>
      <w:r w:rsidRPr="00847FAE">
        <w:t xml:space="preserve">ench </w:t>
      </w:r>
      <w:r w:rsidR="00C111C2" w:rsidRPr="00847FAE">
        <w:t>j</w:t>
      </w:r>
      <w:r w:rsidRPr="00847FAE">
        <w:t xml:space="preserve">ustices’ </w:t>
      </w:r>
      <w:r w:rsidR="00050A4D" w:rsidRPr="00847FAE">
        <w:t xml:space="preserve">continuing </w:t>
      </w:r>
      <w:r w:rsidRPr="00847FAE">
        <w:t>contribution to the criminal justice system in this State is commendable and invaluable.</w:t>
      </w:r>
    </w:p>
    <w:p w14:paraId="2B3D63C0" w14:textId="7C67C4C1" w:rsidR="00812F10" w:rsidRPr="000E4A4B" w:rsidRDefault="00C111C2" w:rsidP="005E0C89">
      <w:pPr>
        <w:pStyle w:val="NormalNew"/>
        <w:keepLines w:val="0"/>
      </w:pPr>
      <w:r w:rsidRPr="000E4A4B">
        <w:t xml:space="preserve">To give an indication of the level of service provided by the bench justices, in Hobart </w:t>
      </w:r>
      <w:r w:rsidR="00812F10" w:rsidRPr="000E4A4B">
        <w:t xml:space="preserve">alone, </w:t>
      </w:r>
      <w:r w:rsidRPr="000E4A4B">
        <w:t xml:space="preserve">over a sample period of </w:t>
      </w:r>
      <w:r w:rsidR="00812F10" w:rsidRPr="000E4A4B">
        <w:t>6 months from 1 January 2018</w:t>
      </w:r>
      <w:r w:rsidRPr="000E4A4B">
        <w:t>, bench justices</w:t>
      </w:r>
      <w:r w:rsidR="00812F10" w:rsidRPr="000E4A4B">
        <w:t>:</w:t>
      </w:r>
    </w:p>
    <w:p w14:paraId="2A6FAA43" w14:textId="18E8A230" w:rsidR="00812F10" w:rsidRPr="000E4A4B" w:rsidRDefault="00812F10" w:rsidP="008E24A6">
      <w:pPr>
        <w:pStyle w:val="NormalNew"/>
        <w:keepLines w:val="0"/>
        <w:numPr>
          <w:ilvl w:val="0"/>
          <w:numId w:val="27"/>
        </w:numPr>
        <w:spacing w:before="0" w:after="0" w:line="240" w:lineRule="auto"/>
      </w:pPr>
      <w:r w:rsidRPr="000E4A4B">
        <w:t>Dealt with 303 adult defendants</w:t>
      </w:r>
    </w:p>
    <w:p w14:paraId="07F2B49E" w14:textId="5361F2ED" w:rsidR="00812F10" w:rsidRPr="000E4A4B" w:rsidRDefault="00812F10" w:rsidP="008E24A6">
      <w:pPr>
        <w:pStyle w:val="NormalNew"/>
        <w:keepLines w:val="0"/>
        <w:numPr>
          <w:ilvl w:val="0"/>
          <w:numId w:val="27"/>
        </w:numPr>
        <w:spacing w:before="0" w:after="0" w:line="240" w:lineRule="auto"/>
      </w:pPr>
      <w:r w:rsidRPr="000E4A4B">
        <w:t>Dealt with 23 youths</w:t>
      </w:r>
    </w:p>
    <w:p w14:paraId="6288C976" w14:textId="439E5D85" w:rsidR="00812F10" w:rsidRPr="000E4A4B" w:rsidRDefault="00812F10" w:rsidP="008E24A6">
      <w:pPr>
        <w:pStyle w:val="NormalNew"/>
        <w:keepLines w:val="0"/>
        <w:numPr>
          <w:ilvl w:val="0"/>
          <w:numId w:val="27"/>
        </w:numPr>
        <w:spacing w:before="0" w:after="0" w:line="240" w:lineRule="auto"/>
      </w:pPr>
      <w:r w:rsidRPr="000E4A4B">
        <w:t>Convened 103 mid-week courts (usually sitting at 7pm)</w:t>
      </w:r>
    </w:p>
    <w:p w14:paraId="2D768CF6" w14:textId="15A8A000" w:rsidR="00812F10" w:rsidRPr="000E4A4B" w:rsidRDefault="00812F10" w:rsidP="008E24A6">
      <w:pPr>
        <w:pStyle w:val="NormalNew"/>
        <w:keepLines w:val="0"/>
        <w:numPr>
          <w:ilvl w:val="0"/>
          <w:numId w:val="27"/>
        </w:numPr>
        <w:spacing w:before="0" w:after="0" w:line="240" w:lineRule="auto"/>
      </w:pPr>
      <w:r w:rsidRPr="000E4A4B">
        <w:t xml:space="preserve">Convened 197 weekend courts (held each weekend day at 11am and </w:t>
      </w:r>
      <w:r w:rsidR="008F5435" w:rsidRPr="000E4A4B">
        <w:t>7</w:t>
      </w:r>
      <w:r w:rsidRPr="000E4A4B">
        <w:t>pm)</w:t>
      </w:r>
    </w:p>
    <w:p w14:paraId="29A1F280" w14:textId="45A0D649" w:rsidR="00812F10" w:rsidRPr="000E4A4B" w:rsidRDefault="00812F10" w:rsidP="008E24A6">
      <w:pPr>
        <w:pStyle w:val="NormalNew"/>
        <w:keepLines w:val="0"/>
        <w:numPr>
          <w:ilvl w:val="0"/>
          <w:numId w:val="27"/>
        </w:numPr>
        <w:spacing w:before="0" w:after="0" w:line="240" w:lineRule="auto"/>
      </w:pPr>
      <w:r w:rsidRPr="000E4A4B">
        <w:t>Dealt with 115 family violence matters</w:t>
      </w:r>
    </w:p>
    <w:p w14:paraId="46497939" w14:textId="265701DD" w:rsidR="0045199C" w:rsidRPr="000E4A4B" w:rsidRDefault="0045199C" w:rsidP="008E24A6">
      <w:pPr>
        <w:pStyle w:val="NormalNew"/>
        <w:keepLines w:val="0"/>
        <w:numPr>
          <w:ilvl w:val="0"/>
          <w:numId w:val="27"/>
        </w:numPr>
        <w:spacing w:before="0" w:after="0" w:line="240" w:lineRule="auto"/>
      </w:pPr>
      <w:r w:rsidRPr="000E4A4B">
        <w:t>Average duration of each after-hours court 1.5 hours</w:t>
      </w:r>
    </w:p>
    <w:p w14:paraId="2AAAC7B8" w14:textId="7697EE50" w:rsidR="00C111C2" w:rsidRPr="00847FAE" w:rsidRDefault="00731CE0" w:rsidP="005E0C89">
      <w:pPr>
        <w:pStyle w:val="NormalNew"/>
        <w:keepLines w:val="0"/>
      </w:pPr>
      <w:r w:rsidRPr="000E4A4B">
        <w:t>In addition to presiding over after hours courts, bench justices conduct preliminary proceedings hearings for indictable offences</w:t>
      </w:r>
      <w:r w:rsidR="0045199C" w:rsidRPr="000E4A4B">
        <w:t xml:space="preserve"> within the usual business hours of the court</w:t>
      </w:r>
      <w:r w:rsidRPr="000E4A4B">
        <w:t xml:space="preserve">.  The number and complexity of preliminary proceedings increased markedly throughout the state during the reporting period, requiring bench justices to sit more frequently and for longer hours to deal with the workload.  Much of the increase can be attributed to the Supreme Court’s changes to </w:t>
      </w:r>
      <w:r w:rsidR="0045199C" w:rsidRPr="000E4A4B">
        <w:t xml:space="preserve">the </w:t>
      </w:r>
      <w:r w:rsidRPr="000E4A4B">
        <w:t xml:space="preserve">case management of its lists, and </w:t>
      </w:r>
      <w:r w:rsidR="0045199C" w:rsidRPr="000E4A4B">
        <w:t xml:space="preserve">the </w:t>
      </w:r>
      <w:r w:rsidRPr="000E4A4B">
        <w:t xml:space="preserve">concentrated sittings of that Court where </w:t>
      </w:r>
      <w:r w:rsidR="0045199C" w:rsidRPr="000E4A4B">
        <w:t>the Supreme Court has had more trials running simultaneously in an effort to reduce its backlog of cases.</w:t>
      </w:r>
    </w:p>
    <w:p w14:paraId="6F3793B6" w14:textId="5BC015DB" w:rsidR="00CF2920" w:rsidRPr="00847FAE" w:rsidRDefault="00C111C2" w:rsidP="005E0C89">
      <w:pPr>
        <w:pStyle w:val="NormalNew"/>
        <w:keepLines w:val="0"/>
      </w:pPr>
      <w:r w:rsidRPr="00847FAE">
        <w:t>To ensure that b</w:t>
      </w:r>
      <w:r w:rsidR="00CF2920" w:rsidRPr="00847FAE">
        <w:t xml:space="preserve">ench </w:t>
      </w:r>
      <w:r w:rsidRPr="00847FAE">
        <w:t>j</w:t>
      </w:r>
      <w:r w:rsidR="00CF2920" w:rsidRPr="00847FAE">
        <w:t>ustices are well informed in the exercise of their powers the Chief Magistrate or her delegate conducts regular meeting</w:t>
      </w:r>
      <w:r w:rsidR="007730A1" w:rsidRPr="00847FAE">
        <w:t>s</w:t>
      </w:r>
      <w:r w:rsidR="00CF2920" w:rsidRPr="00847FAE">
        <w:t xml:space="preserve"> with </w:t>
      </w:r>
      <w:r w:rsidRPr="00847FAE">
        <w:t>b</w:t>
      </w:r>
      <w:r w:rsidR="00CF2920" w:rsidRPr="00847FAE">
        <w:t xml:space="preserve">ench </w:t>
      </w:r>
      <w:r w:rsidRPr="00847FAE">
        <w:t>j</w:t>
      </w:r>
      <w:r w:rsidR="00CF2920" w:rsidRPr="00847FAE">
        <w:t>ustices</w:t>
      </w:r>
      <w:r w:rsidR="001069A1" w:rsidRPr="00847FAE">
        <w:t xml:space="preserve">.  </w:t>
      </w:r>
      <w:r w:rsidR="00CF2920" w:rsidRPr="00847FAE">
        <w:t xml:space="preserve"> B</w:t>
      </w:r>
      <w:r w:rsidR="00294442" w:rsidRPr="00847FAE">
        <w:t xml:space="preserve">ench </w:t>
      </w:r>
      <w:r w:rsidRPr="00847FAE">
        <w:t>j</w:t>
      </w:r>
      <w:r w:rsidR="00294442" w:rsidRPr="00847FAE">
        <w:t>ustices are also provided with extensive training before being added to the roster of justices who may preside over their own court.</w:t>
      </w:r>
    </w:p>
    <w:p w14:paraId="79BDFABE" w14:textId="32829AA1" w:rsidR="00E11EA1" w:rsidRPr="00847FAE" w:rsidRDefault="00E11EA1" w:rsidP="00E5311F">
      <w:pPr>
        <w:pStyle w:val="Heading2"/>
      </w:pPr>
      <w:bookmarkStart w:id="122" w:name="_Toc311717610"/>
      <w:bookmarkStart w:id="123" w:name="_Toc311718291"/>
      <w:bookmarkStart w:id="124" w:name="_Toc311725656"/>
      <w:bookmarkStart w:id="125" w:name="_Toc529270639"/>
      <w:bookmarkStart w:id="126" w:name="_Toc529270847"/>
      <w:bookmarkStart w:id="127" w:name="_Toc529272540"/>
      <w:bookmarkStart w:id="128" w:name="_Toc529272615"/>
      <w:bookmarkStart w:id="129" w:name="_Toc1041135"/>
      <w:r w:rsidRPr="00847FAE">
        <w:t>The Court’s National Involvement</w:t>
      </w:r>
      <w:bookmarkEnd w:id="122"/>
      <w:bookmarkEnd w:id="123"/>
      <w:bookmarkEnd w:id="124"/>
      <w:bookmarkEnd w:id="125"/>
      <w:bookmarkEnd w:id="126"/>
      <w:bookmarkEnd w:id="127"/>
      <w:bookmarkEnd w:id="128"/>
      <w:bookmarkEnd w:id="129"/>
      <w:r w:rsidRPr="00847FAE">
        <w:t xml:space="preserve"> </w:t>
      </w:r>
    </w:p>
    <w:p w14:paraId="08493161" w14:textId="77777777" w:rsidR="00E11EA1" w:rsidRPr="00847FAE" w:rsidRDefault="00E11EA1" w:rsidP="005E0C89">
      <w:pPr>
        <w:pStyle w:val="NormalNew"/>
        <w:keepLines w:val="0"/>
        <w:rPr>
          <w:rFonts w:eastAsia="Calibri"/>
        </w:rPr>
      </w:pPr>
      <w:r w:rsidRPr="00847FAE">
        <w:t>The Court continues its involvement in national and international forums for the discussion of justice and court administration in a variety of jurisdictions exercised by the Court</w:t>
      </w:r>
      <w:r w:rsidR="001069A1" w:rsidRPr="00847FAE">
        <w:t xml:space="preserve">.  </w:t>
      </w:r>
      <w:r w:rsidRPr="00847FAE">
        <w:t xml:space="preserve"> During the reporting year the Court was represented at the following meetings and conferences:</w:t>
      </w:r>
    </w:p>
    <w:tbl>
      <w:tblPr>
        <w:tblStyle w:val="GridTable1Light-Accent5"/>
        <w:tblW w:w="8500" w:type="dxa"/>
        <w:tblLook w:val="04A0" w:firstRow="1" w:lastRow="0" w:firstColumn="1" w:lastColumn="0" w:noHBand="0" w:noVBand="1"/>
        <w:tblCaption w:val="MeetingsandorConferences_Location_Dates"/>
        <w:tblDescription w:val="JudicialWellbeing_Melbourne_10_11August2017_CouncilofChiefMagistratesMeeting_Perth_14_15September2017Canberra15_16March2018NationalMagistratesOrientationProgramBrisbane4_8September2017AsiaPacificCoronersSocietyAnnualConferencePerthOctober31_3November2017JudicialCollegeofAustraliaGoverningCouncilMeetingCanberra17March2018AssociationofAustralianMagistratesBiennialConferenceWesternAustralia31May_1June2018JudicialCollegeofAustraliaGoverningCouncilMeetingSydney2June2018NationalFamilyLawTrainingProgramCommitteeChiefMagistrateSydney25November2017"/>
      </w:tblPr>
      <w:tblGrid>
        <w:gridCol w:w="5019"/>
        <w:gridCol w:w="1213"/>
        <w:gridCol w:w="2268"/>
      </w:tblGrid>
      <w:tr w:rsidR="003724D2" w:rsidRPr="00847FAE" w14:paraId="4A6FCD41" w14:textId="77777777" w:rsidTr="00F74B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14:paraId="4C056404" w14:textId="0CC27153" w:rsidR="003724D2" w:rsidRPr="00847FAE" w:rsidRDefault="003724D2" w:rsidP="0045133E">
            <w:r>
              <w:t>Meetings and/or Conferences</w:t>
            </w:r>
          </w:p>
        </w:tc>
        <w:tc>
          <w:tcPr>
            <w:tcW w:w="1213" w:type="dxa"/>
          </w:tcPr>
          <w:p w14:paraId="05DADC33" w14:textId="15816019" w:rsidR="003724D2" w:rsidRPr="00847FAE" w:rsidRDefault="003724D2" w:rsidP="0045133E">
            <w:pPr>
              <w:cnfStyle w:val="100000000000" w:firstRow="1" w:lastRow="0" w:firstColumn="0" w:lastColumn="0" w:oddVBand="0" w:evenVBand="0" w:oddHBand="0" w:evenHBand="0" w:firstRowFirstColumn="0" w:firstRowLastColumn="0" w:lastRowFirstColumn="0" w:lastRowLastColumn="0"/>
            </w:pPr>
            <w:r>
              <w:t>Location</w:t>
            </w:r>
          </w:p>
        </w:tc>
        <w:tc>
          <w:tcPr>
            <w:tcW w:w="2268" w:type="dxa"/>
          </w:tcPr>
          <w:p w14:paraId="383E55D6" w14:textId="09498A69" w:rsidR="003724D2" w:rsidRPr="00847FAE" w:rsidRDefault="003724D2" w:rsidP="0045133E">
            <w:pPr>
              <w:cnfStyle w:val="100000000000" w:firstRow="1" w:lastRow="0" w:firstColumn="0" w:lastColumn="0" w:oddVBand="0" w:evenVBand="0" w:oddHBand="0" w:evenHBand="0" w:firstRowFirstColumn="0" w:firstRowLastColumn="0" w:lastRowFirstColumn="0" w:lastRowLastColumn="0"/>
            </w:pPr>
            <w:r>
              <w:t>Date(s)</w:t>
            </w:r>
          </w:p>
        </w:tc>
      </w:tr>
      <w:tr w:rsidR="008E24A6" w:rsidRPr="00847FAE" w14:paraId="7F22A7C2"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0" w:type="auto"/>
          </w:tcPr>
          <w:p w14:paraId="4A100C15" w14:textId="77777777" w:rsidR="008E24A6" w:rsidRPr="003724D2" w:rsidRDefault="008E24A6" w:rsidP="0045133E">
            <w:pPr>
              <w:rPr>
                <w:b w:val="0"/>
              </w:rPr>
            </w:pPr>
            <w:r w:rsidRPr="003724D2">
              <w:rPr>
                <w:b w:val="0"/>
              </w:rPr>
              <w:t xml:space="preserve">Judicial College of Victoria, </w:t>
            </w:r>
          </w:p>
          <w:p w14:paraId="775C5517" w14:textId="2B828AB5" w:rsidR="008E24A6" w:rsidRPr="003724D2" w:rsidRDefault="008E24A6" w:rsidP="0045133E">
            <w:pPr>
              <w:rPr>
                <w:b w:val="0"/>
              </w:rPr>
            </w:pPr>
            <w:r w:rsidRPr="003724D2">
              <w:rPr>
                <w:b w:val="0"/>
              </w:rPr>
              <w:t>Judicial Wellbeing</w:t>
            </w:r>
          </w:p>
        </w:tc>
        <w:tc>
          <w:tcPr>
            <w:tcW w:w="1213" w:type="dxa"/>
          </w:tcPr>
          <w:p w14:paraId="2CF9F5B3" w14:textId="77777777" w:rsidR="008E24A6" w:rsidRPr="00847FAE" w:rsidRDefault="008E24A6" w:rsidP="0045133E">
            <w:pPr>
              <w:cnfStyle w:val="000000000000" w:firstRow="0" w:lastRow="0" w:firstColumn="0" w:lastColumn="0" w:oddVBand="0" w:evenVBand="0" w:oddHBand="0" w:evenHBand="0" w:firstRowFirstColumn="0" w:firstRowLastColumn="0" w:lastRowFirstColumn="0" w:lastRowLastColumn="0"/>
            </w:pPr>
            <w:r w:rsidRPr="00847FAE">
              <w:t>Melbourne</w:t>
            </w:r>
          </w:p>
        </w:tc>
        <w:tc>
          <w:tcPr>
            <w:tcW w:w="2268" w:type="dxa"/>
          </w:tcPr>
          <w:p w14:paraId="0C539FB5" w14:textId="77777777" w:rsidR="008E24A6" w:rsidRPr="00847FAE" w:rsidRDefault="008E24A6" w:rsidP="0045133E">
            <w:pPr>
              <w:cnfStyle w:val="000000000000" w:firstRow="0" w:lastRow="0" w:firstColumn="0" w:lastColumn="0" w:oddVBand="0" w:evenVBand="0" w:oddHBand="0" w:evenHBand="0" w:firstRowFirstColumn="0" w:firstRowLastColumn="0" w:lastRowFirstColumn="0" w:lastRowLastColumn="0"/>
            </w:pPr>
            <w:r w:rsidRPr="00847FAE">
              <w:t>10-11 August 2017</w:t>
            </w:r>
          </w:p>
        </w:tc>
      </w:tr>
      <w:tr w:rsidR="008E24A6" w:rsidRPr="00847FAE" w14:paraId="298DEFC6"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0" w:type="auto"/>
          </w:tcPr>
          <w:p w14:paraId="6F8AC8D7" w14:textId="77777777" w:rsidR="008E24A6" w:rsidRPr="003724D2" w:rsidRDefault="008E24A6" w:rsidP="008E24A6">
            <w:pPr>
              <w:rPr>
                <w:b w:val="0"/>
              </w:rPr>
            </w:pPr>
            <w:r w:rsidRPr="003724D2">
              <w:rPr>
                <w:b w:val="0"/>
              </w:rPr>
              <w:t>Council of Chief Magistrates Meeting</w:t>
            </w:r>
          </w:p>
        </w:tc>
        <w:tc>
          <w:tcPr>
            <w:tcW w:w="1213" w:type="dxa"/>
          </w:tcPr>
          <w:p w14:paraId="719A9246" w14:textId="3A3A4B47"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Perth Canberra</w:t>
            </w:r>
          </w:p>
        </w:tc>
        <w:tc>
          <w:tcPr>
            <w:tcW w:w="2268" w:type="dxa"/>
          </w:tcPr>
          <w:p w14:paraId="637CA106" w14:textId="77777777"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14-15 September 2017</w:t>
            </w:r>
          </w:p>
          <w:p w14:paraId="51EA6E15" w14:textId="08AD1717"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15-16 March 2018</w:t>
            </w:r>
          </w:p>
        </w:tc>
      </w:tr>
      <w:tr w:rsidR="008E24A6" w:rsidRPr="00847FAE" w14:paraId="67407835"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0" w:type="auto"/>
          </w:tcPr>
          <w:p w14:paraId="743A17E2" w14:textId="77777777" w:rsidR="008E24A6" w:rsidRPr="003724D2" w:rsidRDefault="008E24A6" w:rsidP="008E24A6">
            <w:pPr>
              <w:rPr>
                <w:b w:val="0"/>
              </w:rPr>
            </w:pPr>
            <w:r w:rsidRPr="003724D2">
              <w:rPr>
                <w:b w:val="0"/>
              </w:rPr>
              <w:t>National Judicial College of Australia,</w:t>
            </w:r>
          </w:p>
          <w:p w14:paraId="45345818" w14:textId="735E5E6C" w:rsidR="008E24A6" w:rsidRPr="003724D2" w:rsidRDefault="008E24A6" w:rsidP="008E24A6">
            <w:pPr>
              <w:rPr>
                <w:b w:val="0"/>
              </w:rPr>
            </w:pPr>
            <w:r w:rsidRPr="003724D2">
              <w:rPr>
                <w:b w:val="0"/>
              </w:rPr>
              <w:t>National Magistrates Orientation Program</w:t>
            </w:r>
          </w:p>
        </w:tc>
        <w:tc>
          <w:tcPr>
            <w:tcW w:w="1213" w:type="dxa"/>
          </w:tcPr>
          <w:p w14:paraId="04F8F78A" w14:textId="77777777"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Brisbane</w:t>
            </w:r>
          </w:p>
        </w:tc>
        <w:tc>
          <w:tcPr>
            <w:tcW w:w="2268" w:type="dxa"/>
          </w:tcPr>
          <w:p w14:paraId="5E3D0D9F" w14:textId="77777777"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4-8 September 2017</w:t>
            </w:r>
          </w:p>
        </w:tc>
      </w:tr>
      <w:tr w:rsidR="008E24A6" w:rsidRPr="00847FAE" w14:paraId="5760D1ED"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0" w:type="auto"/>
          </w:tcPr>
          <w:p w14:paraId="0A967067" w14:textId="3325D8C2" w:rsidR="008E24A6" w:rsidRPr="003724D2" w:rsidRDefault="008E24A6" w:rsidP="008E24A6">
            <w:pPr>
              <w:rPr>
                <w:b w:val="0"/>
              </w:rPr>
            </w:pPr>
            <w:r w:rsidRPr="003724D2">
              <w:rPr>
                <w:b w:val="0"/>
              </w:rPr>
              <w:t>Asia Pacific Coroners Society Annual Conference</w:t>
            </w:r>
          </w:p>
        </w:tc>
        <w:tc>
          <w:tcPr>
            <w:tcW w:w="1213" w:type="dxa"/>
          </w:tcPr>
          <w:p w14:paraId="4862D418" w14:textId="4DF95F85"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Perth</w:t>
            </w:r>
          </w:p>
        </w:tc>
        <w:tc>
          <w:tcPr>
            <w:tcW w:w="2268" w:type="dxa"/>
          </w:tcPr>
          <w:p w14:paraId="126F6ACC" w14:textId="72D2515F"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 xml:space="preserve">31 October – 3 November 2017 </w:t>
            </w:r>
          </w:p>
        </w:tc>
      </w:tr>
      <w:tr w:rsidR="008E24A6" w:rsidRPr="00847FAE" w14:paraId="6C747F7E"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0" w:type="auto"/>
          </w:tcPr>
          <w:p w14:paraId="168E5167" w14:textId="77777777" w:rsidR="008E24A6" w:rsidRPr="003724D2" w:rsidRDefault="008E24A6" w:rsidP="008E24A6">
            <w:pPr>
              <w:rPr>
                <w:b w:val="0"/>
              </w:rPr>
            </w:pPr>
            <w:r w:rsidRPr="003724D2">
              <w:rPr>
                <w:b w:val="0"/>
              </w:rPr>
              <w:t>Judicial College of Australia Governing Council Meeting</w:t>
            </w:r>
          </w:p>
        </w:tc>
        <w:tc>
          <w:tcPr>
            <w:tcW w:w="1213" w:type="dxa"/>
          </w:tcPr>
          <w:p w14:paraId="57CD3810" w14:textId="3F181B79" w:rsidR="008E24A6" w:rsidRPr="00847FAE" w:rsidRDefault="001E2CB7" w:rsidP="008E24A6">
            <w:pPr>
              <w:cnfStyle w:val="000000000000" w:firstRow="0" w:lastRow="0" w:firstColumn="0" w:lastColumn="0" w:oddVBand="0" w:evenVBand="0" w:oddHBand="0" w:evenHBand="0" w:firstRowFirstColumn="0" w:firstRowLastColumn="0" w:lastRowFirstColumn="0" w:lastRowLastColumn="0"/>
            </w:pPr>
            <w:r>
              <w:t>Canberra</w:t>
            </w:r>
          </w:p>
        </w:tc>
        <w:tc>
          <w:tcPr>
            <w:tcW w:w="2268" w:type="dxa"/>
          </w:tcPr>
          <w:p w14:paraId="76EC909B" w14:textId="686A75D0"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17 March 2018</w:t>
            </w:r>
          </w:p>
        </w:tc>
      </w:tr>
      <w:tr w:rsidR="008E24A6" w:rsidRPr="00847FAE" w14:paraId="3396493D"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0" w:type="auto"/>
          </w:tcPr>
          <w:p w14:paraId="4C4C0846" w14:textId="77777777" w:rsidR="008E24A6" w:rsidRPr="003724D2" w:rsidRDefault="008E24A6" w:rsidP="008E24A6">
            <w:pPr>
              <w:rPr>
                <w:b w:val="0"/>
              </w:rPr>
            </w:pPr>
            <w:r w:rsidRPr="003724D2">
              <w:rPr>
                <w:b w:val="0"/>
              </w:rPr>
              <w:lastRenderedPageBreak/>
              <w:t>Association of Australian Magistrates Biennial Conference</w:t>
            </w:r>
          </w:p>
        </w:tc>
        <w:tc>
          <w:tcPr>
            <w:tcW w:w="1213" w:type="dxa"/>
          </w:tcPr>
          <w:p w14:paraId="69D41A38" w14:textId="0413D38F"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Western Australia</w:t>
            </w:r>
          </w:p>
        </w:tc>
        <w:tc>
          <w:tcPr>
            <w:tcW w:w="2268" w:type="dxa"/>
          </w:tcPr>
          <w:p w14:paraId="08FED74D" w14:textId="48FFE611"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31 May - 1 June 2018</w:t>
            </w:r>
          </w:p>
        </w:tc>
      </w:tr>
      <w:tr w:rsidR="008E24A6" w:rsidRPr="00847FAE" w14:paraId="70933D76"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0" w:type="auto"/>
          </w:tcPr>
          <w:p w14:paraId="27847FB4" w14:textId="77777777" w:rsidR="008E24A6" w:rsidRPr="003724D2" w:rsidRDefault="008E24A6" w:rsidP="008E24A6">
            <w:pPr>
              <w:rPr>
                <w:b w:val="0"/>
              </w:rPr>
            </w:pPr>
            <w:r w:rsidRPr="003724D2">
              <w:rPr>
                <w:b w:val="0"/>
              </w:rPr>
              <w:t>Judicial College of Australia Governing Council Meeting</w:t>
            </w:r>
          </w:p>
        </w:tc>
        <w:tc>
          <w:tcPr>
            <w:tcW w:w="1213" w:type="dxa"/>
          </w:tcPr>
          <w:p w14:paraId="7A7C34AE" w14:textId="2ADA48F7"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Sydney</w:t>
            </w:r>
          </w:p>
        </w:tc>
        <w:tc>
          <w:tcPr>
            <w:tcW w:w="2268" w:type="dxa"/>
          </w:tcPr>
          <w:p w14:paraId="09FE01AF" w14:textId="674993FF" w:rsidR="008E24A6" w:rsidRPr="00847FAE" w:rsidRDefault="008E24A6" w:rsidP="008E24A6">
            <w:pPr>
              <w:cnfStyle w:val="000000000000" w:firstRow="0" w:lastRow="0" w:firstColumn="0" w:lastColumn="0" w:oddVBand="0" w:evenVBand="0" w:oddHBand="0" w:evenHBand="0" w:firstRowFirstColumn="0" w:firstRowLastColumn="0" w:lastRowFirstColumn="0" w:lastRowLastColumn="0"/>
            </w:pPr>
            <w:r w:rsidRPr="00847FAE">
              <w:t>2 June 2018</w:t>
            </w:r>
          </w:p>
        </w:tc>
      </w:tr>
      <w:tr w:rsidR="008E24A6" w:rsidRPr="00847FAE" w14:paraId="656BC729"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0" w:type="auto"/>
          </w:tcPr>
          <w:p w14:paraId="5BA9BC1F" w14:textId="77777777" w:rsidR="008E24A6" w:rsidRPr="003724D2" w:rsidRDefault="008E24A6" w:rsidP="008E24A6">
            <w:pPr>
              <w:rPr>
                <w:b w:val="0"/>
              </w:rPr>
            </w:pPr>
            <w:r w:rsidRPr="003724D2">
              <w:rPr>
                <w:b w:val="0"/>
              </w:rPr>
              <w:t>National Family Law Training Program Committee (Chief Magistrate)</w:t>
            </w:r>
          </w:p>
        </w:tc>
        <w:tc>
          <w:tcPr>
            <w:tcW w:w="1213" w:type="dxa"/>
          </w:tcPr>
          <w:p w14:paraId="158FF389" w14:textId="5D2F0E84" w:rsidR="008E24A6" w:rsidRPr="00847FAE" w:rsidRDefault="001E2CB7" w:rsidP="008E24A6">
            <w:pPr>
              <w:cnfStyle w:val="000000000000" w:firstRow="0" w:lastRow="0" w:firstColumn="0" w:lastColumn="0" w:oddVBand="0" w:evenVBand="0" w:oddHBand="0" w:evenHBand="0" w:firstRowFirstColumn="0" w:firstRowLastColumn="0" w:lastRowFirstColumn="0" w:lastRowLastColumn="0"/>
            </w:pPr>
            <w:r>
              <w:t>Sydney</w:t>
            </w:r>
          </w:p>
        </w:tc>
        <w:tc>
          <w:tcPr>
            <w:tcW w:w="2268" w:type="dxa"/>
          </w:tcPr>
          <w:p w14:paraId="4E7E7C1A" w14:textId="448815FB" w:rsidR="008E24A6" w:rsidRPr="00847FAE" w:rsidRDefault="001E2CB7" w:rsidP="008E24A6">
            <w:pPr>
              <w:cnfStyle w:val="000000000000" w:firstRow="0" w:lastRow="0" w:firstColumn="0" w:lastColumn="0" w:oddVBand="0" w:evenVBand="0" w:oddHBand="0" w:evenHBand="0" w:firstRowFirstColumn="0" w:firstRowLastColumn="0" w:lastRowFirstColumn="0" w:lastRowLastColumn="0"/>
            </w:pPr>
            <w:r>
              <w:t>25 November 2017</w:t>
            </w:r>
          </w:p>
        </w:tc>
      </w:tr>
    </w:tbl>
    <w:p w14:paraId="0FDF8980" w14:textId="0BDA910B" w:rsidR="00E11EA1" w:rsidRPr="00847FAE" w:rsidRDefault="00E27EAA" w:rsidP="00E5311F">
      <w:pPr>
        <w:pStyle w:val="Heading2"/>
      </w:pPr>
      <w:bookmarkStart w:id="130" w:name="_Toc529270640"/>
      <w:bookmarkStart w:id="131" w:name="_Toc529270848"/>
      <w:bookmarkStart w:id="132" w:name="_Toc529272541"/>
      <w:bookmarkStart w:id="133" w:name="_Toc529272616"/>
      <w:bookmarkStart w:id="134" w:name="_Toc1041136"/>
      <w:r w:rsidRPr="00847FAE">
        <w:t>Professional Development</w:t>
      </w:r>
      <w:bookmarkEnd w:id="130"/>
      <w:bookmarkEnd w:id="131"/>
      <w:bookmarkEnd w:id="132"/>
      <w:bookmarkEnd w:id="133"/>
      <w:bookmarkEnd w:id="134"/>
      <w:r w:rsidR="00E11EA1" w:rsidRPr="00847FAE">
        <w:t xml:space="preserve"> </w:t>
      </w:r>
    </w:p>
    <w:p w14:paraId="0DAAB1EB" w14:textId="3686017A" w:rsidR="00694505" w:rsidRPr="00847FAE" w:rsidRDefault="00E11EA1" w:rsidP="00154FCA">
      <w:pPr>
        <w:spacing w:before="240" w:after="240" w:line="300" w:lineRule="exact"/>
      </w:pPr>
      <w:r w:rsidRPr="00847FAE">
        <w:t>The Magistrates</w:t>
      </w:r>
      <w:r w:rsidR="00294442" w:rsidRPr="00847FAE">
        <w:t>’</w:t>
      </w:r>
      <w:r w:rsidRPr="00847FAE">
        <w:t xml:space="preserve"> professional development program continued with </w:t>
      </w:r>
      <w:r w:rsidR="00E27EAA" w:rsidRPr="00847FAE">
        <w:t xml:space="preserve">biannual </w:t>
      </w:r>
      <w:r w:rsidR="00642FC4" w:rsidRPr="00847FAE">
        <w:t>c</w:t>
      </w:r>
      <w:r w:rsidRPr="00847FAE">
        <w:t>onference</w:t>
      </w:r>
      <w:r w:rsidR="008060CC" w:rsidRPr="00847FAE">
        <w:t>s</w:t>
      </w:r>
      <w:r w:rsidRPr="00847FAE">
        <w:t xml:space="preserve"> held in Hobart on </w:t>
      </w:r>
      <w:r w:rsidR="009D42AE" w:rsidRPr="00847FAE">
        <w:t>19</w:t>
      </w:r>
      <w:r w:rsidRPr="00847FAE">
        <w:t>-</w:t>
      </w:r>
      <w:r w:rsidR="005C13DF" w:rsidRPr="00847FAE">
        <w:t>2</w:t>
      </w:r>
      <w:r w:rsidR="009D42AE" w:rsidRPr="00847FAE">
        <w:t>0</w:t>
      </w:r>
      <w:r w:rsidRPr="00847FAE">
        <w:t xml:space="preserve"> October 201</w:t>
      </w:r>
      <w:r w:rsidR="0002624D" w:rsidRPr="00847FAE">
        <w:t>7</w:t>
      </w:r>
      <w:r w:rsidRPr="00847FAE">
        <w:t xml:space="preserve"> and on </w:t>
      </w:r>
      <w:r w:rsidR="0002624D" w:rsidRPr="00847FAE">
        <w:t>12-13</w:t>
      </w:r>
      <w:r w:rsidR="00642FC4" w:rsidRPr="00847FAE">
        <w:t xml:space="preserve"> A</w:t>
      </w:r>
      <w:r w:rsidRPr="00847FAE">
        <w:t>pril 201</w:t>
      </w:r>
      <w:r w:rsidR="0002624D" w:rsidRPr="00847FAE">
        <w:t>8</w:t>
      </w:r>
      <w:r w:rsidR="001069A1" w:rsidRPr="00847FAE">
        <w:t>.</w:t>
      </w:r>
      <w:r w:rsidRPr="00847FAE">
        <w:t xml:space="preserve"> </w:t>
      </w:r>
    </w:p>
    <w:p w14:paraId="3ABCE03B" w14:textId="63B1005B" w:rsidR="004B2C50" w:rsidRPr="000E4A4B" w:rsidRDefault="00E11EA1" w:rsidP="00154FCA">
      <w:pPr>
        <w:spacing w:before="240" w:after="240" w:line="300" w:lineRule="exact"/>
      </w:pPr>
      <w:r w:rsidRPr="000E4A4B">
        <w:t xml:space="preserve">A range of presentations were delivered by guest presenters and </w:t>
      </w:r>
      <w:r w:rsidR="00694505" w:rsidRPr="000E4A4B">
        <w:t>m</w:t>
      </w:r>
      <w:r w:rsidRPr="000E4A4B">
        <w:t>agistrates</w:t>
      </w:r>
      <w:r w:rsidR="001069A1" w:rsidRPr="000E4A4B">
        <w:t xml:space="preserve">.  </w:t>
      </w:r>
      <w:r w:rsidRPr="000E4A4B">
        <w:t xml:space="preserve">Topics included </w:t>
      </w:r>
      <w:r w:rsidR="00E814C2" w:rsidRPr="000E4A4B">
        <w:t xml:space="preserve">sentencing, </w:t>
      </w:r>
      <w:r w:rsidR="004B2C50" w:rsidRPr="000E4A4B">
        <w:t xml:space="preserve">therapeutic jurisdictions, torts, contract, criminal law, judicial wellbeing, </w:t>
      </w:r>
      <w:r w:rsidR="005E0530" w:rsidRPr="000E4A4B">
        <w:t xml:space="preserve">national standards for working with interpreters in court and an </w:t>
      </w:r>
      <w:r w:rsidR="004B2C50" w:rsidRPr="000E4A4B">
        <w:t xml:space="preserve">update on the Department of Justice’s Justice Connect IT project.  The second day of </w:t>
      </w:r>
      <w:r w:rsidR="005E0530" w:rsidRPr="000E4A4B">
        <w:t>the April 2018 conference was t</w:t>
      </w:r>
      <w:r w:rsidR="004B2C50" w:rsidRPr="000E4A4B">
        <w:t>a</w:t>
      </w:r>
      <w:r w:rsidR="005E0530" w:rsidRPr="000E4A4B">
        <w:t>ke</w:t>
      </w:r>
      <w:r w:rsidR="004B2C50" w:rsidRPr="000E4A4B">
        <w:t xml:space="preserve">n up with family violence training </w:t>
      </w:r>
      <w:r w:rsidR="00DF49B6" w:rsidRPr="000E4A4B">
        <w:t xml:space="preserve">presented </w:t>
      </w:r>
      <w:r w:rsidR="004B2C50" w:rsidRPr="000E4A4B">
        <w:t xml:space="preserve">by </w:t>
      </w:r>
      <w:r w:rsidR="00F4744C" w:rsidRPr="000E4A4B">
        <w:t>the National Judicial College of Australia.</w:t>
      </w:r>
    </w:p>
    <w:p w14:paraId="6878439C" w14:textId="516C170B" w:rsidR="00552F90" w:rsidRPr="00847FAE" w:rsidRDefault="004B2C50" w:rsidP="00154FCA">
      <w:pPr>
        <w:spacing w:before="240" w:after="240" w:line="300" w:lineRule="exact"/>
      </w:pPr>
      <w:r w:rsidRPr="000E4A4B">
        <w:t>I exp</w:t>
      </w:r>
      <w:r w:rsidR="00E11EA1" w:rsidRPr="000E4A4B">
        <w:t xml:space="preserve">ress my gratitude to </w:t>
      </w:r>
      <w:r w:rsidR="00642FC4" w:rsidRPr="000E4A4B">
        <w:t xml:space="preserve">the organisers of the conferences and to </w:t>
      </w:r>
      <w:r w:rsidR="00E11EA1" w:rsidRPr="000E4A4B">
        <w:t>th</w:t>
      </w:r>
      <w:r w:rsidR="008060CC" w:rsidRPr="000E4A4B">
        <w:t xml:space="preserve">e presenters who have </w:t>
      </w:r>
      <w:r w:rsidR="00E11EA1" w:rsidRPr="000E4A4B">
        <w:t>significantly contributed to the ongoing development of the expertise of the Tasmanian Magistracy.</w:t>
      </w:r>
    </w:p>
    <w:p w14:paraId="68C69D33" w14:textId="77777777" w:rsidR="002D2227" w:rsidRPr="00847FAE" w:rsidRDefault="005C13DF" w:rsidP="00154FCA">
      <w:pPr>
        <w:spacing w:before="240" w:after="240" w:line="300" w:lineRule="exact"/>
      </w:pPr>
      <w:r w:rsidRPr="00847FAE">
        <w:t xml:space="preserve">The Chief Magistrate is also responsible under the </w:t>
      </w:r>
      <w:r w:rsidRPr="00847FAE">
        <w:rPr>
          <w:i/>
        </w:rPr>
        <w:t>Magistrates Court Act</w:t>
      </w:r>
      <w:r w:rsidRPr="00847FAE">
        <w:t xml:space="preserve"> </w:t>
      </w:r>
      <w:r w:rsidR="00927D39" w:rsidRPr="00847FAE">
        <w:t xml:space="preserve">1987 </w:t>
      </w:r>
      <w:r w:rsidRPr="00847FAE">
        <w:t xml:space="preserve">for the professional development of </w:t>
      </w:r>
      <w:r w:rsidR="00927D39" w:rsidRPr="00847FAE">
        <w:t xml:space="preserve">Court </w:t>
      </w:r>
      <w:r w:rsidRPr="00847FAE">
        <w:t>staff</w:t>
      </w:r>
      <w:r w:rsidR="001069A1" w:rsidRPr="00847FAE">
        <w:t xml:space="preserve">.  </w:t>
      </w:r>
      <w:r w:rsidR="00927D39" w:rsidRPr="00847FAE">
        <w:t xml:space="preserve"> Staff have undertaken a variety </w:t>
      </w:r>
      <w:r w:rsidR="00B200AC" w:rsidRPr="00847FAE">
        <w:t>of training opportunities including:</w:t>
      </w:r>
      <w:r w:rsidR="00BD7C1C" w:rsidRPr="00847FAE">
        <w:t xml:space="preserve"> </w:t>
      </w:r>
    </w:p>
    <w:p w14:paraId="26898C17" w14:textId="77777777" w:rsidR="00BD2A8D" w:rsidRPr="00847FAE" w:rsidRDefault="00BD2A8D" w:rsidP="008E24A6">
      <w:pPr>
        <w:numPr>
          <w:ilvl w:val="0"/>
          <w:numId w:val="21"/>
        </w:numPr>
      </w:pPr>
      <w:r w:rsidRPr="00847FAE">
        <w:t>New staff i</w:t>
      </w:r>
      <w:r w:rsidR="00927D39" w:rsidRPr="00847FAE">
        <w:t>nduction</w:t>
      </w:r>
    </w:p>
    <w:p w14:paraId="2E1490B3" w14:textId="5F6FFB9A" w:rsidR="002908E8" w:rsidRDefault="002908E8" w:rsidP="00470D3C">
      <w:pPr>
        <w:numPr>
          <w:ilvl w:val="0"/>
          <w:numId w:val="21"/>
        </w:numPr>
      </w:pPr>
      <w:r>
        <w:t>Online training in f</w:t>
      </w:r>
      <w:r w:rsidRPr="002908E8">
        <w:t xml:space="preserve">amily </w:t>
      </w:r>
      <w:r>
        <w:t>v</w:t>
      </w:r>
      <w:r w:rsidRPr="002908E8">
        <w:t xml:space="preserve">iolence, </w:t>
      </w:r>
      <w:r>
        <w:t>m</w:t>
      </w:r>
      <w:r w:rsidRPr="00847FAE">
        <w:t xml:space="preserve">ental </w:t>
      </w:r>
      <w:r>
        <w:t>h</w:t>
      </w:r>
      <w:r w:rsidRPr="00847FAE">
        <w:t xml:space="preserve">ealth </w:t>
      </w:r>
      <w:r>
        <w:t>and wellbeing, w</w:t>
      </w:r>
      <w:r w:rsidRPr="00847FAE">
        <w:t xml:space="preserve">ork </w:t>
      </w:r>
      <w:r>
        <w:t>h</w:t>
      </w:r>
      <w:r w:rsidRPr="00847FAE">
        <w:t xml:space="preserve">ealth and </w:t>
      </w:r>
      <w:r>
        <w:t>s</w:t>
      </w:r>
      <w:r w:rsidRPr="00847FAE">
        <w:t>afety</w:t>
      </w:r>
      <w:r w:rsidRPr="002908E8">
        <w:t xml:space="preserve"> </w:t>
      </w:r>
      <w:r>
        <w:t>r</w:t>
      </w:r>
      <w:r w:rsidRPr="002908E8">
        <w:t xml:space="preserve">efresher course, </w:t>
      </w:r>
      <w:r>
        <w:t>simple and complex p</w:t>
      </w:r>
      <w:r w:rsidRPr="00847FAE">
        <w:t>rocurement training</w:t>
      </w:r>
      <w:r>
        <w:t>, ethics and behaviour</w:t>
      </w:r>
    </w:p>
    <w:p w14:paraId="3F30C986" w14:textId="7E37646C" w:rsidR="00A47E86" w:rsidRPr="00847FAE" w:rsidRDefault="00A47E86" w:rsidP="00A47E86">
      <w:pPr>
        <w:numPr>
          <w:ilvl w:val="0"/>
          <w:numId w:val="21"/>
        </w:numPr>
      </w:pPr>
      <w:r w:rsidRPr="00847FAE">
        <w:t>Certificate IV in Leadership and Management (t</w:t>
      </w:r>
      <w:r w:rsidR="000B022C">
        <w:t>hree</w:t>
      </w:r>
      <w:r w:rsidRPr="00847FAE">
        <w:t xml:space="preserve"> staff)</w:t>
      </w:r>
    </w:p>
    <w:p w14:paraId="4B28D934" w14:textId="356A9441" w:rsidR="00A47E86" w:rsidRPr="00847FAE" w:rsidRDefault="00A47E86" w:rsidP="00A47E86">
      <w:pPr>
        <w:numPr>
          <w:ilvl w:val="0"/>
          <w:numId w:val="21"/>
        </w:numPr>
      </w:pPr>
      <w:r w:rsidRPr="00847FAE">
        <w:t xml:space="preserve">Australia and New Zealand School of Government Tasmanian Senior Executive Leadership Development Program, April 2017 – November 2017 </w:t>
      </w:r>
      <w:r>
        <w:t>(one staff member)</w:t>
      </w:r>
    </w:p>
    <w:p w14:paraId="208DEBA3" w14:textId="20F3FD92" w:rsidR="002908E8" w:rsidRDefault="002908E8" w:rsidP="002908E8">
      <w:pPr>
        <w:numPr>
          <w:ilvl w:val="0"/>
          <w:numId w:val="21"/>
        </w:numPr>
      </w:pPr>
      <w:r w:rsidRPr="00A47E86">
        <w:t xml:space="preserve">State Service Management Office Manager Essential Program </w:t>
      </w:r>
      <w:r w:rsidR="009C609C">
        <w:t>(</w:t>
      </w:r>
      <w:r w:rsidRPr="00A47E86">
        <w:t>one staff member</w:t>
      </w:r>
      <w:r w:rsidR="009C609C">
        <w:t>)</w:t>
      </w:r>
    </w:p>
    <w:p w14:paraId="05A7B9A1" w14:textId="77777777" w:rsidR="002908E8" w:rsidRDefault="002908E8" w:rsidP="002908E8">
      <w:pPr>
        <w:numPr>
          <w:ilvl w:val="0"/>
          <w:numId w:val="21"/>
        </w:numPr>
      </w:pPr>
      <w:r w:rsidRPr="00847FAE">
        <w:t>New supervisor training</w:t>
      </w:r>
      <w:r>
        <w:t xml:space="preserve"> (one staff member)</w:t>
      </w:r>
    </w:p>
    <w:p w14:paraId="7FFFA0F1" w14:textId="28EDF18A" w:rsidR="00DA3BF7" w:rsidRDefault="00DA3BF7" w:rsidP="008E24A6">
      <w:pPr>
        <w:numPr>
          <w:ilvl w:val="0"/>
          <w:numId w:val="21"/>
        </w:numPr>
      </w:pPr>
      <w:r w:rsidRPr="00847FAE">
        <w:t xml:space="preserve">Querulous Litigant </w:t>
      </w:r>
      <w:r w:rsidR="000B022C">
        <w:t>Seminar</w:t>
      </w:r>
    </w:p>
    <w:p w14:paraId="6E60B676" w14:textId="77777777" w:rsidR="002908E8" w:rsidRDefault="002908E8" w:rsidP="002908E8">
      <w:pPr>
        <w:numPr>
          <w:ilvl w:val="0"/>
          <w:numId w:val="21"/>
        </w:numPr>
      </w:pPr>
      <w:r>
        <w:t>Use of Interpreters</w:t>
      </w:r>
    </w:p>
    <w:p w14:paraId="6B59DAB2" w14:textId="77777777" w:rsidR="002908E8" w:rsidRPr="00847FAE" w:rsidRDefault="002908E8" w:rsidP="002908E8">
      <w:pPr>
        <w:numPr>
          <w:ilvl w:val="0"/>
          <w:numId w:val="21"/>
        </w:numPr>
      </w:pPr>
      <w:r>
        <w:t>Internal Audit and Work Health and Safety training</w:t>
      </w:r>
    </w:p>
    <w:p w14:paraId="6196B6E8" w14:textId="77777777" w:rsidR="002908E8" w:rsidRPr="00847FAE" w:rsidRDefault="002908E8" w:rsidP="002908E8">
      <w:pPr>
        <w:numPr>
          <w:ilvl w:val="0"/>
          <w:numId w:val="21"/>
        </w:numPr>
      </w:pPr>
      <w:r>
        <w:t>Tasmanian legislation training through the Office of Parliamentary Counsel</w:t>
      </w:r>
    </w:p>
    <w:p w14:paraId="4C92FA76" w14:textId="77777777" w:rsidR="002908E8" w:rsidRDefault="002908E8" w:rsidP="008E24A6">
      <w:pPr>
        <w:numPr>
          <w:ilvl w:val="0"/>
          <w:numId w:val="21"/>
        </w:numPr>
      </w:pPr>
      <w:r w:rsidRPr="00847FAE">
        <w:t xml:space="preserve">Civil legislation </w:t>
      </w:r>
      <w:r>
        <w:t xml:space="preserve">and procedure </w:t>
      </w:r>
      <w:r w:rsidRPr="00847FAE">
        <w:t>training for registry staff</w:t>
      </w:r>
      <w:r>
        <w:t xml:space="preserve"> </w:t>
      </w:r>
    </w:p>
    <w:p w14:paraId="3B95E6E5" w14:textId="77777777" w:rsidR="002908E8" w:rsidRDefault="002908E8" w:rsidP="002908E8">
      <w:pPr>
        <w:numPr>
          <w:ilvl w:val="0"/>
          <w:numId w:val="21"/>
        </w:numPr>
      </w:pPr>
      <w:r w:rsidRPr="00847FAE">
        <w:t xml:space="preserve">Archiving training </w:t>
      </w:r>
    </w:p>
    <w:p w14:paraId="7B2F74FE" w14:textId="77777777" w:rsidR="002908E8" w:rsidRPr="00A47E86" w:rsidRDefault="002908E8" w:rsidP="002908E8">
      <w:pPr>
        <w:numPr>
          <w:ilvl w:val="0"/>
          <w:numId w:val="21"/>
        </w:numPr>
      </w:pPr>
      <w:r>
        <w:lastRenderedPageBreak/>
        <w:t xml:space="preserve">Web writing and publishing </w:t>
      </w:r>
    </w:p>
    <w:p w14:paraId="4B57FC8B" w14:textId="67E80EF7" w:rsidR="00793D1C" w:rsidRDefault="00793D1C" w:rsidP="008E24A6">
      <w:pPr>
        <w:numPr>
          <w:ilvl w:val="0"/>
          <w:numId w:val="21"/>
        </w:numPr>
      </w:pPr>
      <w:r>
        <w:t>Tasmanian Suicide Register training</w:t>
      </w:r>
    </w:p>
    <w:p w14:paraId="1D060FCD" w14:textId="2FD57A58" w:rsidR="00793D1C" w:rsidRDefault="00793D1C" w:rsidP="008E24A6">
      <w:pPr>
        <w:numPr>
          <w:ilvl w:val="0"/>
          <w:numId w:val="21"/>
        </w:numPr>
      </w:pPr>
      <w:r>
        <w:t>National Coronial Information System Coder training</w:t>
      </w:r>
    </w:p>
    <w:p w14:paraId="25457E7A" w14:textId="4839B2B3" w:rsidR="00793D1C" w:rsidRDefault="00793D1C" w:rsidP="00793D1C">
      <w:pPr>
        <w:numPr>
          <w:ilvl w:val="0"/>
          <w:numId w:val="21"/>
        </w:numPr>
      </w:pPr>
      <w:r>
        <w:t>Domestic Violence Death Review training (provided by NSW DFVDR team)</w:t>
      </w:r>
    </w:p>
    <w:p w14:paraId="68894688" w14:textId="052FFF57" w:rsidR="00793D1C" w:rsidRPr="00847FAE" w:rsidRDefault="00793D1C" w:rsidP="00793D1C">
      <w:pPr>
        <w:numPr>
          <w:ilvl w:val="0"/>
          <w:numId w:val="21"/>
        </w:numPr>
      </w:pPr>
      <w:r>
        <w:t>Asi</w:t>
      </w:r>
      <w:r w:rsidR="002908E8">
        <w:t>a-</w:t>
      </w:r>
      <w:r>
        <w:t>Pacific Coroners Society Conference</w:t>
      </w:r>
    </w:p>
    <w:p w14:paraId="21CF1620" w14:textId="7BC47C97" w:rsidR="000B022C" w:rsidRPr="00847FAE" w:rsidRDefault="00BD2A8D" w:rsidP="002908E8">
      <w:pPr>
        <w:numPr>
          <w:ilvl w:val="0"/>
          <w:numId w:val="21"/>
        </w:numPr>
      </w:pPr>
      <w:r w:rsidRPr="00847FAE">
        <w:t xml:space="preserve">First aid </w:t>
      </w:r>
      <w:r w:rsidR="002908E8">
        <w:t xml:space="preserve">and defibrillator </w:t>
      </w:r>
      <w:r w:rsidRPr="00847FAE">
        <w:t xml:space="preserve">training </w:t>
      </w:r>
    </w:p>
    <w:p w14:paraId="13912DB3" w14:textId="3CFBDFA9" w:rsidR="00BD2A8D" w:rsidRDefault="00BD2A8D" w:rsidP="008E24A6">
      <w:pPr>
        <w:numPr>
          <w:ilvl w:val="0"/>
          <w:numId w:val="21"/>
        </w:numPr>
      </w:pPr>
      <w:r w:rsidRPr="00847FAE">
        <w:t xml:space="preserve">Fire training </w:t>
      </w:r>
    </w:p>
    <w:p w14:paraId="4BDC9FD7" w14:textId="632F0732" w:rsidR="000B022C" w:rsidRDefault="002908E8" w:rsidP="008E24A6">
      <w:pPr>
        <w:numPr>
          <w:ilvl w:val="0"/>
          <w:numId w:val="21"/>
        </w:numPr>
      </w:pPr>
      <w:r>
        <w:t>Code Black s</w:t>
      </w:r>
      <w:r w:rsidR="000B022C">
        <w:t>ecurity training</w:t>
      </w:r>
    </w:p>
    <w:p w14:paraId="643A83D4" w14:textId="273AE420" w:rsidR="00BD2A8D" w:rsidRPr="00847FAE" w:rsidRDefault="00BD2A8D" w:rsidP="008E24A6">
      <w:pPr>
        <w:numPr>
          <w:ilvl w:val="0"/>
          <w:numId w:val="21"/>
        </w:numPr>
      </w:pPr>
      <w:r w:rsidRPr="00847FAE">
        <w:t>Various short training sessions provided through the Law Society</w:t>
      </w:r>
      <w:r w:rsidR="00BC2173" w:rsidRPr="00847FAE">
        <w:t>, Department of Justice online learning site,</w:t>
      </w:r>
      <w:r w:rsidRPr="00847FAE">
        <w:t xml:space="preserve"> and </w:t>
      </w:r>
      <w:r w:rsidR="00A47E86">
        <w:t xml:space="preserve">The </w:t>
      </w:r>
      <w:r w:rsidRPr="00847FAE">
        <w:t>Training Consortium</w:t>
      </w:r>
      <w:r w:rsidR="00DA3BF7" w:rsidRPr="00847FAE">
        <w:t xml:space="preserve"> </w:t>
      </w:r>
    </w:p>
    <w:p w14:paraId="2442FE26" w14:textId="1088176D" w:rsidR="00DA3BF7" w:rsidRPr="00847FAE" w:rsidRDefault="00DA3BF7" w:rsidP="008E24A6">
      <w:pPr>
        <w:numPr>
          <w:ilvl w:val="0"/>
          <w:numId w:val="21"/>
        </w:numPr>
      </w:pPr>
      <w:r w:rsidRPr="00847FAE">
        <w:t xml:space="preserve">Short presentations from services linked to the Court to inform Court staff </w:t>
      </w:r>
      <w:r w:rsidR="00032600">
        <w:t>including Tasmania Police Operational Information Services, Safe at Home, Child Safety Services</w:t>
      </w:r>
      <w:r w:rsidR="003A7177">
        <w:t>, Women’s Legal Service</w:t>
      </w:r>
    </w:p>
    <w:p w14:paraId="5F5AEB44" w14:textId="1B7A01EC" w:rsidR="00591623" w:rsidRPr="00847FAE" w:rsidRDefault="007C0071" w:rsidP="009C609C">
      <w:pPr>
        <w:spacing w:before="240" w:after="240" w:line="300" w:lineRule="exact"/>
      </w:pPr>
      <w:bookmarkStart w:id="135" w:name="_Toc311717611"/>
      <w:bookmarkStart w:id="136" w:name="_Toc311718292"/>
      <w:bookmarkStart w:id="137" w:name="_Toc311725657"/>
      <w:r w:rsidRPr="00847FAE">
        <w:t>The Court’s Training Co-ordinator, Kylie An</w:t>
      </w:r>
      <w:r w:rsidR="000952AD" w:rsidRPr="00847FAE">
        <w:t>derson, joined the Court for a two</w:t>
      </w:r>
      <w:r w:rsidRPr="00847FAE">
        <w:t xml:space="preserve"> year</w:t>
      </w:r>
      <w:r w:rsidR="00985DFB" w:rsidRPr="00847FAE">
        <w:t xml:space="preserve"> period in January 2018.  With assistance and direction from Deputy Administrator, Roger Illingworth, s</w:t>
      </w:r>
      <w:r w:rsidRPr="00847FAE">
        <w:t xml:space="preserve">he has been working on improving the Court’s written training material, including procedural manuals and creating an online induction module for new </w:t>
      </w:r>
      <w:r w:rsidR="00A407C1" w:rsidRPr="00847FAE">
        <w:t xml:space="preserve">staff which will assist in ensuring statewide consistency of training and processes.  </w:t>
      </w:r>
    </w:p>
    <w:p w14:paraId="5151A1C6" w14:textId="71895C4A" w:rsidR="00020CB0" w:rsidRPr="00847FAE" w:rsidRDefault="00020CB0" w:rsidP="006D6732">
      <w:pPr>
        <w:pStyle w:val="Heading1"/>
      </w:pPr>
      <w:bookmarkStart w:id="138" w:name="_Toc529270641"/>
      <w:bookmarkStart w:id="139" w:name="_Toc529270849"/>
      <w:bookmarkStart w:id="140" w:name="_Toc529272542"/>
      <w:bookmarkStart w:id="141" w:name="_Toc529272617"/>
      <w:bookmarkStart w:id="142" w:name="_Toc1041137"/>
      <w:r w:rsidRPr="00847FAE">
        <w:t>Magistrates Court Review</w:t>
      </w:r>
      <w:bookmarkEnd w:id="138"/>
      <w:bookmarkEnd w:id="139"/>
      <w:bookmarkEnd w:id="140"/>
      <w:bookmarkEnd w:id="141"/>
      <w:bookmarkEnd w:id="142"/>
      <w:r w:rsidRPr="00847FAE">
        <w:t xml:space="preserve"> </w:t>
      </w:r>
    </w:p>
    <w:p w14:paraId="50D1B837" w14:textId="0B0391E4" w:rsidR="00FA5AC2" w:rsidRPr="00847FAE" w:rsidRDefault="00020CB0" w:rsidP="00020CB0">
      <w:pPr>
        <w:spacing w:before="240" w:after="240" w:line="300" w:lineRule="exact"/>
      </w:pPr>
      <w:r w:rsidRPr="00847FAE">
        <w:t xml:space="preserve">On 16 June 2016 the </w:t>
      </w:r>
      <w:r w:rsidR="00931894" w:rsidRPr="00847FAE">
        <w:t xml:space="preserve">then </w:t>
      </w:r>
      <w:r w:rsidRPr="00847FAE">
        <w:t xml:space="preserve">Attorney-General Dr Vanessa Goodwin announced that she had engaged consulting firm KPMG to report to her on how to improve finalisations, clearance rates, attendances and backlog indicators in the criminal, civil and coronial divisions of the Court.  The Review examined the Court’s administrative systems and resources, including in-court administrative arrangements.   It was released on 23 May 2017 and a steering committee was established to consider and progress the review’s recommendations. </w:t>
      </w:r>
    </w:p>
    <w:p w14:paraId="68E20CF1" w14:textId="500BC733" w:rsidR="00FA5AC2" w:rsidRPr="00847FAE" w:rsidRDefault="00FA5AC2" w:rsidP="00FA5AC2">
      <w:pPr>
        <w:spacing w:before="240" w:after="240" w:line="300" w:lineRule="exact"/>
      </w:pPr>
      <w:r w:rsidRPr="00847FAE">
        <w:t xml:space="preserve">Significant progress </w:t>
      </w:r>
      <w:r w:rsidR="009C609C">
        <w:t xml:space="preserve">was </w:t>
      </w:r>
      <w:r w:rsidRPr="00847FAE">
        <w:t>achieved in progressing recommendation</w:t>
      </w:r>
      <w:r w:rsidR="00BC2173" w:rsidRPr="00847FAE">
        <w:t>s to i</w:t>
      </w:r>
      <w:r w:rsidRPr="00847FAE">
        <w:t xml:space="preserve">mplement a standard structure for all locations and </w:t>
      </w:r>
      <w:r w:rsidR="00BC2173" w:rsidRPr="00847FAE">
        <w:t>to i</w:t>
      </w:r>
      <w:r w:rsidRPr="00847FAE">
        <w:t>mplement resource development and sharing.  The Magistrates Court now has a stable and standardised statewide operational structure.  A professional development framework has been rolled out and staff development requirements</w:t>
      </w:r>
      <w:r w:rsidR="00A8097E" w:rsidRPr="00847FAE">
        <w:t xml:space="preserve"> have been</w:t>
      </w:r>
      <w:r w:rsidRPr="00847FAE">
        <w:t xml:space="preserve"> captured to inform training.   A training coordinator has been appointed to </w:t>
      </w:r>
      <w:r w:rsidR="00A8097E" w:rsidRPr="00847FAE">
        <w:t xml:space="preserve">document and disseminate </w:t>
      </w:r>
      <w:r w:rsidRPr="00847FAE">
        <w:t>statewide best practice procedures and training tools.</w:t>
      </w:r>
      <w:r w:rsidR="00A8097E" w:rsidRPr="00847FAE">
        <w:t xml:space="preserve"> </w:t>
      </w:r>
    </w:p>
    <w:p w14:paraId="74E36716" w14:textId="31933CC3" w:rsidR="00FA5AC2" w:rsidRPr="00847FAE" w:rsidRDefault="00FA5AC2" w:rsidP="00FA5AC2">
      <w:pPr>
        <w:spacing w:before="240" w:after="240" w:line="300" w:lineRule="exact"/>
      </w:pPr>
      <w:r w:rsidRPr="00847FAE">
        <w:t xml:space="preserve">The </w:t>
      </w:r>
      <w:r w:rsidR="005E0530" w:rsidRPr="00847FAE">
        <w:t xml:space="preserve">Department of Justice commenced </w:t>
      </w:r>
      <w:r w:rsidRPr="00847FAE">
        <w:t xml:space="preserve">other projects such as Justice Connect (a Department-wide IT </w:t>
      </w:r>
      <w:r w:rsidR="00BC2173" w:rsidRPr="00847FAE">
        <w:t xml:space="preserve">system replacement program </w:t>
      </w:r>
      <w:r w:rsidR="00C97F1E" w:rsidRPr="00847FAE">
        <w:t>funded from the Government’s Digital Transformation Priority Expenditure Program</w:t>
      </w:r>
      <w:r w:rsidRPr="00847FAE">
        <w:t>) and the North</w:t>
      </w:r>
      <w:r w:rsidR="005E0530" w:rsidRPr="00847FAE">
        <w:t xml:space="preserve">ern Justice </w:t>
      </w:r>
      <w:r w:rsidR="00BC2173" w:rsidRPr="00847FAE">
        <w:t xml:space="preserve">Infrastructure </w:t>
      </w:r>
      <w:r w:rsidRPr="00847FAE">
        <w:t>Pro</w:t>
      </w:r>
      <w:r w:rsidR="005E0530" w:rsidRPr="00847FAE">
        <w:t>gram</w:t>
      </w:r>
      <w:r w:rsidRPr="00847FAE">
        <w:t xml:space="preserve"> </w:t>
      </w:r>
      <w:r w:rsidR="00B376C1" w:rsidRPr="00847FAE">
        <w:t>(</w:t>
      </w:r>
      <w:r w:rsidR="005E0530" w:rsidRPr="00847FAE">
        <w:t xml:space="preserve">among other things </w:t>
      </w:r>
      <w:r w:rsidR="00B376C1" w:rsidRPr="00847FAE">
        <w:t xml:space="preserve">refurbishing Burnie Magistrates and Supreme Courts and taking police out of </w:t>
      </w:r>
      <w:r w:rsidR="005E0530" w:rsidRPr="00847FAE">
        <w:t>co</w:t>
      </w:r>
      <w:r w:rsidR="00B376C1" w:rsidRPr="00847FAE">
        <w:t>urt</w:t>
      </w:r>
      <w:r w:rsidR="005E0530" w:rsidRPr="00847FAE">
        <w:t>s</w:t>
      </w:r>
      <w:r w:rsidR="00B376C1" w:rsidRPr="00847FAE">
        <w:t xml:space="preserve">) </w:t>
      </w:r>
      <w:r w:rsidRPr="00847FAE">
        <w:t>ha</w:t>
      </w:r>
      <w:r w:rsidR="00B376C1" w:rsidRPr="00847FAE">
        <w:t>ve</w:t>
      </w:r>
      <w:r w:rsidRPr="00847FAE">
        <w:t xml:space="preserve"> had a direct impact upon many of the KPMG Review recommendations and now supersede several of them.   The proposed amendments to the </w:t>
      </w:r>
      <w:r w:rsidRPr="00847FAE">
        <w:rPr>
          <w:i/>
        </w:rPr>
        <w:t xml:space="preserve">Magistrates Court (Criminal </w:t>
      </w:r>
      <w:r w:rsidRPr="00847FAE">
        <w:rPr>
          <w:i/>
        </w:rPr>
        <w:lastRenderedPageBreak/>
        <w:t xml:space="preserve">and General Division Bill) </w:t>
      </w:r>
      <w:r w:rsidRPr="009C609C">
        <w:t>2017</w:t>
      </w:r>
      <w:r w:rsidRPr="00847FAE">
        <w:t xml:space="preserve"> and others, will also provide a revised legislative foundation for a number of the initiatives, procedural changes and changes to the law. </w:t>
      </w:r>
    </w:p>
    <w:p w14:paraId="52F6B193" w14:textId="17AC1FE0" w:rsidR="00FA5AC2" w:rsidRPr="00847FAE" w:rsidRDefault="00B376C1" w:rsidP="00FA5AC2">
      <w:pPr>
        <w:spacing w:before="240" w:after="240" w:line="300" w:lineRule="exact"/>
      </w:pPr>
      <w:r w:rsidRPr="00847FAE">
        <w:t>As a consequence</w:t>
      </w:r>
      <w:r w:rsidR="009C609C">
        <w:t>,</w:t>
      </w:r>
      <w:r w:rsidR="00FA5AC2" w:rsidRPr="00847FAE">
        <w:t xml:space="preserve"> Review recommendations </w:t>
      </w:r>
      <w:r w:rsidR="000E4A4B">
        <w:t xml:space="preserve">that relate to streamlining processes and improving case management </w:t>
      </w:r>
      <w:r w:rsidR="00FA5AC2" w:rsidRPr="00847FAE">
        <w:t xml:space="preserve">(applicable to the Justice Connect Program), recommendations </w:t>
      </w:r>
      <w:r w:rsidR="000E4A4B">
        <w:t xml:space="preserve">relating to the creation of fit-for-purpose facilities </w:t>
      </w:r>
      <w:r w:rsidR="00FA5AC2" w:rsidRPr="00847FAE">
        <w:t>(applicable to the North</w:t>
      </w:r>
      <w:r w:rsidR="005E0530" w:rsidRPr="00847FAE">
        <w:t xml:space="preserve">ern Justice </w:t>
      </w:r>
      <w:r w:rsidRPr="00847FAE">
        <w:t xml:space="preserve">Infrastructure </w:t>
      </w:r>
      <w:r w:rsidR="00FA5AC2" w:rsidRPr="00847FAE">
        <w:t>Pro</w:t>
      </w:r>
      <w:r w:rsidR="005E0530" w:rsidRPr="00847FAE">
        <w:t>gram</w:t>
      </w:r>
      <w:r w:rsidR="00FA5AC2" w:rsidRPr="00847FAE">
        <w:t xml:space="preserve">) and </w:t>
      </w:r>
      <w:r w:rsidR="000E4A4B">
        <w:t xml:space="preserve">a </w:t>
      </w:r>
      <w:r w:rsidR="00FA5AC2" w:rsidRPr="00847FAE">
        <w:t xml:space="preserve">recommendation </w:t>
      </w:r>
      <w:r w:rsidR="000E4A4B">
        <w:t xml:space="preserve">to take simple matters out of the court </w:t>
      </w:r>
      <w:r w:rsidR="00FA5AC2" w:rsidRPr="00847FAE">
        <w:t xml:space="preserve">(applicable to the Single Tribunal Project) have been transferred from the Review Program and are now absorbed within these independent projects.  </w:t>
      </w:r>
    </w:p>
    <w:p w14:paraId="5D073489" w14:textId="1120EC60" w:rsidR="00FA5AC2" w:rsidRPr="00847FAE" w:rsidRDefault="00FA5AC2" w:rsidP="00FA5AC2">
      <w:pPr>
        <w:spacing w:before="240" w:after="240" w:line="300" w:lineRule="exact"/>
      </w:pPr>
      <w:r w:rsidRPr="00847FAE">
        <w:t>The Steering Committee broadened its scope and expand</w:t>
      </w:r>
      <w:r w:rsidR="005E0530" w:rsidRPr="00847FAE">
        <w:t>ed</w:t>
      </w:r>
      <w:r w:rsidRPr="00847FAE">
        <w:t xml:space="preserve"> its membership to include representation from the Deputy Chief Magistrate, Tasmania Police, the Justice Connect project team and the </w:t>
      </w:r>
      <w:r w:rsidR="00C97F1E" w:rsidRPr="00847FAE">
        <w:t xml:space="preserve">Department of Justice’s </w:t>
      </w:r>
      <w:r w:rsidRPr="00847FAE">
        <w:t xml:space="preserve">Strategic Legislation and Policy </w:t>
      </w:r>
      <w:r w:rsidR="00C97F1E" w:rsidRPr="00847FAE">
        <w:t>unit</w:t>
      </w:r>
      <w:r w:rsidRPr="00847FAE">
        <w:t xml:space="preserve">.  The Steering Committee will now oversee the implementation of the </w:t>
      </w:r>
      <w:r w:rsidRPr="00847FAE">
        <w:rPr>
          <w:i/>
        </w:rPr>
        <w:t>Magistrates Court (Criminal and General Division</w:t>
      </w:r>
      <w:r w:rsidR="0097370E" w:rsidRPr="00847FAE">
        <w:rPr>
          <w:i/>
        </w:rPr>
        <w:t>)</w:t>
      </w:r>
      <w:r w:rsidRPr="00847FAE">
        <w:rPr>
          <w:i/>
        </w:rPr>
        <w:t xml:space="preserve"> Bill</w:t>
      </w:r>
      <w:r w:rsidRPr="00847FAE">
        <w:t xml:space="preserve"> 2017, as well as support the work undertaken by the identified projects to address process, technology and facilities recommendations, and act as an expert reference group in creating a future operating model for the Magistrates Court.</w:t>
      </w:r>
    </w:p>
    <w:p w14:paraId="11F9C1F7" w14:textId="486C4C78" w:rsidR="0047341B" w:rsidRPr="00847FAE" w:rsidRDefault="00C97F1E" w:rsidP="00A01CDE">
      <w:pPr>
        <w:spacing w:before="240" w:after="240" w:line="300" w:lineRule="exact"/>
      </w:pPr>
      <w:r w:rsidRPr="00847FAE">
        <w:t>With the significant progress that has been made in implementing the Review’s recommendations the General Manager</w:t>
      </w:r>
      <w:r w:rsidR="0097370E" w:rsidRPr="00847FAE">
        <w:t xml:space="preserve"> appointed to progress the recommendations</w:t>
      </w:r>
      <w:r w:rsidRPr="00847FAE">
        <w:t>, Pamela Honan, has taken up a new role with Communities Tasmania.  I record my thanks to Ms Honan for her work.</w:t>
      </w:r>
      <w:r w:rsidR="0047341B" w:rsidRPr="00847FAE">
        <w:rPr>
          <w:highlight w:val="yellow"/>
        </w:rPr>
        <w:br w:type="page"/>
      </w:r>
    </w:p>
    <w:p w14:paraId="33E051BB" w14:textId="1BF49B62" w:rsidR="00A53515" w:rsidRPr="00847FAE" w:rsidRDefault="00A53515" w:rsidP="006D6732">
      <w:pPr>
        <w:pStyle w:val="Heading1"/>
      </w:pPr>
      <w:bookmarkStart w:id="143" w:name="_Toc529270642"/>
      <w:bookmarkStart w:id="144" w:name="_Toc529270850"/>
      <w:bookmarkStart w:id="145" w:name="_Toc529272543"/>
      <w:bookmarkStart w:id="146" w:name="_Toc529272618"/>
      <w:bookmarkStart w:id="147" w:name="_Toc1041138"/>
      <w:r w:rsidRPr="00847FAE">
        <w:lastRenderedPageBreak/>
        <w:t>Legislative Changes</w:t>
      </w:r>
      <w:bookmarkEnd w:id="143"/>
      <w:bookmarkEnd w:id="144"/>
      <w:bookmarkEnd w:id="145"/>
      <w:bookmarkEnd w:id="146"/>
      <w:bookmarkEnd w:id="147"/>
    </w:p>
    <w:p w14:paraId="3FAC341F" w14:textId="5760132F" w:rsidR="00BD2A8D" w:rsidRPr="00847FAE" w:rsidRDefault="00A53515" w:rsidP="00154FCA">
      <w:pPr>
        <w:spacing w:before="240" w:after="240" w:line="300" w:lineRule="exact"/>
      </w:pPr>
      <w:r w:rsidRPr="00847FAE">
        <w:t>There have been a number of</w:t>
      </w:r>
      <w:r w:rsidR="004A60A7" w:rsidRPr="00847FAE">
        <w:t xml:space="preserve"> new bills and</w:t>
      </w:r>
      <w:r w:rsidRPr="00847FAE">
        <w:t xml:space="preserve"> amendments to legislation during the reporting period which have had an effect on the operation of the Magistrates Court</w:t>
      </w:r>
      <w:r w:rsidR="001069A1" w:rsidRPr="00847FAE">
        <w:t xml:space="preserve">. </w:t>
      </w:r>
      <w:r w:rsidR="00BD2A8D" w:rsidRPr="00847FAE">
        <w:t xml:space="preserve"> The Court is often consulted on draft legislation</w:t>
      </w:r>
      <w:r w:rsidR="00E73519" w:rsidRPr="00847FAE">
        <w:t xml:space="preserve"> and legislative projects</w:t>
      </w:r>
      <w:r w:rsidR="00BD2A8D" w:rsidRPr="00847FAE">
        <w:t xml:space="preserve">, </w:t>
      </w:r>
      <w:r w:rsidR="004A60A7" w:rsidRPr="00847FAE">
        <w:t>where the legislation may have an impact on the Court</w:t>
      </w:r>
      <w:r w:rsidR="001069A1" w:rsidRPr="00847FAE">
        <w:t xml:space="preserve">.  </w:t>
      </w:r>
      <w:r w:rsidR="00BD2A8D" w:rsidRPr="00847FAE">
        <w:t xml:space="preserve"> Legislation which has been the subject of consultation in the reporting period includes:</w:t>
      </w:r>
    </w:p>
    <w:p w14:paraId="7E635F5A" w14:textId="4971D0B1" w:rsidR="00E73519" w:rsidRPr="00847FAE" w:rsidRDefault="00E73519" w:rsidP="008E24A6">
      <w:pPr>
        <w:pStyle w:val="ListParagraph"/>
        <w:numPr>
          <w:ilvl w:val="0"/>
          <w:numId w:val="26"/>
        </w:numPr>
        <w:spacing w:line="300" w:lineRule="exact"/>
      </w:pPr>
      <w:r w:rsidRPr="00847FAE">
        <w:rPr>
          <w:i/>
        </w:rPr>
        <w:t>Bail Act</w:t>
      </w:r>
      <w:r w:rsidRPr="00847FAE">
        <w:t xml:space="preserve"> 1994 through the Bail System Reform Position Paper</w:t>
      </w:r>
    </w:p>
    <w:p w14:paraId="2E6000C6" w14:textId="0DF0BF6B" w:rsidR="00E73519" w:rsidRPr="00847FAE" w:rsidRDefault="00E73519" w:rsidP="008E24A6">
      <w:pPr>
        <w:pStyle w:val="ListParagraph"/>
        <w:numPr>
          <w:ilvl w:val="0"/>
          <w:numId w:val="26"/>
        </w:numPr>
        <w:spacing w:line="300" w:lineRule="exact"/>
      </w:pPr>
      <w:r w:rsidRPr="00847FAE">
        <w:rPr>
          <w:i/>
        </w:rPr>
        <w:t>Corrections (Prisoner Remission) Amendment Bill</w:t>
      </w:r>
      <w:r w:rsidRPr="00847FAE">
        <w:t xml:space="preserve"> 2017</w:t>
      </w:r>
    </w:p>
    <w:p w14:paraId="67EC354C" w14:textId="49691DD7" w:rsidR="00E73519" w:rsidRPr="00847FAE" w:rsidRDefault="00E73519" w:rsidP="008E24A6">
      <w:pPr>
        <w:pStyle w:val="ListParagraph"/>
        <w:numPr>
          <w:ilvl w:val="0"/>
          <w:numId w:val="26"/>
        </w:numPr>
        <w:spacing w:line="300" w:lineRule="exact"/>
      </w:pPr>
      <w:r w:rsidRPr="00847FAE">
        <w:rPr>
          <w:i/>
        </w:rPr>
        <w:t>Crime (Confiscation of Profits) Amendment Bill</w:t>
      </w:r>
      <w:r w:rsidRPr="00847FAE">
        <w:t xml:space="preserve"> 2018</w:t>
      </w:r>
    </w:p>
    <w:p w14:paraId="60AAA163" w14:textId="4998DC35" w:rsidR="00E73519" w:rsidRPr="00847FAE" w:rsidRDefault="00E73519" w:rsidP="008E24A6">
      <w:pPr>
        <w:pStyle w:val="ListParagraph"/>
        <w:numPr>
          <w:ilvl w:val="0"/>
          <w:numId w:val="26"/>
        </w:numPr>
        <w:spacing w:line="300" w:lineRule="exact"/>
      </w:pPr>
      <w:r w:rsidRPr="00847FAE">
        <w:rPr>
          <w:i/>
        </w:rPr>
        <w:t>Criminal Code Amendment (Dangerous Driving) Bill</w:t>
      </w:r>
      <w:r w:rsidRPr="00847FAE">
        <w:t xml:space="preserve"> 2017</w:t>
      </w:r>
    </w:p>
    <w:p w14:paraId="0844C34F" w14:textId="6808C125" w:rsidR="00E73519" w:rsidRPr="00847FAE" w:rsidRDefault="00E73519" w:rsidP="008E24A6">
      <w:pPr>
        <w:pStyle w:val="ListParagraph"/>
        <w:numPr>
          <w:ilvl w:val="0"/>
          <w:numId w:val="26"/>
        </w:numPr>
        <w:spacing w:line="300" w:lineRule="exact"/>
      </w:pPr>
      <w:r w:rsidRPr="00847FAE">
        <w:rPr>
          <w:i/>
        </w:rPr>
        <w:t>Family Law Amendment (Family Violence and Cross-examination of Parties) Bill</w:t>
      </w:r>
      <w:r w:rsidRPr="00847FAE">
        <w:t xml:space="preserve"> 2017 (Cth)</w:t>
      </w:r>
    </w:p>
    <w:p w14:paraId="32E6A56C" w14:textId="4E72BD5B" w:rsidR="00E73519" w:rsidRPr="00847FAE" w:rsidRDefault="00E73519" w:rsidP="008E24A6">
      <w:pPr>
        <w:pStyle w:val="ListParagraph"/>
        <w:numPr>
          <w:ilvl w:val="0"/>
          <w:numId w:val="26"/>
        </w:numPr>
        <w:spacing w:line="300" w:lineRule="exact"/>
      </w:pPr>
      <w:r w:rsidRPr="00847FAE">
        <w:rPr>
          <w:i/>
        </w:rPr>
        <w:t>Family Law Amendment (Parenting Management Hearings) Bill</w:t>
      </w:r>
      <w:r w:rsidRPr="00847FAE">
        <w:t xml:space="preserve"> 2017</w:t>
      </w:r>
      <w:r w:rsidR="000143B1" w:rsidRPr="00847FAE">
        <w:t xml:space="preserve"> (Cth)</w:t>
      </w:r>
    </w:p>
    <w:p w14:paraId="057819FE" w14:textId="6FCFAD4E" w:rsidR="00E73519" w:rsidRPr="00847FAE" w:rsidRDefault="004A4853" w:rsidP="008E24A6">
      <w:pPr>
        <w:pStyle w:val="ListParagraph"/>
        <w:numPr>
          <w:ilvl w:val="0"/>
          <w:numId w:val="26"/>
        </w:numPr>
        <w:spacing w:line="300" w:lineRule="exact"/>
      </w:pPr>
      <w:r w:rsidRPr="00847FAE">
        <w:rPr>
          <w:i/>
        </w:rPr>
        <w:t>Family Law Amendment (Family Violence and Other Measures) Bill</w:t>
      </w:r>
      <w:r w:rsidRPr="00847FAE">
        <w:t xml:space="preserve"> 2017</w:t>
      </w:r>
      <w:r w:rsidR="000143B1" w:rsidRPr="00847FAE">
        <w:t xml:space="preserve"> (Cth)</w:t>
      </w:r>
    </w:p>
    <w:p w14:paraId="58386020" w14:textId="7427D7DC" w:rsidR="004A4853" w:rsidRPr="00847FAE" w:rsidRDefault="004A4853" w:rsidP="008E24A6">
      <w:pPr>
        <w:pStyle w:val="ListParagraph"/>
        <w:numPr>
          <w:ilvl w:val="0"/>
          <w:numId w:val="26"/>
        </w:numPr>
        <w:spacing w:line="300" w:lineRule="exact"/>
      </w:pPr>
      <w:r w:rsidRPr="00847FAE">
        <w:rPr>
          <w:i/>
        </w:rPr>
        <w:t>Family Violence Amendment Bill</w:t>
      </w:r>
      <w:r w:rsidRPr="00847FAE">
        <w:t xml:space="preserve"> 2017</w:t>
      </w:r>
    </w:p>
    <w:p w14:paraId="37910051" w14:textId="25CB3F83" w:rsidR="004A4853" w:rsidRPr="00847FAE" w:rsidRDefault="004A4853" w:rsidP="008E24A6">
      <w:pPr>
        <w:pStyle w:val="ListParagraph"/>
        <w:numPr>
          <w:ilvl w:val="0"/>
          <w:numId w:val="26"/>
        </w:numPr>
        <w:spacing w:line="300" w:lineRule="exact"/>
      </w:pPr>
      <w:r w:rsidRPr="00847FAE">
        <w:rPr>
          <w:i/>
        </w:rPr>
        <w:t>Limitation Amendment Bill</w:t>
      </w:r>
      <w:r w:rsidRPr="00847FAE">
        <w:t xml:space="preserve"> 2017</w:t>
      </w:r>
    </w:p>
    <w:p w14:paraId="01504C9A" w14:textId="54F7650D" w:rsidR="000143B1" w:rsidRPr="00847FAE" w:rsidRDefault="000143B1" w:rsidP="008E24A6">
      <w:pPr>
        <w:pStyle w:val="ListParagraph"/>
        <w:numPr>
          <w:ilvl w:val="0"/>
          <w:numId w:val="26"/>
        </w:numPr>
        <w:spacing w:line="300" w:lineRule="exact"/>
      </w:pPr>
      <w:r w:rsidRPr="00847FAE">
        <w:rPr>
          <w:i/>
        </w:rPr>
        <w:t>Marriage Regulations</w:t>
      </w:r>
      <w:r w:rsidRPr="00847FAE">
        <w:t xml:space="preserve"> 2017 (Cth)</w:t>
      </w:r>
    </w:p>
    <w:p w14:paraId="31EC7B04" w14:textId="7BABE0E8" w:rsidR="000143B1" w:rsidRPr="00847FAE" w:rsidRDefault="000143B1" w:rsidP="008E24A6">
      <w:pPr>
        <w:pStyle w:val="ListParagraph"/>
        <w:numPr>
          <w:ilvl w:val="0"/>
          <w:numId w:val="26"/>
        </w:numPr>
        <w:spacing w:line="300" w:lineRule="exact"/>
      </w:pPr>
      <w:r w:rsidRPr="00847FAE">
        <w:rPr>
          <w:i/>
        </w:rPr>
        <w:t>Sentencing Amendment (Phasing out Suspended Sentences) Bill</w:t>
      </w:r>
      <w:r w:rsidRPr="00847FAE">
        <w:t xml:space="preserve"> 2017</w:t>
      </w:r>
    </w:p>
    <w:p w14:paraId="0BE029A8" w14:textId="057D0092" w:rsidR="000143B1" w:rsidRPr="00847FAE" w:rsidRDefault="000143B1" w:rsidP="008E24A6">
      <w:pPr>
        <w:pStyle w:val="ListParagraph"/>
        <w:numPr>
          <w:ilvl w:val="0"/>
          <w:numId w:val="26"/>
        </w:numPr>
        <w:spacing w:line="300" w:lineRule="exact"/>
      </w:pPr>
      <w:r w:rsidRPr="00847FAE">
        <w:rPr>
          <w:i/>
        </w:rPr>
        <w:t>Sentencing Amendment (Sentences of Imprisonment) Bill</w:t>
      </w:r>
      <w:r w:rsidRPr="00847FAE">
        <w:t xml:space="preserve"> 2017</w:t>
      </w:r>
    </w:p>
    <w:p w14:paraId="278B9950" w14:textId="2CDF5841" w:rsidR="000143B1" w:rsidRPr="00847FAE" w:rsidRDefault="00B220A5" w:rsidP="008E24A6">
      <w:pPr>
        <w:pStyle w:val="ListParagraph"/>
        <w:numPr>
          <w:ilvl w:val="0"/>
          <w:numId w:val="26"/>
        </w:numPr>
        <w:spacing w:line="300" w:lineRule="exact"/>
      </w:pPr>
      <w:r w:rsidRPr="00847FAE">
        <w:rPr>
          <w:i/>
        </w:rPr>
        <w:t>Service and Execution of Process Regulations</w:t>
      </w:r>
      <w:r w:rsidRPr="00847FAE">
        <w:t xml:space="preserve"> 1993 (Cth)</w:t>
      </w:r>
    </w:p>
    <w:p w14:paraId="0B4CA8B2" w14:textId="77777777" w:rsidR="004A60A7" w:rsidRPr="00847FAE" w:rsidRDefault="004A60A7" w:rsidP="00E5311F">
      <w:pPr>
        <w:pStyle w:val="Heading2"/>
      </w:pPr>
      <w:bookmarkStart w:id="148" w:name="_Toc311717620"/>
      <w:bookmarkStart w:id="149" w:name="_Toc311718298"/>
      <w:bookmarkStart w:id="150" w:name="_Toc311725663"/>
      <w:bookmarkStart w:id="151" w:name="_Toc529270643"/>
      <w:bookmarkStart w:id="152" w:name="_Toc529270851"/>
      <w:bookmarkStart w:id="153" w:name="_Toc529272544"/>
      <w:bookmarkStart w:id="154" w:name="_Toc529272619"/>
      <w:bookmarkStart w:id="155" w:name="_Toc1041139"/>
      <w:r w:rsidRPr="00847FAE">
        <w:t xml:space="preserve">Criminal </w:t>
      </w:r>
      <w:r w:rsidR="00154FCA" w:rsidRPr="00847FAE">
        <w:t>and</w:t>
      </w:r>
      <w:r w:rsidRPr="00847FAE">
        <w:t xml:space="preserve"> General Division Legislation</w:t>
      </w:r>
      <w:bookmarkEnd w:id="148"/>
      <w:bookmarkEnd w:id="149"/>
      <w:bookmarkEnd w:id="150"/>
      <w:bookmarkEnd w:id="151"/>
      <w:bookmarkEnd w:id="152"/>
      <w:bookmarkEnd w:id="153"/>
      <w:bookmarkEnd w:id="154"/>
      <w:bookmarkEnd w:id="155"/>
      <w:r w:rsidRPr="00847FAE">
        <w:t xml:space="preserve"> </w:t>
      </w:r>
    </w:p>
    <w:p w14:paraId="16F07BEC" w14:textId="77777777" w:rsidR="00DC0946" w:rsidRPr="00847FAE" w:rsidRDefault="00DC0946" w:rsidP="00154FCA">
      <w:pPr>
        <w:spacing w:before="240" w:after="240" w:line="300" w:lineRule="exact"/>
      </w:pPr>
      <w:r w:rsidRPr="00847FAE">
        <w:t>During the reporting period work continued on d</w:t>
      </w:r>
      <w:r w:rsidR="004A60A7" w:rsidRPr="00847FAE">
        <w:t>rafting a new suite of legislation governing the procedures applicable to the Court’s criminal and general jurisdiction</w:t>
      </w:r>
      <w:r w:rsidR="001069A1" w:rsidRPr="00847FAE">
        <w:t xml:space="preserve">.  </w:t>
      </w:r>
      <w:r w:rsidR="004A60A7" w:rsidRPr="00847FAE">
        <w:t xml:space="preserve">The proposed Magistrates Court (Criminal </w:t>
      </w:r>
      <w:r w:rsidR="00154FCA" w:rsidRPr="00847FAE">
        <w:t>and</w:t>
      </w:r>
      <w:r w:rsidR="004A60A7" w:rsidRPr="00847FAE">
        <w:t xml:space="preserve"> General Division) legislative package will result in:</w:t>
      </w:r>
    </w:p>
    <w:p w14:paraId="22CEDC9C" w14:textId="77777777" w:rsidR="004A60A7" w:rsidRPr="00847FAE" w:rsidRDefault="004A60A7" w:rsidP="008E24A6">
      <w:pPr>
        <w:numPr>
          <w:ilvl w:val="0"/>
          <w:numId w:val="12"/>
        </w:numPr>
      </w:pPr>
      <w:r w:rsidRPr="00847FAE">
        <w:t xml:space="preserve">a new Magistrates Court (Criminal </w:t>
      </w:r>
      <w:r w:rsidR="00154FCA" w:rsidRPr="00847FAE">
        <w:t>and</w:t>
      </w:r>
      <w:r w:rsidRPr="00847FAE">
        <w:t xml:space="preserve"> General Division) Act</w:t>
      </w:r>
    </w:p>
    <w:p w14:paraId="74F21846" w14:textId="77777777" w:rsidR="004A60A7" w:rsidRPr="00847FAE" w:rsidRDefault="004A60A7" w:rsidP="008E24A6">
      <w:pPr>
        <w:numPr>
          <w:ilvl w:val="0"/>
          <w:numId w:val="12"/>
        </w:numPr>
      </w:pPr>
      <w:r w:rsidRPr="00847FAE">
        <w:t xml:space="preserve">a new Magistrates Court (Criminal </w:t>
      </w:r>
      <w:r w:rsidR="00154FCA" w:rsidRPr="00847FAE">
        <w:t>and</w:t>
      </w:r>
      <w:r w:rsidRPr="00847FAE">
        <w:t xml:space="preserve"> General Division) Rules</w:t>
      </w:r>
    </w:p>
    <w:p w14:paraId="069A19D6" w14:textId="77777777" w:rsidR="004A60A7" w:rsidRPr="00847FAE" w:rsidRDefault="004A60A7" w:rsidP="008E24A6">
      <w:pPr>
        <w:numPr>
          <w:ilvl w:val="0"/>
          <w:numId w:val="12"/>
        </w:numPr>
      </w:pPr>
      <w:r w:rsidRPr="00847FAE">
        <w:t xml:space="preserve">a new Magistrates Court (Criminal </w:t>
      </w:r>
      <w:r w:rsidR="00154FCA" w:rsidRPr="00847FAE">
        <w:t>and</w:t>
      </w:r>
      <w:r w:rsidRPr="00847FAE">
        <w:t xml:space="preserve"> General Division) Fees Regulations</w:t>
      </w:r>
    </w:p>
    <w:p w14:paraId="60DDE980" w14:textId="77777777" w:rsidR="004A60A7" w:rsidRPr="00847FAE" w:rsidRDefault="004A60A7" w:rsidP="008E24A6">
      <w:pPr>
        <w:numPr>
          <w:ilvl w:val="0"/>
          <w:numId w:val="12"/>
        </w:numPr>
      </w:pPr>
      <w:r w:rsidRPr="00847FAE">
        <w:t>a new Restraint Orders Act</w:t>
      </w:r>
    </w:p>
    <w:p w14:paraId="3C53CDA2" w14:textId="77777777" w:rsidR="004A60A7" w:rsidRPr="00847FAE" w:rsidRDefault="004A60A7" w:rsidP="008E24A6">
      <w:pPr>
        <w:numPr>
          <w:ilvl w:val="0"/>
          <w:numId w:val="12"/>
        </w:numPr>
      </w:pPr>
      <w:r w:rsidRPr="00847FAE">
        <w:t xml:space="preserve">consequential amendments to the </w:t>
      </w:r>
      <w:r w:rsidRPr="00847FAE">
        <w:rPr>
          <w:i/>
        </w:rPr>
        <w:t xml:space="preserve">Justices Act </w:t>
      </w:r>
      <w:r w:rsidRPr="00847FAE">
        <w:t xml:space="preserve">1959, the </w:t>
      </w:r>
      <w:r w:rsidRPr="00847FAE">
        <w:rPr>
          <w:i/>
        </w:rPr>
        <w:t xml:space="preserve">Magistrates Court Act </w:t>
      </w:r>
      <w:r w:rsidRPr="00847FAE">
        <w:t xml:space="preserve">1987, the </w:t>
      </w:r>
      <w:r w:rsidRPr="00847FAE">
        <w:rPr>
          <w:i/>
        </w:rPr>
        <w:t xml:space="preserve">Supreme Court (Civil Procedure) Act </w:t>
      </w:r>
      <w:r w:rsidRPr="00847FAE">
        <w:t>1932 and other court-related legislation</w:t>
      </w:r>
    </w:p>
    <w:p w14:paraId="76049C89" w14:textId="4803D6DB" w:rsidR="00DC0946" w:rsidRPr="00847FAE" w:rsidRDefault="004A60A7" w:rsidP="00154FCA">
      <w:pPr>
        <w:spacing w:before="240" w:after="240" w:line="300" w:lineRule="exact"/>
      </w:pPr>
      <w:r w:rsidRPr="00847FAE">
        <w:t xml:space="preserve">The Court’s ability to manage the resolution of cases in a timely manner is </w:t>
      </w:r>
      <w:r w:rsidR="00921A7F" w:rsidRPr="00847FAE">
        <w:t xml:space="preserve">partly </w:t>
      </w:r>
      <w:r w:rsidRPr="00847FAE">
        <w:t>dependent on the legislative framework governing the Court’s processes</w:t>
      </w:r>
      <w:r w:rsidR="001069A1" w:rsidRPr="00847FAE">
        <w:t xml:space="preserve">.  </w:t>
      </w:r>
      <w:r w:rsidRPr="00847FAE">
        <w:t xml:space="preserve">The current framework is provided by the </w:t>
      </w:r>
      <w:r w:rsidRPr="00847FAE">
        <w:rPr>
          <w:i/>
        </w:rPr>
        <w:t xml:space="preserve">Justices Act </w:t>
      </w:r>
      <w:r w:rsidRPr="00847FAE">
        <w:t>1959</w:t>
      </w:r>
      <w:r w:rsidR="001069A1" w:rsidRPr="00847FAE">
        <w:t xml:space="preserve">. </w:t>
      </w:r>
      <w:r w:rsidRPr="00847FAE">
        <w:t xml:space="preserve"> The proposed new legislation is expected to help to expedite the criminal litigation process while protecting fundamental rights to access to justice and a fair trial</w:t>
      </w:r>
      <w:r w:rsidR="001069A1" w:rsidRPr="00847FAE">
        <w:t xml:space="preserve">.  </w:t>
      </w:r>
    </w:p>
    <w:p w14:paraId="2499D22B" w14:textId="005025DB" w:rsidR="004A60A7" w:rsidRPr="00847FAE" w:rsidRDefault="004A60A7" w:rsidP="00154FCA">
      <w:pPr>
        <w:spacing w:before="240" w:after="240" w:line="300" w:lineRule="exact"/>
      </w:pPr>
      <w:r w:rsidRPr="00847FAE">
        <w:t>The proposed Bill includes provisions for early prosecution disclosure, earlier entry of pleas, fewer adjournments, facilitating the summoning of police officers as witnesses, shorter preliminary proceedings on serious indictable charges, and straightforward methods of evidence presentation.</w:t>
      </w:r>
      <w:r w:rsidR="00921A7F" w:rsidRPr="00847FAE">
        <w:t xml:space="preserve">  Many of the changes will require significant changes to the current way the Court and other services, particularly Tasmania Police, go about their work, with </w:t>
      </w:r>
      <w:r w:rsidR="00921A7F" w:rsidRPr="00847FAE">
        <w:lastRenderedPageBreak/>
        <w:t xml:space="preserve">consequential resourcing impacts.  Very importantly, the changes will require </w:t>
      </w:r>
      <w:r w:rsidR="003C48E6" w:rsidRPr="00847FAE">
        <w:t xml:space="preserve">major </w:t>
      </w:r>
      <w:r w:rsidR="00921A7F" w:rsidRPr="00847FAE">
        <w:t>i</w:t>
      </w:r>
      <w:r w:rsidR="00DC0946" w:rsidRPr="00847FAE">
        <w:t>mprovements in information technology</w:t>
      </w:r>
      <w:r w:rsidR="003C48E6" w:rsidRPr="00847FAE">
        <w:t xml:space="preserve"> systems</w:t>
      </w:r>
      <w:r w:rsidR="00DC0946" w:rsidRPr="00847FAE">
        <w:t xml:space="preserve"> </w:t>
      </w:r>
      <w:r w:rsidR="003C48E6" w:rsidRPr="00847FAE">
        <w:t xml:space="preserve">for both </w:t>
      </w:r>
      <w:r w:rsidR="00921A7F" w:rsidRPr="00847FAE">
        <w:t xml:space="preserve">Tasmania Police and </w:t>
      </w:r>
      <w:r w:rsidR="003C48E6" w:rsidRPr="00847FAE">
        <w:t xml:space="preserve">the Magistrates Court.  The Court’s IT needs are expected to be met through </w:t>
      </w:r>
      <w:r w:rsidR="00921A7F" w:rsidRPr="00847FAE">
        <w:t>the Department of Justice</w:t>
      </w:r>
      <w:r w:rsidR="003C48E6" w:rsidRPr="00847FAE">
        <w:t>’s</w:t>
      </w:r>
      <w:r w:rsidR="00921A7F" w:rsidRPr="00847FAE">
        <w:t xml:space="preserve"> Justice Connect </w:t>
      </w:r>
      <w:r w:rsidR="003C48E6" w:rsidRPr="00847FAE">
        <w:t xml:space="preserve">IT </w:t>
      </w:r>
      <w:r w:rsidR="00921A7F" w:rsidRPr="00847FAE">
        <w:t>program</w:t>
      </w:r>
      <w:r w:rsidR="001069A1" w:rsidRPr="00847FAE">
        <w:t>.</w:t>
      </w:r>
      <w:r w:rsidR="00DC0946" w:rsidRPr="00847FAE">
        <w:rPr>
          <w:highlight w:val="yellow"/>
        </w:rPr>
        <w:t xml:space="preserve"> </w:t>
      </w:r>
    </w:p>
    <w:p w14:paraId="3C208DAB" w14:textId="77777777" w:rsidR="000F4076" w:rsidRPr="00847FAE" w:rsidRDefault="000F4076" w:rsidP="00E5311F">
      <w:pPr>
        <w:pStyle w:val="Heading2"/>
      </w:pPr>
      <w:bookmarkStart w:id="156" w:name="_Toc529270644"/>
      <w:bookmarkStart w:id="157" w:name="_Toc529270852"/>
      <w:bookmarkStart w:id="158" w:name="_Toc529272545"/>
      <w:bookmarkStart w:id="159" w:name="_Toc529272620"/>
      <w:bookmarkStart w:id="160" w:name="_Toc1041140"/>
      <w:r w:rsidRPr="00847FAE">
        <w:t>National Domestic Violence Orders Recognition Scheme</w:t>
      </w:r>
      <w:bookmarkEnd w:id="156"/>
      <w:bookmarkEnd w:id="157"/>
      <w:bookmarkEnd w:id="158"/>
      <w:bookmarkEnd w:id="159"/>
      <w:bookmarkEnd w:id="160"/>
    </w:p>
    <w:p w14:paraId="47E7AEFD" w14:textId="3677BB66" w:rsidR="000F4076" w:rsidRPr="00847FAE" w:rsidRDefault="000F4076" w:rsidP="00154FCA">
      <w:pPr>
        <w:spacing w:before="240" w:after="240" w:line="300" w:lineRule="exact"/>
      </w:pPr>
      <w:r w:rsidRPr="00847FAE">
        <w:t xml:space="preserve">In December 2015 the Council of Australian Governments (COAG) agreed to introduce a National Domestic Violence Order Scheme (NDVOS) to allow a Domestic Violence Order (DVO) issued in one jurisdiction to be automatically recognised and enforced across Australia.  All jurisdictions </w:t>
      </w:r>
      <w:r w:rsidR="007D6645" w:rsidRPr="00847FAE">
        <w:t>gave a commitment</w:t>
      </w:r>
      <w:r w:rsidRPr="00847FAE">
        <w:t xml:space="preserve"> to introduce model laws to give effect to the NDVOS in the first half of 2016.</w:t>
      </w:r>
    </w:p>
    <w:p w14:paraId="1E30FFE5" w14:textId="77777777" w:rsidR="000F4076" w:rsidRPr="00847FAE" w:rsidRDefault="000F4076" w:rsidP="00154FCA">
      <w:pPr>
        <w:spacing w:before="240" w:after="240" w:line="300" w:lineRule="exact"/>
      </w:pPr>
      <w:r w:rsidRPr="00847FAE">
        <w:t>To support the early implementation of the model laws, the Law, Crime and Community Safety Council and COAG agreed to the development of an interim technical solution while a four-year project to develop and deliver a national technical capability for DVOs, which will facilitate information sharing and enforcement of DVOs between courts and police across Australia, is undertaken.</w:t>
      </w:r>
    </w:p>
    <w:p w14:paraId="58D5C1D1" w14:textId="77777777" w:rsidR="000F4076" w:rsidRPr="00847FAE" w:rsidRDefault="000F4076" w:rsidP="00154FCA">
      <w:pPr>
        <w:spacing w:before="240" w:after="240" w:line="300" w:lineRule="exact"/>
      </w:pPr>
      <w:r w:rsidRPr="00847FAE">
        <w:t xml:space="preserve">The National scheme and model legislation has been drafted in accordance with the following four policy principles: </w:t>
      </w:r>
    </w:p>
    <w:p w14:paraId="1B794FA9" w14:textId="77777777" w:rsidR="000F4076" w:rsidRPr="00847FAE" w:rsidRDefault="000F4076" w:rsidP="008E24A6">
      <w:pPr>
        <w:numPr>
          <w:ilvl w:val="0"/>
          <w:numId w:val="24"/>
        </w:numPr>
      </w:pPr>
      <w:r w:rsidRPr="00847FAE">
        <w:t xml:space="preserve">A family/domestic violence order made or registered anywhere in Australia is nationally recognised and enforceable; </w:t>
      </w:r>
    </w:p>
    <w:p w14:paraId="17F1CCFB" w14:textId="77777777" w:rsidR="000F4076" w:rsidRPr="00847FAE" w:rsidRDefault="000F4076" w:rsidP="008E24A6">
      <w:pPr>
        <w:numPr>
          <w:ilvl w:val="0"/>
          <w:numId w:val="24"/>
        </w:numPr>
      </w:pPr>
      <w:r w:rsidRPr="00847FAE">
        <w:t xml:space="preserve">An order made in one jurisdiction can be amended by another jurisdiction but only by a court; </w:t>
      </w:r>
    </w:p>
    <w:p w14:paraId="325170B5" w14:textId="2B55E057" w:rsidR="000F4076" w:rsidRPr="00847FAE" w:rsidRDefault="000F4076" w:rsidP="008E24A6">
      <w:pPr>
        <w:numPr>
          <w:ilvl w:val="0"/>
          <w:numId w:val="24"/>
        </w:numPr>
      </w:pPr>
      <w:r w:rsidRPr="00847FAE">
        <w:t xml:space="preserve">Where an order made in one jurisdiction is in force, if necessary a new order can be made in another jurisdiction; and </w:t>
      </w:r>
    </w:p>
    <w:p w14:paraId="795D9A14" w14:textId="77777777" w:rsidR="000F4076" w:rsidRPr="00847FAE" w:rsidRDefault="000F4076" w:rsidP="008E24A6">
      <w:pPr>
        <w:numPr>
          <w:ilvl w:val="0"/>
          <w:numId w:val="24"/>
        </w:numPr>
      </w:pPr>
      <w:r w:rsidRPr="00847FAE">
        <w:t xml:space="preserve">The latest court order in time prevails. </w:t>
      </w:r>
    </w:p>
    <w:p w14:paraId="16ECF8AA" w14:textId="77777777" w:rsidR="000F4076" w:rsidRPr="00847FAE" w:rsidRDefault="000F4076" w:rsidP="00154FCA">
      <w:pPr>
        <w:spacing w:before="240" w:after="240" w:line="300" w:lineRule="exact"/>
      </w:pPr>
      <w:r w:rsidRPr="00847FAE">
        <w:t xml:space="preserve">The Scheme aims to provide a mutual recognition framework to enable the seamless recognition and subsequent ability to enforce DVOs across Australia. </w:t>
      </w:r>
    </w:p>
    <w:p w14:paraId="1F165178" w14:textId="68C3D3FE" w:rsidR="000F4076" w:rsidRPr="00847FAE" w:rsidRDefault="00815706" w:rsidP="008A1FF5">
      <w:pPr>
        <w:spacing w:before="240" w:after="240" w:line="300" w:lineRule="exact"/>
      </w:pPr>
      <w:r w:rsidRPr="00847FAE">
        <w:t>L</w:t>
      </w:r>
      <w:r w:rsidR="000F4076" w:rsidRPr="00847FAE">
        <w:t>egislati</w:t>
      </w:r>
      <w:r w:rsidR="00D54730" w:rsidRPr="00847FAE">
        <w:t xml:space="preserve">on </w:t>
      </w:r>
      <w:r w:rsidRPr="00847FAE">
        <w:t xml:space="preserve">consistent with the national model legislation </w:t>
      </w:r>
      <w:r w:rsidR="00D54730" w:rsidRPr="00847FAE">
        <w:t>was tabled in the Tasmanian P</w:t>
      </w:r>
      <w:r w:rsidR="000F4076" w:rsidRPr="00847FAE">
        <w:t>arliament</w:t>
      </w:r>
      <w:r w:rsidRPr="00847FAE">
        <w:t>.  The</w:t>
      </w:r>
      <w:r w:rsidR="000F4076" w:rsidRPr="00847FAE">
        <w:t xml:space="preserve"> </w:t>
      </w:r>
      <w:r w:rsidR="000F4076" w:rsidRPr="00847FAE">
        <w:rPr>
          <w:i/>
        </w:rPr>
        <w:t xml:space="preserve">Domestic Violence Orders (National Recognition) Act </w:t>
      </w:r>
      <w:r w:rsidR="000F4076" w:rsidRPr="00847FAE">
        <w:t xml:space="preserve">2016 was passed by Parliament </w:t>
      </w:r>
      <w:r w:rsidR="008A1FF5" w:rsidRPr="00847FAE">
        <w:t xml:space="preserve">and came </w:t>
      </w:r>
      <w:r w:rsidR="000F4076" w:rsidRPr="00847FAE">
        <w:t>into effect on 25 November 2017.</w:t>
      </w:r>
      <w:r w:rsidR="00DF49B6" w:rsidRPr="00847FAE">
        <w:t xml:space="preserve">  </w:t>
      </w:r>
    </w:p>
    <w:p w14:paraId="6DEC056B" w14:textId="3EAFCEEA" w:rsidR="004B6FCE" w:rsidRPr="00847FAE" w:rsidRDefault="004B6FCE">
      <w:pPr>
        <w:rPr>
          <w:rFonts w:cs="Arial"/>
          <w:b/>
          <w:bCs/>
          <w:color w:val="2F5496" w:themeColor="accent5" w:themeShade="BF"/>
          <w:kern w:val="32"/>
          <w:sz w:val="44"/>
          <w:szCs w:val="32"/>
        </w:rPr>
      </w:pPr>
      <w:r w:rsidRPr="00847FAE">
        <w:br w:type="page"/>
      </w:r>
    </w:p>
    <w:p w14:paraId="70AE6EB2" w14:textId="36CC09FF" w:rsidR="00957EC9" w:rsidRPr="00847FAE" w:rsidRDefault="00A53515" w:rsidP="006D6732">
      <w:pPr>
        <w:pStyle w:val="Heading1"/>
      </w:pPr>
      <w:bookmarkStart w:id="161" w:name="_Toc529270646"/>
      <w:bookmarkStart w:id="162" w:name="_Toc529270854"/>
      <w:bookmarkStart w:id="163" w:name="_Toc529272547"/>
      <w:bookmarkStart w:id="164" w:name="_Toc529272622"/>
      <w:bookmarkStart w:id="165" w:name="_Toc1041141"/>
      <w:r w:rsidRPr="00847FAE">
        <w:lastRenderedPageBreak/>
        <w:t>C</w:t>
      </w:r>
      <w:r w:rsidR="00957EC9" w:rsidRPr="00847FAE">
        <w:t>aseload</w:t>
      </w:r>
      <w:bookmarkEnd w:id="161"/>
      <w:bookmarkEnd w:id="162"/>
      <w:bookmarkEnd w:id="163"/>
      <w:bookmarkEnd w:id="164"/>
      <w:bookmarkEnd w:id="165"/>
      <w:r w:rsidR="00CC5557" w:rsidRPr="00847FAE">
        <w:t xml:space="preserve"> </w:t>
      </w:r>
    </w:p>
    <w:bookmarkEnd w:id="8"/>
    <w:bookmarkEnd w:id="135"/>
    <w:bookmarkEnd w:id="136"/>
    <w:bookmarkEnd w:id="137"/>
    <w:p w14:paraId="6ED99D05" w14:textId="064338C4" w:rsidR="0061423F" w:rsidRPr="00847FAE" w:rsidRDefault="00916B94" w:rsidP="00EF3488">
      <w:pPr>
        <w:spacing w:before="240" w:after="240" w:line="300" w:lineRule="exact"/>
      </w:pPr>
      <w:r w:rsidRPr="00847FAE">
        <w:t xml:space="preserve">The </w:t>
      </w:r>
      <w:r w:rsidR="006852FD" w:rsidRPr="00847FAE">
        <w:t xml:space="preserve">caseload of the </w:t>
      </w:r>
      <w:r w:rsidRPr="00847FAE">
        <w:t xml:space="preserve">Magistrates Court </w:t>
      </w:r>
      <w:r w:rsidR="006852FD" w:rsidRPr="00847FAE">
        <w:t>varies from year to year</w:t>
      </w:r>
      <w:r w:rsidR="001069A1" w:rsidRPr="00847FAE">
        <w:t xml:space="preserve">.  </w:t>
      </w:r>
      <w:r w:rsidR="007E2743" w:rsidRPr="00847FAE">
        <w:t>O</w:t>
      </w:r>
      <w:r w:rsidR="00F82057" w:rsidRPr="00847FAE">
        <w:t xml:space="preserve">ver </w:t>
      </w:r>
      <w:r w:rsidRPr="00847FAE">
        <w:t xml:space="preserve">the last </w:t>
      </w:r>
      <w:r w:rsidR="00CC5557" w:rsidRPr="00847FAE">
        <w:t xml:space="preserve">four </w:t>
      </w:r>
      <w:r w:rsidRPr="00847FAE">
        <w:t>reporting periods there ha</w:t>
      </w:r>
      <w:r w:rsidR="00F82057" w:rsidRPr="00847FAE">
        <w:t xml:space="preserve">ve been </w:t>
      </w:r>
      <w:r w:rsidR="007E2743" w:rsidRPr="00847FAE">
        <w:t xml:space="preserve">ongoing </w:t>
      </w:r>
      <w:r w:rsidR="00F82057" w:rsidRPr="00847FAE">
        <w:t>increases in lodgements</w:t>
      </w:r>
      <w:r w:rsidR="007E2743" w:rsidRPr="00847FAE">
        <w:t xml:space="preserve">, particularly in the </w:t>
      </w:r>
      <w:r w:rsidR="00CC5557" w:rsidRPr="00847FAE">
        <w:t xml:space="preserve">adult </w:t>
      </w:r>
      <w:r w:rsidR="007E2743" w:rsidRPr="00847FAE">
        <w:t xml:space="preserve">Criminal division, </w:t>
      </w:r>
      <w:r w:rsidR="00CC5557" w:rsidRPr="00847FAE">
        <w:t>where lodgements have increased by 1</w:t>
      </w:r>
      <w:r w:rsidR="007E2743" w:rsidRPr="00847FAE">
        <w:t xml:space="preserve">6% in the past </w:t>
      </w:r>
      <w:r w:rsidR="00CC5557" w:rsidRPr="00847FAE">
        <w:t xml:space="preserve">four </w:t>
      </w:r>
      <w:r w:rsidR="007E2743" w:rsidRPr="00847FAE">
        <w:t>years.</w:t>
      </w:r>
    </w:p>
    <w:p w14:paraId="2D69BA7C" w14:textId="13C539A0" w:rsidR="0061423F" w:rsidRPr="00847FAE" w:rsidRDefault="006B0478" w:rsidP="00EF3488">
      <w:pPr>
        <w:spacing w:before="240" w:after="240" w:line="300" w:lineRule="exact"/>
      </w:pPr>
      <w:r w:rsidRPr="00847FAE">
        <w:t xml:space="preserve">Detailed statistics about the types and numbers of matters lodged appear </w:t>
      </w:r>
      <w:r w:rsidR="0081118F" w:rsidRPr="00847FAE">
        <w:t xml:space="preserve">in Table 1, </w:t>
      </w:r>
      <w:r w:rsidRPr="00847FAE">
        <w:t>later in this Annual Report</w:t>
      </w:r>
      <w:r w:rsidR="001069A1" w:rsidRPr="00847FAE">
        <w:t>.</w:t>
      </w:r>
      <w:r w:rsidRPr="00847FAE">
        <w:t xml:space="preserve"> </w:t>
      </w:r>
    </w:p>
    <w:p w14:paraId="4C23EFA7" w14:textId="77777777" w:rsidR="00B3115E" w:rsidRPr="00847FAE" w:rsidRDefault="00682085" w:rsidP="00EF3488">
      <w:pPr>
        <w:spacing w:before="240" w:after="240" w:line="300" w:lineRule="exact"/>
      </w:pPr>
      <w:r w:rsidRPr="00847FAE">
        <w:t xml:space="preserve">The Court's incoming caseload </w:t>
      </w:r>
      <w:r w:rsidR="002F1096" w:rsidRPr="00847FAE">
        <w:t>during the</w:t>
      </w:r>
      <w:r w:rsidR="007F4CE3" w:rsidRPr="00847FAE">
        <w:t xml:space="preserve"> </w:t>
      </w:r>
      <w:r w:rsidR="00300CFF" w:rsidRPr="00847FAE">
        <w:t>201</w:t>
      </w:r>
      <w:r w:rsidRPr="00847FAE">
        <w:t>6</w:t>
      </w:r>
      <w:r w:rsidR="00300CFF" w:rsidRPr="00847FAE">
        <w:t>-1</w:t>
      </w:r>
      <w:r w:rsidRPr="00847FAE">
        <w:t>7</w:t>
      </w:r>
      <w:r w:rsidR="002F1096" w:rsidRPr="00847FAE">
        <w:t xml:space="preserve"> reporting year </w:t>
      </w:r>
      <w:r w:rsidRPr="00847FAE">
        <w:t>was as follows</w:t>
      </w:r>
      <w:r w:rsidR="00B3115E" w:rsidRPr="00847FAE">
        <w:t>:</w:t>
      </w:r>
    </w:p>
    <w:p w14:paraId="19ADB3E2" w14:textId="77777777" w:rsidR="00B3115E" w:rsidRPr="00847FAE" w:rsidRDefault="00833BA5" w:rsidP="00BD2A8D">
      <w:pPr>
        <w:pStyle w:val="NormalNew"/>
      </w:pPr>
      <w:r w:rsidRPr="00847FAE">
        <w:t>Case</w:t>
      </w:r>
      <w:r w:rsidR="00214B7B" w:rsidRPr="00847FAE">
        <w:t xml:space="preserve"> Lodgements:</w:t>
      </w:r>
    </w:p>
    <w:tbl>
      <w:tblPr>
        <w:tblStyle w:val="TableGridLight"/>
        <w:tblW w:w="0" w:type="auto"/>
        <w:tblLook w:val="01E0" w:firstRow="1" w:lastRow="1" w:firstColumn="1" w:lastColumn="1" w:noHBand="0" w:noVBand="0"/>
        <w:tblCaption w:val="CaseLodgements2017_2017"/>
        <w:tblDescription w:val="Tableshowingcaselodgementsduring2016_2017reportingyear"/>
      </w:tblPr>
      <w:tblGrid>
        <w:gridCol w:w="4111"/>
        <w:gridCol w:w="1559"/>
      </w:tblGrid>
      <w:tr w:rsidR="007926C3" w:rsidRPr="00847FAE" w14:paraId="2772DE28" w14:textId="77777777" w:rsidTr="007D3DEB">
        <w:trPr>
          <w:cantSplit/>
          <w:tblHeader/>
        </w:trPr>
        <w:tc>
          <w:tcPr>
            <w:tcW w:w="4111" w:type="dxa"/>
          </w:tcPr>
          <w:p w14:paraId="37DAB341" w14:textId="77777777" w:rsidR="007926C3" w:rsidRPr="00847FAE" w:rsidRDefault="00612BEA" w:rsidP="0045133E">
            <w:pPr>
              <w:spacing w:line="276" w:lineRule="auto"/>
            </w:pPr>
            <w:r w:rsidRPr="00847FAE">
              <w:t>C</w:t>
            </w:r>
            <w:r w:rsidR="00224FF6" w:rsidRPr="00847FAE">
              <w:t xml:space="preserve">riminal – Adult </w:t>
            </w:r>
          </w:p>
        </w:tc>
        <w:tc>
          <w:tcPr>
            <w:tcW w:w="1559" w:type="dxa"/>
          </w:tcPr>
          <w:p w14:paraId="5C1B8965" w14:textId="52CBC5B8" w:rsidR="007926C3" w:rsidRPr="00847FAE" w:rsidRDefault="004B6FCE" w:rsidP="0045133E">
            <w:pPr>
              <w:spacing w:line="276" w:lineRule="auto"/>
              <w:jc w:val="right"/>
            </w:pPr>
            <w:r w:rsidRPr="00847FAE">
              <w:t>18</w:t>
            </w:r>
            <w:r w:rsidR="007926C3" w:rsidRPr="00847FAE">
              <w:t>,</w:t>
            </w:r>
            <w:r w:rsidRPr="00847FAE">
              <w:t>187</w:t>
            </w:r>
          </w:p>
        </w:tc>
      </w:tr>
      <w:tr w:rsidR="007926C3" w:rsidRPr="00847FAE" w14:paraId="1194F0CB" w14:textId="77777777" w:rsidTr="007175D2">
        <w:tc>
          <w:tcPr>
            <w:tcW w:w="4111" w:type="dxa"/>
          </w:tcPr>
          <w:p w14:paraId="7CC15EAC" w14:textId="77777777" w:rsidR="007926C3" w:rsidRPr="00847FAE" w:rsidRDefault="00612BEA" w:rsidP="0045133E">
            <w:pPr>
              <w:spacing w:line="276" w:lineRule="auto"/>
            </w:pPr>
            <w:r w:rsidRPr="00847FAE">
              <w:t>C</w:t>
            </w:r>
            <w:r w:rsidR="00224FF6" w:rsidRPr="00847FAE">
              <w:t>riminal – Youth Justice</w:t>
            </w:r>
          </w:p>
        </w:tc>
        <w:tc>
          <w:tcPr>
            <w:tcW w:w="1559" w:type="dxa"/>
          </w:tcPr>
          <w:p w14:paraId="2159EAE4" w14:textId="137502A6" w:rsidR="007926C3" w:rsidRPr="00847FAE" w:rsidRDefault="004B6FCE" w:rsidP="0045133E">
            <w:pPr>
              <w:spacing w:line="276" w:lineRule="auto"/>
              <w:jc w:val="right"/>
            </w:pPr>
            <w:r w:rsidRPr="00847FAE">
              <w:t>1,370</w:t>
            </w:r>
          </w:p>
        </w:tc>
      </w:tr>
      <w:tr w:rsidR="00612BEA" w:rsidRPr="00847FAE" w14:paraId="5B3179BB" w14:textId="77777777" w:rsidTr="007175D2">
        <w:tc>
          <w:tcPr>
            <w:tcW w:w="4111" w:type="dxa"/>
          </w:tcPr>
          <w:p w14:paraId="19E6458F" w14:textId="77777777" w:rsidR="00612BEA" w:rsidRPr="00847FAE" w:rsidRDefault="00612BEA" w:rsidP="0045133E">
            <w:pPr>
              <w:spacing w:line="276" w:lineRule="auto"/>
            </w:pPr>
            <w:r w:rsidRPr="00847FAE">
              <w:t>Family violence order applications</w:t>
            </w:r>
          </w:p>
        </w:tc>
        <w:tc>
          <w:tcPr>
            <w:tcW w:w="1559" w:type="dxa"/>
          </w:tcPr>
          <w:p w14:paraId="32074010" w14:textId="3331A657" w:rsidR="00612BEA" w:rsidRPr="00847FAE" w:rsidRDefault="004B6FCE" w:rsidP="0045133E">
            <w:pPr>
              <w:spacing w:line="276" w:lineRule="auto"/>
              <w:jc w:val="right"/>
            </w:pPr>
            <w:r w:rsidRPr="00847FAE">
              <w:t>1,172</w:t>
            </w:r>
          </w:p>
        </w:tc>
      </w:tr>
      <w:tr w:rsidR="007926C3" w:rsidRPr="00847FAE" w14:paraId="4FF771D8" w14:textId="77777777" w:rsidTr="007175D2">
        <w:tc>
          <w:tcPr>
            <w:tcW w:w="4111" w:type="dxa"/>
          </w:tcPr>
          <w:p w14:paraId="1417E58F" w14:textId="77777777" w:rsidR="007926C3" w:rsidRPr="00847FAE" w:rsidRDefault="00612BEA" w:rsidP="0045133E">
            <w:pPr>
              <w:spacing w:line="276" w:lineRule="auto"/>
            </w:pPr>
            <w:r w:rsidRPr="00847FAE">
              <w:t>R</w:t>
            </w:r>
            <w:r w:rsidR="007926C3" w:rsidRPr="00847FAE">
              <w:t>estraint order applications</w:t>
            </w:r>
          </w:p>
        </w:tc>
        <w:tc>
          <w:tcPr>
            <w:tcW w:w="1559" w:type="dxa"/>
          </w:tcPr>
          <w:p w14:paraId="73CE64A1" w14:textId="2E2974D9" w:rsidR="007926C3" w:rsidRPr="00847FAE" w:rsidRDefault="004B6FCE" w:rsidP="0045133E">
            <w:pPr>
              <w:spacing w:line="276" w:lineRule="auto"/>
              <w:jc w:val="right"/>
            </w:pPr>
            <w:r w:rsidRPr="00847FAE">
              <w:t>1,143</w:t>
            </w:r>
          </w:p>
        </w:tc>
      </w:tr>
      <w:tr w:rsidR="00612BEA" w:rsidRPr="00847FAE" w14:paraId="24024D3F" w14:textId="77777777" w:rsidTr="007175D2">
        <w:tc>
          <w:tcPr>
            <w:tcW w:w="4111" w:type="dxa"/>
          </w:tcPr>
          <w:p w14:paraId="62D740F6" w14:textId="77777777" w:rsidR="00612BEA" w:rsidRPr="00847FAE" w:rsidRDefault="00612BEA" w:rsidP="0045133E">
            <w:pPr>
              <w:spacing w:line="276" w:lineRule="auto"/>
            </w:pPr>
            <w:r w:rsidRPr="00847FAE">
              <w:t>Child protection applications</w:t>
            </w:r>
          </w:p>
        </w:tc>
        <w:tc>
          <w:tcPr>
            <w:tcW w:w="1559" w:type="dxa"/>
          </w:tcPr>
          <w:p w14:paraId="76E400DE" w14:textId="2347515E" w:rsidR="00612BEA" w:rsidRPr="00847FAE" w:rsidRDefault="004B6FCE" w:rsidP="0045133E">
            <w:pPr>
              <w:spacing w:line="276" w:lineRule="auto"/>
              <w:jc w:val="right"/>
            </w:pPr>
            <w:r w:rsidRPr="00847FAE">
              <w:t>848</w:t>
            </w:r>
            <w:r w:rsidR="00612BEA" w:rsidRPr="00847FAE">
              <w:t xml:space="preserve"> </w:t>
            </w:r>
          </w:p>
        </w:tc>
      </w:tr>
      <w:tr w:rsidR="00224FF6" w:rsidRPr="00847FAE" w14:paraId="275A6476" w14:textId="77777777" w:rsidTr="007175D2">
        <w:tc>
          <w:tcPr>
            <w:tcW w:w="4111" w:type="dxa"/>
          </w:tcPr>
          <w:p w14:paraId="075A2276" w14:textId="77777777" w:rsidR="00224FF6" w:rsidRPr="00847FAE" w:rsidRDefault="00224FF6" w:rsidP="0045133E">
            <w:pPr>
              <w:spacing w:line="276" w:lineRule="auto"/>
            </w:pPr>
            <w:r w:rsidRPr="00847FAE">
              <w:t>Civil (minor civil, civil, residential tenancy)</w:t>
            </w:r>
          </w:p>
        </w:tc>
        <w:tc>
          <w:tcPr>
            <w:tcW w:w="1559" w:type="dxa"/>
          </w:tcPr>
          <w:p w14:paraId="27E8C1AA" w14:textId="02C0AD89" w:rsidR="00224FF6" w:rsidRPr="00847FAE" w:rsidRDefault="004B6FCE" w:rsidP="0045133E">
            <w:pPr>
              <w:spacing w:line="276" w:lineRule="auto"/>
              <w:jc w:val="right"/>
            </w:pPr>
            <w:r w:rsidRPr="00847FAE">
              <w:t>3,756</w:t>
            </w:r>
          </w:p>
        </w:tc>
      </w:tr>
      <w:tr w:rsidR="00224FF6" w:rsidRPr="00847FAE" w14:paraId="26B935BE" w14:textId="77777777" w:rsidTr="007175D2">
        <w:tc>
          <w:tcPr>
            <w:tcW w:w="4111" w:type="dxa"/>
          </w:tcPr>
          <w:p w14:paraId="51CCC434" w14:textId="69482A82" w:rsidR="00224FF6" w:rsidRPr="00847FAE" w:rsidRDefault="00224FF6" w:rsidP="0045133E">
            <w:pPr>
              <w:spacing w:line="276" w:lineRule="auto"/>
            </w:pPr>
            <w:r w:rsidRPr="00847FAE">
              <w:t>Miscellaneous applications</w:t>
            </w:r>
            <w:r w:rsidR="009C2461" w:rsidRPr="00847FAE">
              <w:t xml:space="preserve"> (adult &amp; youth)</w:t>
            </w:r>
          </w:p>
        </w:tc>
        <w:tc>
          <w:tcPr>
            <w:tcW w:w="1559" w:type="dxa"/>
          </w:tcPr>
          <w:p w14:paraId="378FE7B7" w14:textId="23F6D21B" w:rsidR="00224FF6" w:rsidRPr="00847FAE" w:rsidRDefault="004B6FCE" w:rsidP="0045133E">
            <w:pPr>
              <w:spacing w:line="276" w:lineRule="auto"/>
              <w:jc w:val="right"/>
            </w:pPr>
            <w:r w:rsidRPr="00847FAE">
              <w:t>2,088</w:t>
            </w:r>
          </w:p>
        </w:tc>
      </w:tr>
      <w:tr w:rsidR="00612BEA" w:rsidRPr="00847FAE" w14:paraId="077FBE2B" w14:textId="77777777" w:rsidTr="007175D2">
        <w:tc>
          <w:tcPr>
            <w:tcW w:w="4111" w:type="dxa"/>
          </w:tcPr>
          <w:p w14:paraId="33880DC1" w14:textId="1CE48790" w:rsidR="0081118F" w:rsidRPr="00847FAE" w:rsidRDefault="0081118F" w:rsidP="0045133E">
            <w:pPr>
              <w:spacing w:line="276" w:lineRule="auto"/>
            </w:pPr>
            <w:r w:rsidRPr="00847FAE">
              <w:t>Breaches of orders (incl. bail, probation)</w:t>
            </w:r>
          </w:p>
          <w:p w14:paraId="2A4F80D5" w14:textId="7DB8BF19" w:rsidR="00612BEA" w:rsidRPr="00847FAE" w:rsidRDefault="00612BEA" w:rsidP="0045133E">
            <w:pPr>
              <w:spacing w:line="276" w:lineRule="auto"/>
            </w:pPr>
            <w:r w:rsidRPr="00847FAE">
              <w:t>Administrative appeals</w:t>
            </w:r>
            <w:r w:rsidR="004B6FCE" w:rsidRPr="00847FAE">
              <w:t>, Mining Tribunal</w:t>
            </w:r>
          </w:p>
        </w:tc>
        <w:tc>
          <w:tcPr>
            <w:tcW w:w="1559" w:type="dxa"/>
          </w:tcPr>
          <w:p w14:paraId="455E6C2A" w14:textId="4D72DD79" w:rsidR="0081118F" w:rsidRPr="00847FAE" w:rsidRDefault="0081118F" w:rsidP="0045133E">
            <w:pPr>
              <w:spacing w:line="276" w:lineRule="auto"/>
              <w:jc w:val="right"/>
            </w:pPr>
            <w:r w:rsidRPr="00847FAE">
              <w:t>5,046</w:t>
            </w:r>
          </w:p>
          <w:p w14:paraId="470E37CE" w14:textId="5D2A9336" w:rsidR="00612BEA" w:rsidRPr="00847FAE" w:rsidRDefault="004B6FCE" w:rsidP="0045133E">
            <w:pPr>
              <w:spacing w:line="276" w:lineRule="auto"/>
              <w:jc w:val="right"/>
            </w:pPr>
            <w:r w:rsidRPr="00847FAE">
              <w:t>40</w:t>
            </w:r>
            <w:r w:rsidR="00612BEA" w:rsidRPr="00847FAE">
              <w:t xml:space="preserve"> </w:t>
            </w:r>
          </w:p>
        </w:tc>
      </w:tr>
      <w:tr w:rsidR="008E51A1" w:rsidRPr="00847FAE" w14:paraId="415DC25E" w14:textId="77777777" w:rsidTr="007175D2">
        <w:tc>
          <w:tcPr>
            <w:tcW w:w="4111" w:type="dxa"/>
          </w:tcPr>
          <w:p w14:paraId="4AAF336A" w14:textId="77777777" w:rsidR="008E51A1" w:rsidRPr="00847FAE" w:rsidRDefault="00612BEA" w:rsidP="0045133E">
            <w:pPr>
              <w:spacing w:line="276" w:lineRule="auto"/>
            </w:pPr>
            <w:r w:rsidRPr="00847FAE">
              <w:t>C</w:t>
            </w:r>
            <w:r w:rsidR="008E51A1" w:rsidRPr="00847FAE">
              <w:t>oronial cases</w:t>
            </w:r>
          </w:p>
        </w:tc>
        <w:tc>
          <w:tcPr>
            <w:tcW w:w="1559" w:type="dxa"/>
          </w:tcPr>
          <w:p w14:paraId="3E544166" w14:textId="29F851F7" w:rsidR="008E51A1" w:rsidRPr="00847FAE" w:rsidRDefault="004B6FCE" w:rsidP="0045133E">
            <w:pPr>
              <w:spacing w:line="276" w:lineRule="auto"/>
              <w:jc w:val="right"/>
            </w:pPr>
            <w:r w:rsidRPr="00847FAE">
              <w:t>598</w:t>
            </w:r>
          </w:p>
        </w:tc>
      </w:tr>
      <w:tr w:rsidR="008E51A1" w:rsidRPr="00847FAE" w14:paraId="2D8239C4" w14:textId="77777777" w:rsidTr="007175D2">
        <w:tc>
          <w:tcPr>
            <w:tcW w:w="4111" w:type="dxa"/>
          </w:tcPr>
          <w:p w14:paraId="44F66198" w14:textId="77777777" w:rsidR="008E51A1" w:rsidRPr="00847FAE" w:rsidRDefault="008E51A1" w:rsidP="0045133E">
            <w:pPr>
              <w:spacing w:line="276" w:lineRule="auto"/>
              <w:rPr>
                <w:b/>
              </w:rPr>
            </w:pPr>
            <w:r w:rsidRPr="00847FAE">
              <w:rPr>
                <w:b/>
              </w:rPr>
              <w:t>T</w:t>
            </w:r>
            <w:r w:rsidR="009B28C1" w:rsidRPr="00847FAE">
              <w:rPr>
                <w:b/>
              </w:rPr>
              <w:t>otal</w:t>
            </w:r>
          </w:p>
        </w:tc>
        <w:tc>
          <w:tcPr>
            <w:tcW w:w="1559" w:type="dxa"/>
          </w:tcPr>
          <w:p w14:paraId="3B0AEF11" w14:textId="67BDA0FC" w:rsidR="008E51A1" w:rsidRPr="00847FAE" w:rsidRDefault="0081118F" w:rsidP="0045133E">
            <w:pPr>
              <w:spacing w:line="276" w:lineRule="auto"/>
              <w:jc w:val="right"/>
              <w:rPr>
                <w:b/>
              </w:rPr>
            </w:pPr>
            <w:r w:rsidRPr="00847FAE">
              <w:rPr>
                <w:b/>
              </w:rPr>
              <w:t>34,248</w:t>
            </w:r>
          </w:p>
        </w:tc>
      </w:tr>
    </w:tbl>
    <w:p w14:paraId="77EEDED4" w14:textId="7F92A2AA" w:rsidR="00214B7B" w:rsidRPr="00847FAE" w:rsidRDefault="00682085" w:rsidP="00BD2A8D">
      <w:pPr>
        <w:pStyle w:val="NormalNew"/>
      </w:pPr>
      <w:r w:rsidRPr="00847FAE">
        <w:t xml:space="preserve">The </w:t>
      </w:r>
      <w:r w:rsidR="008D1E87" w:rsidRPr="00847FAE">
        <w:t>Fines,</w:t>
      </w:r>
      <w:r w:rsidR="00214B7B" w:rsidRPr="00847FAE">
        <w:t xml:space="preserve"> Costs</w:t>
      </w:r>
      <w:r w:rsidR="00522210" w:rsidRPr="00847FAE">
        <w:t>,</w:t>
      </w:r>
      <w:r w:rsidR="00214B7B" w:rsidRPr="00847FAE">
        <w:t xml:space="preserve"> </w:t>
      </w:r>
      <w:r w:rsidR="008D1E87" w:rsidRPr="00847FAE">
        <w:t xml:space="preserve">Fees </w:t>
      </w:r>
      <w:r w:rsidR="00522210" w:rsidRPr="00847FAE">
        <w:t xml:space="preserve">and Levies </w:t>
      </w:r>
      <w:r w:rsidR="008D1E87" w:rsidRPr="00847FAE">
        <w:t>imposed</w:t>
      </w:r>
      <w:r w:rsidRPr="00847FAE">
        <w:t xml:space="preserve"> were as follows</w:t>
      </w:r>
      <w:r w:rsidR="00214B7B" w:rsidRPr="00847FAE">
        <w:t>:</w:t>
      </w:r>
    </w:p>
    <w:tbl>
      <w:tblPr>
        <w:tblStyle w:val="TableGrid1"/>
        <w:tblW w:w="0" w:type="auto"/>
        <w:tblLook w:val="04A0" w:firstRow="1" w:lastRow="0" w:firstColumn="1" w:lastColumn="0" w:noHBand="0" w:noVBand="1"/>
        <w:tblCaption w:val="FinesCostsFeesandLevies"/>
        <w:tblDescription w:val="Tableshowing2016_2017and2017_2018finesfeesandleviesimposed"/>
      </w:tblPr>
      <w:tblGrid>
        <w:gridCol w:w="3820"/>
        <w:gridCol w:w="1701"/>
        <w:gridCol w:w="1559"/>
      </w:tblGrid>
      <w:tr w:rsidR="001014B3" w:rsidRPr="001014B3" w14:paraId="5DA6BA6C" w14:textId="77777777" w:rsidTr="007D3DEB">
        <w:trPr>
          <w:cantSplit/>
          <w:tblHeader/>
        </w:trPr>
        <w:tc>
          <w:tcPr>
            <w:tcW w:w="3820" w:type="dxa"/>
          </w:tcPr>
          <w:p w14:paraId="296CFA7A" w14:textId="385ED0D4" w:rsidR="0045133E" w:rsidRPr="001014B3" w:rsidRDefault="00C32F2D" w:rsidP="0045133E">
            <w:pPr>
              <w:spacing w:line="276" w:lineRule="auto"/>
              <w:rPr>
                <w:b/>
              </w:rPr>
            </w:pPr>
            <w:r w:rsidRPr="001014B3">
              <w:rPr>
                <w:b/>
              </w:rPr>
              <w:t>Fines, Fees and Levies Imposed</w:t>
            </w:r>
          </w:p>
        </w:tc>
        <w:tc>
          <w:tcPr>
            <w:tcW w:w="1701" w:type="dxa"/>
            <w:hideMark/>
          </w:tcPr>
          <w:p w14:paraId="54D1F548" w14:textId="77777777" w:rsidR="0045133E" w:rsidRPr="001014B3" w:rsidRDefault="0045133E" w:rsidP="0045133E">
            <w:pPr>
              <w:spacing w:line="276" w:lineRule="auto"/>
              <w:jc w:val="center"/>
              <w:rPr>
                <w:b/>
                <w:bCs/>
              </w:rPr>
            </w:pPr>
            <w:r w:rsidRPr="001014B3">
              <w:rPr>
                <w:b/>
                <w:bCs/>
              </w:rPr>
              <w:t>2016-17</w:t>
            </w:r>
          </w:p>
        </w:tc>
        <w:tc>
          <w:tcPr>
            <w:tcW w:w="1559" w:type="dxa"/>
            <w:hideMark/>
          </w:tcPr>
          <w:p w14:paraId="15BBB8A1" w14:textId="77777777" w:rsidR="0045133E" w:rsidRPr="001014B3" w:rsidRDefault="0045133E" w:rsidP="0045133E">
            <w:pPr>
              <w:spacing w:line="276" w:lineRule="auto"/>
              <w:jc w:val="center"/>
              <w:rPr>
                <w:b/>
                <w:bCs/>
              </w:rPr>
            </w:pPr>
            <w:r w:rsidRPr="001014B3">
              <w:rPr>
                <w:b/>
                <w:bCs/>
              </w:rPr>
              <w:t>2017-18</w:t>
            </w:r>
          </w:p>
        </w:tc>
      </w:tr>
      <w:tr w:rsidR="0045133E" w:rsidRPr="00847FAE" w14:paraId="46397291" w14:textId="77777777" w:rsidTr="007175D2">
        <w:tc>
          <w:tcPr>
            <w:tcW w:w="3820" w:type="dxa"/>
            <w:hideMark/>
          </w:tcPr>
          <w:p w14:paraId="604ABB71" w14:textId="77777777" w:rsidR="0045133E" w:rsidRPr="00847FAE" w:rsidRDefault="0045133E" w:rsidP="0045133E">
            <w:pPr>
              <w:spacing w:line="276" w:lineRule="auto"/>
            </w:pPr>
            <w:r w:rsidRPr="00847FAE">
              <w:t>Fines</w:t>
            </w:r>
          </w:p>
        </w:tc>
        <w:tc>
          <w:tcPr>
            <w:tcW w:w="1701" w:type="dxa"/>
            <w:hideMark/>
          </w:tcPr>
          <w:p w14:paraId="2E05C1B5" w14:textId="77777777" w:rsidR="0045133E" w:rsidRPr="00847FAE" w:rsidRDefault="0045133E" w:rsidP="0045133E">
            <w:pPr>
              <w:spacing w:line="276" w:lineRule="auto"/>
              <w:jc w:val="right"/>
            </w:pPr>
            <w:r w:rsidRPr="00847FAE">
              <w:t>$4,210,993</w:t>
            </w:r>
          </w:p>
        </w:tc>
        <w:tc>
          <w:tcPr>
            <w:tcW w:w="1559" w:type="dxa"/>
            <w:hideMark/>
          </w:tcPr>
          <w:p w14:paraId="2DE5068F" w14:textId="77777777" w:rsidR="0045133E" w:rsidRPr="00847FAE" w:rsidRDefault="0045133E" w:rsidP="0045133E">
            <w:pPr>
              <w:spacing w:line="276" w:lineRule="auto"/>
              <w:jc w:val="right"/>
              <w:rPr>
                <w:color w:val="000000"/>
              </w:rPr>
            </w:pPr>
            <w:r w:rsidRPr="00847FAE">
              <w:rPr>
                <w:color w:val="000000"/>
              </w:rPr>
              <w:t>$4,861,559</w:t>
            </w:r>
          </w:p>
        </w:tc>
      </w:tr>
      <w:tr w:rsidR="0045133E" w:rsidRPr="00847FAE" w14:paraId="04DD91C0" w14:textId="77777777" w:rsidTr="007175D2">
        <w:tc>
          <w:tcPr>
            <w:tcW w:w="3820" w:type="dxa"/>
            <w:hideMark/>
          </w:tcPr>
          <w:p w14:paraId="24ECFD9E" w14:textId="77777777" w:rsidR="0045133E" w:rsidRPr="00847FAE" w:rsidRDefault="0045133E" w:rsidP="0045133E">
            <w:pPr>
              <w:spacing w:line="276" w:lineRule="auto"/>
            </w:pPr>
            <w:r w:rsidRPr="00847FAE">
              <w:t>Criminal court fees</w:t>
            </w:r>
          </w:p>
        </w:tc>
        <w:tc>
          <w:tcPr>
            <w:tcW w:w="1701" w:type="dxa"/>
            <w:hideMark/>
          </w:tcPr>
          <w:p w14:paraId="32CA612E" w14:textId="77777777" w:rsidR="0045133E" w:rsidRPr="00847FAE" w:rsidRDefault="0045133E" w:rsidP="0045133E">
            <w:pPr>
              <w:spacing w:line="276" w:lineRule="auto"/>
              <w:jc w:val="right"/>
            </w:pPr>
            <w:r w:rsidRPr="00847FAE">
              <w:t>$828,822</w:t>
            </w:r>
          </w:p>
        </w:tc>
        <w:tc>
          <w:tcPr>
            <w:tcW w:w="1559" w:type="dxa"/>
            <w:hideMark/>
          </w:tcPr>
          <w:p w14:paraId="18FEDFD4" w14:textId="77777777" w:rsidR="0045133E" w:rsidRPr="00847FAE" w:rsidRDefault="0045133E" w:rsidP="0045133E">
            <w:pPr>
              <w:spacing w:line="276" w:lineRule="auto"/>
              <w:jc w:val="right"/>
              <w:rPr>
                <w:color w:val="000000"/>
              </w:rPr>
            </w:pPr>
            <w:r w:rsidRPr="00847FAE">
              <w:rPr>
                <w:color w:val="000000"/>
              </w:rPr>
              <w:t>$871,108</w:t>
            </w:r>
          </w:p>
        </w:tc>
      </w:tr>
      <w:tr w:rsidR="0045133E" w:rsidRPr="00847FAE" w14:paraId="652FAF28" w14:textId="77777777" w:rsidTr="007175D2">
        <w:tc>
          <w:tcPr>
            <w:tcW w:w="3820" w:type="dxa"/>
            <w:hideMark/>
          </w:tcPr>
          <w:p w14:paraId="432D1C09" w14:textId="77777777" w:rsidR="0045133E" w:rsidRPr="00847FAE" w:rsidRDefault="0045133E" w:rsidP="0045133E">
            <w:pPr>
              <w:spacing w:line="276" w:lineRule="auto"/>
            </w:pPr>
            <w:r w:rsidRPr="00847FAE">
              <w:t>Victims of Crime Compensation levies</w:t>
            </w:r>
          </w:p>
        </w:tc>
        <w:tc>
          <w:tcPr>
            <w:tcW w:w="1701" w:type="dxa"/>
            <w:hideMark/>
          </w:tcPr>
          <w:p w14:paraId="34996255" w14:textId="77777777" w:rsidR="0045133E" w:rsidRPr="00847FAE" w:rsidRDefault="0045133E" w:rsidP="0045133E">
            <w:pPr>
              <w:spacing w:line="276" w:lineRule="auto"/>
              <w:jc w:val="right"/>
            </w:pPr>
            <w:r w:rsidRPr="00847FAE">
              <w:t>$288,130</w:t>
            </w:r>
          </w:p>
        </w:tc>
        <w:tc>
          <w:tcPr>
            <w:tcW w:w="1559" w:type="dxa"/>
            <w:hideMark/>
          </w:tcPr>
          <w:p w14:paraId="7B5E2148" w14:textId="77777777" w:rsidR="0045133E" w:rsidRPr="00847FAE" w:rsidRDefault="0045133E" w:rsidP="0045133E">
            <w:pPr>
              <w:spacing w:line="276" w:lineRule="auto"/>
              <w:jc w:val="right"/>
              <w:rPr>
                <w:color w:val="000000"/>
              </w:rPr>
            </w:pPr>
            <w:r w:rsidRPr="00847FAE">
              <w:rPr>
                <w:color w:val="000000"/>
              </w:rPr>
              <w:t>$326,000</w:t>
            </w:r>
          </w:p>
        </w:tc>
      </w:tr>
      <w:tr w:rsidR="0045133E" w:rsidRPr="00847FAE" w14:paraId="52221870" w14:textId="77777777" w:rsidTr="007175D2">
        <w:tc>
          <w:tcPr>
            <w:tcW w:w="3820" w:type="dxa"/>
            <w:hideMark/>
          </w:tcPr>
          <w:p w14:paraId="715F6FDD" w14:textId="77777777" w:rsidR="0045133E" w:rsidRPr="00847FAE" w:rsidRDefault="0045133E" w:rsidP="0045133E">
            <w:pPr>
              <w:spacing w:line="276" w:lineRule="auto"/>
              <w:rPr>
                <w:highlight w:val="green"/>
              </w:rPr>
            </w:pPr>
            <w:r w:rsidRPr="00847FAE">
              <w:t>Civil Court Fees</w:t>
            </w:r>
          </w:p>
        </w:tc>
        <w:tc>
          <w:tcPr>
            <w:tcW w:w="1701" w:type="dxa"/>
            <w:hideMark/>
          </w:tcPr>
          <w:p w14:paraId="7553656C" w14:textId="77777777" w:rsidR="0045133E" w:rsidRPr="00847FAE" w:rsidRDefault="0045133E" w:rsidP="0045133E">
            <w:pPr>
              <w:spacing w:line="276" w:lineRule="auto"/>
              <w:jc w:val="right"/>
            </w:pPr>
            <w:r w:rsidRPr="00847FAE">
              <w:t xml:space="preserve">$592,225 </w:t>
            </w:r>
          </w:p>
        </w:tc>
        <w:tc>
          <w:tcPr>
            <w:tcW w:w="1559" w:type="dxa"/>
            <w:hideMark/>
          </w:tcPr>
          <w:p w14:paraId="1B66CF0E" w14:textId="77777777" w:rsidR="0045133E" w:rsidRPr="00847FAE" w:rsidRDefault="0045133E" w:rsidP="0045133E">
            <w:pPr>
              <w:spacing w:line="276" w:lineRule="auto"/>
              <w:jc w:val="right"/>
              <w:rPr>
                <w:color w:val="000000"/>
              </w:rPr>
            </w:pPr>
            <w:r w:rsidRPr="00847FAE">
              <w:rPr>
                <w:color w:val="000000"/>
              </w:rPr>
              <w:t>$592,854</w:t>
            </w:r>
          </w:p>
        </w:tc>
      </w:tr>
      <w:tr w:rsidR="0045133E" w:rsidRPr="00847FAE" w14:paraId="2E803D4F" w14:textId="77777777" w:rsidTr="007175D2">
        <w:tc>
          <w:tcPr>
            <w:tcW w:w="3820" w:type="dxa"/>
            <w:hideMark/>
          </w:tcPr>
          <w:p w14:paraId="01105E0D" w14:textId="77777777" w:rsidR="0045133E" w:rsidRPr="00847FAE" w:rsidRDefault="0045133E" w:rsidP="0045133E">
            <w:pPr>
              <w:spacing w:line="276" w:lineRule="auto"/>
            </w:pPr>
            <w:r w:rsidRPr="00847FAE">
              <w:t>Appeal Costs Fund levies</w:t>
            </w:r>
          </w:p>
        </w:tc>
        <w:tc>
          <w:tcPr>
            <w:tcW w:w="1701" w:type="dxa"/>
            <w:hideMark/>
          </w:tcPr>
          <w:p w14:paraId="6BF4D8A2" w14:textId="77777777" w:rsidR="0045133E" w:rsidRPr="00847FAE" w:rsidRDefault="0045133E" w:rsidP="0045133E">
            <w:pPr>
              <w:spacing w:line="276" w:lineRule="auto"/>
              <w:jc w:val="right"/>
            </w:pPr>
            <w:r w:rsidRPr="00847FAE">
              <w:t>$32,481</w:t>
            </w:r>
          </w:p>
        </w:tc>
        <w:tc>
          <w:tcPr>
            <w:tcW w:w="1559" w:type="dxa"/>
            <w:hideMark/>
          </w:tcPr>
          <w:p w14:paraId="2B27BCBC" w14:textId="77777777" w:rsidR="0045133E" w:rsidRPr="00847FAE" w:rsidRDefault="0045133E" w:rsidP="0045133E">
            <w:pPr>
              <w:spacing w:line="276" w:lineRule="auto"/>
              <w:jc w:val="right"/>
              <w:rPr>
                <w:color w:val="000000"/>
              </w:rPr>
            </w:pPr>
            <w:r w:rsidRPr="00847FAE">
              <w:rPr>
                <w:color w:val="000000"/>
              </w:rPr>
              <w:t>$33,392</w:t>
            </w:r>
          </w:p>
        </w:tc>
      </w:tr>
      <w:tr w:rsidR="0045133E" w:rsidRPr="00847FAE" w14:paraId="235991B1" w14:textId="77777777" w:rsidTr="007175D2">
        <w:tc>
          <w:tcPr>
            <w:tcW w:w="3820" w:type="dxa"/>
            <w:hideMark/>
          </w:tcPr>
          <w:p w14:paraId="08BCBE58" w14:textId="77777777" w:rsidR="0045133E" w:rsidRPr="00847FAE" w:rsidRDefault="0045133E" w:rsidP="0045133E">
            <w:pPr>
              <w:spacing w:line="276" w:lineRule="auto"/>
              <w:rPr>
                <w:b/>
                <w:bCs/>
                <w:highlight w:val="yellow"/>
              </w:rPr>
            </w:pPr>
            <w:r w:rsidRPr="00847FAE">
              <w:rPr>
                <w:b/>
                <w:bCs/>
              </w:rPr>
              <w:t>Total</w:t>
            </w:r>
          </w:p>
        </w:tc>
        <w:tc>
          <w:tcPr>
            <w:tcW w:w="1701" w:type="dxa"/>
            <w:hideMark/>
          </w:tcPr>
          <w:p w14:paraId="4BDEE3C0" w14:textId="77777777" w:rsidR="0045133E" w:rsidRPr="00847FAE" w:rsidRDefault="0045133E" w:rsidP="0045133E">
            <w:pPr>
              <w:spacing w:line="276" w:lineRule="auto"/>
              <w:jc w:val="right"/>
              <w:rPr>
                <w:b/>
                <w:bCs/>
              </w:rPr>
            </w:pPr>
            <w:r w:rsidRPr="00847FAE">
              <w:rPr>
                <w:b/>
                <w:bCs/>
              </w:rPr>
              <w:t>$5,952,651</w:t>
            </w:r>
          </w:p>
        </w:tc>
        <w:tc>
          <w:tcPr>
            <w:tcW w:w="1559" w:type="dxa"/>
            <w:hideMark/>
          </w:tcPr>
          <w:p w14:paraId="40D415EA" w14:textId="77777777" w:rsidR="0045133E" w:rsidRPr="00847FAE" w:rsidRDefault="0045133E" w:rsidP="0045133E">
            <w:pPr>
              <w:spacing w:line="276" w:lineRule="auto"/>
              <w:jc w:val="right"/>
              <w:rPr>
                <w:b/>
                <w:bCs/>
                <w:color w:val="000000"/>
              </w:rPr>
            </w:pPr>
            <w:r w:rsidRPr="00847FAE">
              <w:rPr>
                <w:b/>
                <w:bCs/>
                <w:color w:val="000000"/>
              </w:rPr>
              <w:t>$6,684,913</w:t>
            </w:r>
          </w:p>
        </w:tc>
      </w:tr>
      <w:bookmarkEnd w:id="9"/>
      <w:bookmarkEnd w:id="10"/>
      <w:bookmarkEnd w:id="11"/>
    </w:tbl>
    <w:p w14:paraId="4FBA4458" w14:textId="77777777" w:rsidR="0045133E" w:rsidRPr="00847FAE" w:rsidRDefault="0045133E" w:rsidP="00BD2A8D">
      <w:pPr>
        <w:rPr>
          <w:highlight w:val="yellow"/>
        </w:rPr>
      </w:pPr>
    </w:p>
    <w:p w14:paraId="68C58980" w14:textId="64C4CB14" w:rsidR="00CF426E" w:rsidRPr="00CA4F5D" w:rsidRDefault="00CC7772" w:rsidP="00905E3E">
      <w:r w:rsidRPr="00CA4F5D">
        <w:t xml:space="preserve">The continuing increases in the Court’s caseload heighten the need to ensure not only that the Court is adequately resourced to perform its work, but that other essential parts of the justice system are properly resourced.  The number of Legal Aid Commission of Tasmania lawyers, particularly duty lawyers who deal with the first appearance of people held in custody, has a direct impact on the speed and efficiency with which the Court can deal with their bail applications and other preliminary steps.  Similarly, the number of police prosecutors and their capacity to progress a matter at every court appearance, is crucial to the just and efficient disposition of cases.  In another area of the justice system, the capacity of the Tasmanian Prison Service to ensure that lawyers can access their clients to take instructions </w:t>
      </w:r>
      <w:r w:rsidRPr="00CA4F5D">
        <w:lastRenderedPageBreak/>
        <w:t xml:space="preserve">for court appearances directly affects whether appearances for pleas, hearings, and sentences can proceed without unnecessary delays. </w:t>
      </w:r>
    </w:p>
    <w:p w14:paraId="6CAFA870" w14:textId="5A8D4E3A" w:rsidR="00CA4F5D" w:rsidRDefault="00CA4F5D" w:rsidP="00905E3E">
      <w:pPr>
        <w:rPr>
          <w:highlight w:val="yellow"/>
        </w:rPr>
      </w:pPr>
    </w:p>
    <w:p w14:paraId="79FEEAA6" w14:textId="77AC9F04" w:rsidR="00CA4F5D" w:rsidRPr="004D4E84" w:rsidRDefault="00CA4F5D" w:rsidP="00905E3E">
      <w:r w:rsidRPr="004D4E84">
        <w:t>The Court is pleased to contribute to the ongoing discussions between Government and the Department of Justice which have focused on responding to these issues in order to improve access to justice.</w:t>
      </w:r>
    </w:p>
    <w:p w14:paraId="5F793D7C" w14:textId="6EF0FC15" w:rsidR="001A54A6" w:rsidRPr="00905E3E" w:rsidRDefault="001A54A6" w:rsidP="00905E3E">
      <w:pPr>
        <w:rPr>
          <w:sz w:val="2"/>
        </w:rPr>
      </w:pPr>
    </w:p>
    <w:p w14:paraId="4938B089" w14:textId="2B133AC2" w:rsidR="00E11EA1" w:rsidRPr="00847FAE" w:rsidRDefault="00E11EA1" w:rsidP="006D6732">
      <w:pPr>
        <w:pStyle w:val="Heading1"/>
      </w:pPr>
      <w:bookmarkStart w:id="166" w:name="_Toc311717612"/>
      <w:bookmarkStart w:id="167" w:name="_Toc311718293"/>
      <w:bookmarkStart w:id="168" w:name="_Toc311725658"/>
      <w:bookmarkStart w:id="169" w:name="_Toc529270647"/>
      <w:bookmarkStart w:id="170" w:name="_Toc529270855"/>
      <w:bookmarkStart w:id="171" w:name="_Toc529272548"/>
      <w:bookmarkStart w:id="172" w:name="_Toc529272623"/>
      <w:bookmarkStart w:id="173" w:name="_Toc1041142"/>
      <w:bookmarkStart w:id="174" w:name="_Toc247096990"/>
      <w:bookmarkStart w:id="175" w:name="_Toc277684604"/>
      <w:r w:rsidRPr="00847FAE">
        <w:t>Problem-solving Courts</w:t>
      </w:r>
      <w:bookmarkEnd w:id="166"/>
      <w:bookmarkEnd w:id="167"/>
      <w:bookmarkEnd w:id="168"/>
      <w:bookmarkEnd w:id="169"/>
      <w:bookmarkEnd w:id="170"/>
      <w:bookmarkEnd w:id="171"/>
      <w:bookmarkEnd w:id="172"/>
      <w:bookmarkEnd w:id="173"/>
    </w:p>
    <w:p w14:paraId="1ED96697" w14:textId="77777777" w:rsidR="00E11EA1" w:rsidRPr="00847FAE" w:rsidRDefault="00E11EA1" w:rsidP="00F314B1">
      <w:pPr>
        <w:pStyle w:val="NormalNew"/>
        <w:keepLines w:val="0"/>
      </w:pPr>
      <w:r w:rsidRPr="00847FAE">
        <w:t>During the reporting year the Court continued its activities in the areas of problem-solving justice</w:t>
      </w:r>
      <w:r w:rsidR="001069A1" w:rsidRPr="00847FAE">
        <w:t xml:space="preserve">.  </w:t>
      </w:r>
      <w:r w:rsidRPr="00847FAE">
        <w:t xml:space="preserve"> This approach to justice requires courts to acknowledge that rather than simply processing cases, the court system should be concerned with taking approaches in an attempt to address the problems that lead to a person’s appearance in court, and work to change offender behaviour and improve public safety where appropriate.</w:t>
      </w:r>
    </w:p>
    <w:p w14:paraId="15417B23" w14:textId="77777777" w:rsidR="00E11EA1" w:rsidRPr="00847FAE" w:rsidRDefault="00E11EA1" w:rsidP="00F314B1">
      <w:pPr>
        <w:pStyle w:val="NormalNew"/>
        <w:keepLines w:val="0"/>
      </w:pPr>
      <w:r w:rsidRPr="00847FAE">
        <w:t>Currently the Court takes this approach in the following</w:t>
      </w:r>
      <w:r w:rsidR="00694505" w:rsidRPr="00847FAE">
        <w:t xml:space="preserve"> areas</w:t>
      </w:r>
      <w:r w:rsidRPr="00847FAE">
        <w:t xml:space="preserve">: </w:t>
      </w:r>
    </w:p>
    <w:p w14:paraId="0C1D9DBF" w14:textId="77777777" w:rsidR="00E11EA1" w:rsidRPr="00847FAE" w:rsidRDefault="00E11EA1" w:rsidP="00F314B1">
      <w:pPr>
        <w:pStyle w:val="NormalNew"/>
        <w:keepLines w:val="0"/>
        <w:numPr>
          <w:ilvl w:val="0"/>
          <w:numId w:val="19"/>
        </w:numPr>
        <w:ind w:left="714" w:hanging="357"/>
        <w:contextualSpacing/>
      </w:pPr>
      <w:r w:rsidRPr="00847FAE">
        <w:t>Court Mandated Drug Diversion (CMD) program;</w:t>
      </w:r>
    </w:p>
    <w:p w14:paraId="67396C6B" w14:textId="77777777" w:rsidR="00E11EA1" w:rsidRPr="00847FAE" w:rsidRDefault="00E11EA1" w:rsidP="00F314B1">
      <w:pPr>
        <w:pStyle w:val="NormalNew"/>
        <w:keepLines w:val="0"/>
        <w:numPr>
          <w:ilvl w:val="0"/>
          <w:numId w:val="16"/>
        </w:numPr>
        <w:ind w:left="714" w:hanging="357"/>
        <w:contextualSpacing/>
      </w:pPr>
      <w:r w:rsidRPr="00847FAE">
        <w:t>Diversion List (DL);</w:t>
      </w:r>
    </w:p>
    <w:p w14:paraId="21014261" w14:textId="77777777" w:rsidR="00E11EA1" w:rsidRPr="00847FAE" w:rsidRDefault="00E11EA1" w:rsidP="00F314B1">
      <w:pPr>
        <w:pStyle w:val="NormalNew"/>
        <w:keepLines w:val="0"/>
        <w:numPr>
          <w:ilvl w:val="0"/>
          <w:numId w:val="16"/>
        </w:numPr>
        <w:ind w:left="714" w:hanging="357"/>
        <w:contextualSpacing/>
      </w:pPr>
      <w:r w:rsidRPr="00847FAE">
        <w:t>Family Violence Lists;</w:t>
      </w:r>
    </w:p>
    <w:p w14:paraId="485C403B" w14:textId="77777777" w:rsidR="00E11EA1" w:rsidRPr="00847FAE" w:rsidRDefault="00E11EA1" w:rsidP="00F314B1">
      <w:pPr>
        <w:pStyle w:val="NormalNew"/>
        <w:keepLines w:val="0"/>
        <w:numPr>
          <w:ilvl w:val="0"/>
          <w:numId w:val="16"/>
        </w:numPr>
        <w:ind w:left="714" w:hanging="357"/>
        <w:contextualSpacing/>
      </w:pPr>
      <w:r w:rsidRPr="00847FAE">
        <w:t>Youth Justice Special</w:t>
      </w:r>
      <w:r w:rsidR="00BE2C7B" w:rsidRPr="00847FAE">
        <w:t>ist</w:t>
      </w:r>
      <w:r w:rsidRPr="00847FAE">
        <w:t xml:space="preserve"> List.</w:t>
      </w:r>
    </w:p>
    <w:p w14:paraId="1618EBBB" w14:textId="77777777" w:rsidR="0061423F" w:rsidRPr="00847FAE" w:rsidRDefault="0061423F" w:rsidP="00F314B1">
      <w:pPr>
        <w:pStyle w:val="NormalNew"/>
        <w:keepLines w:val="0"/>
        <w:contextualSpacing/>
      </w:pPr>
    </w:p>
    <w:p w14:paraId="551825AC" w14:textId="77777777" w:rsidR="00E11EA1" w:rsidRPr="00847FAE" w:rsidRDefault="00E11EA1" w:rsidP="00F314B1">
      <w:pPr>
        <w:pStyle w:val="NormalNew"/>
        <w:keepLines w:val="0"/>
        <w:spacing w:before="0"/>
      </w:pPr>
      <w:r w:rsidRPr="00847FAE">
        <w:t>The Court continue</w:t>
      </w:r>
      <w:r w:rsidR="009B69A3" w:rsidRPr="00847FAE">
        <w:t>s</w:t>
      </w:r>
      <w:r w:rsidRPr="00847FAE">
        <w:t xml:space="preserve"> to work to improve collaboration between participants in these pro</w:t>
      </w:r>
      <w:r w:rsidR="009B69A3" w:rsidRPr="00847FAE">
        <w:t>blem-solving justice approaches</w:t>
      </w:r>
      <w:r w:rsidRPr="00847FAE">
        <w:t xml:space="preserve">, </w:t>
      </w:r>
      <w:r w:rsidR="009B69A3" w:rsidRPr="00847FAE">
        <w:t xml:space="preserve">learning from and </w:t>
      </w:r>
      <w:r w:rsidRPr="00847FAE">
        <w:t xml:space="preserve">building on what has been achieved </w:t>
      </w:r>
      <w:r w:rsidR="0061423F" w:rsidRPr="00847FAE">
        <w:t xml:space="preserve">in </w:t>
      </w:r>
      <w:r w:rsidRPr="00847FAE">
        <w:t>previous years</w:t>
      </w:r>
      <w:r w:rsidR="001069A1" w:rsidRPr="00847FAE">
        <w:t xml:space="preserve">.  </w:t>
      </w:r>
    </w:p>
    <w:p w14:paraId="1A6A0EEE" w14:textId="0F13BB0A" w:rsidR="00BE2C7B" w:rsidRPr="00847FAE" w:rsidRDefault="00BE2C7B" w:rsidP="00F314B1">
      <w:pPr>
        <w:pStyle w:val="NormalNew"/>
        <w:keepLines w:val="0"/>
      </w:pPr>
      <w:r w:rsidRPr="00847FAE">
        <w:t>The Court relies on the support and expertise of other organisations to ensure the success of the problem-solving courts</w:t>
      </w:r>
      <w:r w:rsidR="001069A1" w:rsidRPr="00847FAE">
        <w:t xml:space="preserve">.  </w:t>
      </w:r>
      <w:r w:rsidRPr="00847FAE">
        <w:t xml:space="preserve"> In particular</w:t>
      </w:r>
      <w:r w:rsidR="00A96A06" w:rsidRPr="00847FAE">
        <w:t>,</w:t>
      </w:r>
      <w:r w:rsidRPr="00847FAE">
        <w:t xml:space="preserve"> assistance is provided by Community Corrections, Forensic Mental Health Services, the Defendant Health </w:t>
      </w:r>
      <w:r w:rsidR="002914E8" w:rsidRPr="00847FAE">
        <w:t>Liaison</w:t>
      </w:r>
      <w:r w:rsidRPr="00847FAE">
        <w:t xml:space="preserve"> Service, Youth Justice, Legal Aid Commission of Tasmania, specialist Police prosecutors</w:t>
      </w:r>
      <w:r w:rsidR="007403FA" w:rsidRPr="00847FAE">
        <w:t>, and non-government support services</w:t>
      </w:r>
      <w:r w:rsidRPr="00847FAE">
        <w:t>.</w:t>
      </w:r>
    </w:p>
    <w:p w14:paraId="71CB72F6" w14:textId="77777777" w:rsidR="00E11EA1" w:rsidRPr="00847FAE" w:rsidRDefault="00E11EA1" w:rsidP="00E5311F">
      <w:pPr>
        <w:pStyle w:val="Heading2"/>
      </w:pPr>
      <w:bookmarkStart w:id="176" w:name="_Toc311717613"/>
      <w:bookmarkStart w:id="177" w:name="_Toc529270648"/>
      <w:bookmarkStart w:id="178" w:name="_Toc529270856"/>
      <w:bookmarkStart w:id="179" w:name="_Toc529272549"/>
      <w:bookmarkStart w:id="180" w:name="_Toc529272624"/>
      <w:bookmarkStart w:id="181" w:name="_Toc1041143"/>
      <w:r w:rsidRPr="00847FAE">
        <w:t xml:space="preserve">Court Mandated Drug Diversion </w:t>
      </w:r>
      <w:bookmarkEnd w:id="176"/>
      <w:r w:rsidRPr="00847FAE">
        <w:t>Program</w:t>
      </w:r>
      <w:bookmarkEnd w:id="177"/>
      <w:bookmarkEnd w:id="178"/>
      <w:bookmarkEnd w:id="179"/>
      <w:bookmarkEnd w:id="180"/>
      <w:bookmarkEnd w:id="181"/>
    </w:p>
    <w:p w14:paraId="046113AF" w14:textId="65CA5B84" w:rsidR="00FB2A7A" w:rsidRPr="00847FAE" w:rsidRDefault="00E11EA1" w:rsidP="00A96A06">
      <w:pPr>
        <w:spacing w:before="240" w:after="240" w:line="300" w:lineRule="exact"/>
        <w:rPr>
          <w:lang w:val="en"/>
        </w:rPr>
      </w:pPr>
      <w:r w:rsidRPr="00847FAE">
        <w:t>The Court Mandated Drug Diversion Program (CMD) was introduced in 2007 to divert people, whose offending behaviour is linked to illicit drug use, into drug treatment interventions</w:t>
      </w:r>
      <w:r w:rsidR="001069A1" w:rsidRPr="00847FAE">
        <w:t xml:space="preserve">.  </w:t>
      </w:r>
      <w:r w:rsidRPr="00847FAE">
        <w:t xml:space="preserve">The CMD program has capacity for approximately </w:t>
      </w:r>
      <w:r w:rsidR="00A74BE5" w:rsidRPr="00847FAE">
        <w:t>12</w:t>
      </w:r>
      <w:r w:rsidRPr="00847FAE">
        <w:t>0 defendants statewide</w:t>
      </w:r>
      <w:r w:rsidR="001069A1" w:rsidRPr="00847FAE">
        <w:t xml:space="preserve">.  </w:t>
      </w:r>
      <w:r w:rsidRPr="00847FAE">
        <w:t xml:space="preserve"> </w:t>
      </w:r>
      <w:r w:rsidR="00FB2A7A" w:rsidRPr="00847FAE">
        <w:t xml:space="preserve">A Court may sentence an offender onto </w:t>
      </w:r>
      <w:r w:rsidRPr="00847FAE">
        <w:t xml:space="preserve">the program under a </w:t>
      </w:r>
      <w:r w:rsidR="00D36525" w:rsidRPr="00847FAE">
        <w:t>d</w:t>
      </w:r>
      <w:r w:rsidRPr="00847FAE">
        <w:t xml:space="preserve">rug </w:t>
      </w:r>
      <w:r w:rsidR="00D36525" w:rsidRPr="00847FAE">
        <w:t>t</w:t>
      </w:r>
      <w:r w:rsidRPr="00847FAE">
        <w:t xml:space="preserve">reatment </w:t>
      </w:r>
      <w:r w:rsidR="00D36525" w:rsidRPr="00847FAE">
        <w:t>o</w:t>
      </w:r>
      <w:r w:rsidRPr="00847FAE">
        <w:t xml:space="preserve">rder </w:t>
      </w:r>
      <w:r w:rsidR="00FB2A7A" w:rsidRPr="00847FAE">
        <w:t xml:space="preserve">which </w:t>
      </w:r>
      <w:r w:rsidRPr="00847FAE">
        <w:t>involve</w:t>
      </w:r>
      <w:r w:rsidR="00A74BE5" w:rsidRPr="00847FAE">
        <w:t>s</w:t>
      </w:r>
      <w:r w:rsidRPr="00847FAE">
        <w:t xml:space="preserve"> </w:t>
      </w:r>
      <w:r w:rsidRPr="00847FAE">
        <w:rPr>
          <w:lang w:val="en"/>
        </w:rPr>
        <w:t>a range of treatment options depending on what is most suitable for an offender’s needs</w:t>
      </w:r>
      <w:r w:rsidR="00A74BE5" w:rsidRPr="00847FAE">
        <w:rPr>
          <w:lang w:val="en"/>
        </w:rPr>
        <w:t xml:space="preserve">.  </w:t>
      </w:r>
    </w:p>
    <w:p w14:paraId="6B7CC042" w14:textId="77777777" w:rsidR="009E3B34" w:rsidRPr="00847FAE" w:rsidRDefault="00FB2A7A" w:rsidP="00FB2A7A">
      <w:pPr>
        <w:spacing w:before="240" w:after="240" w:line="300" w:lineRule="exact"/>
      </w:pPr>
      <w:r w:rsidRPr="00847FAE">
        <w:t>During the reporting period amendments to the</w:t>
      </w:r>
      <w:r w:rsidRPr="00847FAE">
        <w:rPr>
          <w:i/>
        </w:rPr>
        <w:t xml:space="preserve"> Sentencing Act </w:t>
      </w:r>
      <w:r w:rsidRPr="00847FAE">
        <w:t xml:space="preserve">1997 resulted in the Supreme Court being able to make drug treatment orders.  The supervision of Supreme Court drug treatment orders is carried out by the Magistrates Court, which also supervises orders made by magistrates.   During the reporting period the Supreme Court made 11 drug treatment orders as the principal sentence.  </w:t>
      </w:r>
    </w:p>
    <w:p w14:paraId="2506318B" w14:textId="46E9A96D" w:rsidR="00BE2C7B" w:rsidRPr="00847FAE" w:rsidRDefault="00FB2A7A" w:rsidP="00A96A06">
      <w:pPr>
        <w:spacing w:before="240" w:after="240" w:line="300" w:lineRule="exact"/>
      </w:pPr>
      <w:r w:rsidRPr="00847FAE">
        <w:t xml:space="preserve">The Magistrates Court’s supervision of drug treatment orders is very intensive.   It commences with weekly review appearances, which usually reduce in frequency over time until the order, </w:t>
      </w:r>
      <w:r w:rsidRPr="00847FAE">
        <w:lastRenderedPageBreak/>
        <w:t xml:space="preserve">which may last for </w:t>
      </w:r>
      <w:r w:rsidR="00905E3E">
        <w:t>two</w:t>
      </w:r>
      <w:r w:rsidR="00905E3E" w:rsidRPr="00847FAE">
        <w:t xml:space="preserve"> </w:t>
      </w:r>
      <w:r w:rsidRPr="00847FAE">
        <w:t>years, is completed.</w:t>
      </w:r>
      <w:r w:rsidR="009E3B34" w:rsidRPr="00847FAE">
        <w:t xml:space="preserve">  </w:t>
      </w:r>
      <w:r w:rsidR="00A74BE5" w:rsidRPr="00847FAE">
        <w:rPr>
          <w:lang w:val="en"/>
        </w:rPr>
        <w:t xml:space="preserve">The </w:t>
      </w:r>
      <w:r w:rsidR="009E3B34" w:rsidRPr="00847FAE">
        <w:rPr>
          <w:lang w:val="en"/>
        </w:rPr>
        <w:t xml:space="preserve">CMD </w:t>
      </w:r>
      <w:r w:rsidR="00A74BE5" w:rsidRPr="00847FAE">
        <w:rPr>
          <w:lang w:val="en"/>
        </w:rPr>
        <w:t>program</w:t>
      </w:r>
      <w:r w:rsidR="00E11EA1" w:rsidRPr="00847FAE">
        <w:rPr>
          <w:lang w:val="en"/>
        </w:rPr>
        <w:t xml:space="preserve"> may include some or all of the following:</w:t>
      </w:r>
    </w:p>
    <w:p w14:paraId="79A763CE" w14:textId="77777777" w:rsidR="00E11EA1" w:rsidRPr="00847FAE" w:rsidRDefault="00E11EA1" w:rsidP="008E24A6">
      <w:pPr>
        <w:numPr>
          <w:ilvl w:val="0"/>
          <w:numId w:val="15"/>
        </w:numPr>
        <w:rPr>
          <w:lang w:val="en"/>
        </w:rPr>
      </w:pPr>
      <w:r w:rsidRPr="00847FAE">
        <w:rPr>
          <w:lang w:val="en"/>
        </w:rPr>
        <w:t>Individual</w:t>
      </w:r>
      <w:r w:rsidRPr="00847FAE">
        <w:t xml:space="preserve"> counselling;</w:t>
      </w:r>
    </w:p>
    <w:p w14:paraId="25ACCC86" w14:textId="77777777" w:rsidR="00E11EA1" w:rsidRPr="00847FAE" w:rsidRDefault="00E11EA1" w:rsidP="008E24A6">
      <w:pPr>
        <w:numPr>
          <w:ilvl w:val="0"/>
          <w:numId w:val="15"/>
        </w:numPr>
        <w:rPr>
          <w:lang w:val="en"/>
        </w:rPr>
      </w:pPr>
      <w:r w:rsidRPr="00847FAE">
        <w:rPr>
          <w:lang w:val="en"/>
        </w:rPr>
        <w:t>Group</w:t>
      </w:r>
      <w:r w:rsidRPr="00847FAE">
        <w:t xml:space="preserve"> counselling;</w:t>
      </w:r>
    </w:p>
    <w:p w14:paraId="712EFFBA" w14:textId="77777777" w:rsidR="00E11EA1" w:rsidRPr="00847FAE" w:rsidRDefault="00E11EA1" w:rsidP="008E24A6">
      <w:pPr>
        <w:numPr>
          <w:ilvl w:val="0"/>
          <w:numId w:val="15"/>
        </w:numPr>
        <w:rPr>
          <w:lang w:val="en"/>
        </w:rPr>
      </w:pPr>
      <w:r w:rsidRPr="00847FAE">
        <w:rPr>
          <w:lang w:val="en"/>
        </w:rPr>
        <w:t>Random illicit drug testing;</w:t>
      </w:r>
    </w:p>
    <w:p w14:paraId="3315749D" w14:textId="77777777" w:rsidR="00E11EA1" w:rsidRPr="00847FAE" w:rsidRDefault="00E11EA1" w:rsidP="008E24A6">
      <w:pPr>
        <w:numPr>
          <w:ilvl w:val="0"/>
          <w:numId w:val="15"/>
        </w:numPr>
        <w:rPr>
          <w:lang w:val="en"/>
        </w:rPr>
      </w:pPr>
      <w:r w:rsidRPr="00847FAE">
        <w:rPr>
          <w:lang w:val="en"/>
        </w:rPr>
        <w:t>Residential rehabilitation;</w:t>
      </w:r>
    </w:p>
    <w:p w14:paraId="59277031" w14:textId="77777777" w:rsidR="00E11EA1" w:rsidRPr="00847FAE" w:rsidRDefault="00E11EA1" w:rsidP="008E24A6">
      <w:pPr>
        <w:numPr>
          <w:ilvl w:val="0"/>
          <w:numId w:val="15"/>
        </w:numPr>
        <w:rPr>
          <w:lang w:val="en"/>
        </w:rPr>
      </w:pPr>
      <w:r w:rsidRPr="00847FAE">
        <w:rPr>
          <w:lang w:val="en"/>
        </w:rPr>
        <w:t>Case management;</w:t>
      </w:r>
    </w:p>
    <w:p w14:paraId="5907FABD" w14:textId="77777777" w:rsidR="00E11EA1" w:rsidRPr="00847FAE" w:rsidRDefault="00E11EA1" w:rsidP="008E24A6">
      <w:pPr>
        <w:numPr>
          <w:ilvl w:val="0"/>
          <w:numId w:val="15"/>
        </w:numPr>
        <w:rPr>
          <w:lang w:val="en"/>
        </w:rPr>
      </w:pPr>
      <w:r w:rsidRPr="00847FAE">
        <w:rPr>
          <w:lang w:val="en"/>
        </w:rPr>
        <w:t>Detoxification (via the State Alcohol and Drug Service).</w:t>
      </w:r>
    </w:p>
    <w:p w14:paraId="222B16EE" w14:textId="6505F4A8" w:rsidR="00BE2C7B" w:rsidRPr="00847FAE" w:rsidRDefault="00BE2C7B" w:rsidP="00A96A06">
      <w:pPr>
        <w:spacing w:before="240" w:after="240" w:line="300" w:lineRule="exact"/>
      </w:pPr>
      <w:r w:rsidRPr="00847FAE">
        <w:t>C</w:t>
      </w:r>
      <w:r w:rsidR="00E11EA1" w:rsidRPr="00847FAE">
        <w:t>MD has been successful in diverting a large group of offenders away from prison into community-based treatment and has had some positive impacts on delaying relapse or a return to crime.</w:t>
      </w:r>
    </w:p>
    <w:p w14:paraId="6A1B5C02" w14:textId="407A1716" w:rsidR="00E11EA1" w:rsidRPr="00847FAE" w:rsidRDefault="00E11EA1" w:rsidP="00E5311F">
      <w:pPr>
        <w:pStyle w:val="Heading2"/>
      </w:pPr>
      <w:bookmarkStart w:id="182" w:name="_Toc311717614"/>
      <w:bookmarkStart w:id="183" w:name="_Toc529270649"/>
      <w:bookmarkStart w:id="184" w:name="_Toc529270857"/>
      <w:bookmarkStart w:id="185" w:name="_Toc529272550"/>
      <w:bookmarkStart w:id="186" w:name="_Toc529272625"/>
      <w:bookmarkStart w:id="187" w:name="_Toc1041144"/>
      <w:r w:rsidRPr="00847FAE">
        <w:t>Diversion List</w:t>
      </w:r>
      <w:bookmarkEnd w:id="182"/>
      <w:bookmarkEnd w:id="183"/>
      <w:bookmarkEnd w:id="184"/>
      <w:bookmarkEnd w:id="185"/>
      <w:bookmarkEnd w:id="186"/>
      <w:bookmarkEnd w:id="187"/>
    </w:p>
    <w:p w14:paraId="36A5B7BB" w14:textId="5EE9397A" w:rsidR="00BE2C7B" w:rsidRPr="00847FAE" w:rsidRDefault="00E11EA1" w:rsidP="00F314B1">
      <w:pPr>
        <w:pStyle w:val="NormalNew"/>
        <w:keepLines w:val="0"/>
      </w:pPr>
      <w:r w:rsidRPr="00847FAE">
        <w:t>Another key offender diversion program operated in the Court is the Diversion List (DL)</w:t>
      </w:r>
      <w:r w:rsidR="001069A1" w:rsidRPr="00847FAE">
        <w:t xml:space="preserve">.  </w:t>
      </w:r>
      <w:r w:rsidRPr="00847FAE">
        <w:t xml:space="preserve"> </w:t>
      </w:r>
      <w:r w:rsidR="007403FA" w:rsidRPr="00847FAE">
        <w:t xml:space="preserve">The DL began </w:t>
      </w:r>
      <w:r w:rsidRPr="00847FAE">
        <w:t>in Hobart and has now become a permanent feature of Court operations</w:t>
      </w:r>
      <w:r w:rsidR="00BE2C7B" w:rsidRPr="00847FAE">
        <w:t xml:space="preserve"> in all registry locations</w:t>
      </w:r>
      <w:r w:rsidR="001069A1" w:rsidRPr="00847FAE">
        <w:t xml:space="preserve">.  </w:t>
      </w:r>
      <w:r w:rsidRPr="00847FAE">
        <w:t xml:space="preserve"> </w:t>
      </w:r>
      <w:r w:rsidR="00BE2C7B" w:rsidRPr="00847FAE">
        <w:t>At p</w:t>
      </w:r>
      <w:r w:rsidRPr="00847FAE">
        <w:t xml:space="preserve">resent, the </w:t>
      </w:r>
      <w:r w:rsidR="00BE2C7B" w:rsidRPr="00847FAE">
        <w:t>D</w:t>
      </w:r>
      <w:r w:rsidRPr="00847FAE">
        <w:t xml:space="preserve">L sits </w:t>
      </w:r>
      <w:r w:rsidR="007403FA" w:rsidRPr="00847FAE">
        <w:t xml:space="preserve">twice </w:t>
      </w:r>
      <w:r w:rsidRPr="00847FAE">
        <w:t xml:space="preserve">a month in Hobart and </w:t>
      </w:r>
      <w:r w:rsidR="00FE6182" w:rsidRPr="00847FAE">
        <w:t>once</w:t>
      </w:r>
      <w:r w:rsidRPr="00847FAE">
        <w:t xml:space="preserve"> a month in Launceston, Burnie and Devonport, and is presided over by specialist </w:t>
      </w:r>
      <w:r w:rsidR="00694505" w:rsidRPr="00847FAE">
        <w:t>m</w:t>
      </w:r>
      <w:r w:rsidRPr="00847FAE">
        <w:t>agistrates (who also preside over general lists)</w:t>
      </w:r>
      <w:r w:rsidR="001069A1" w:rsidRPr="00847FAE">
        <w:t xml:space="preserve">.  </w:t>
      </w:r>
      <w:r w:rsidRPr="00847FAE">
        <w:t xml:space="preserve"> </w:t>
      </w:r>
      <w:r w:rsidR="00544E0F" w:rsidRPr="00847FAE">
        <w:t xml:space="preserve">The </w:t>
      </w:r>
      <w:r w:rsidRPr="00847FAE">
        <w:t xml:space="preserve">Hobart Diversion List </w:t>
      </w:r>
      <w:r w:rsidR="00544E0F" w:rsidRPr="00847FAE">
        <w:t xml:space="preserve">also </w:t>
      </w:r>
      <w:r w:rsidRPr="00847FAE">
        <w:t>include</w:t>
      </w:r>
      <w:r w:rsidR="00544E0F" w:rsidRPr="00847FAE">
        <w:t>s</w:t>
      </w:r>
      <w:r w:rsidRPr="00847FAE">
        <w:t xml:space="preserve"> persons with acquired brain injuries or cognitive disabilities who commit summary offences.</w:t>
      </w:r>
    </w:p>
    <w:p w14:paraId="0E865635" w14:textId="7704BD6A" w:rsidR="00E11EA1" w:rsidRPr="00847FAE" w:rsidRDefault="00BE2C7B" w:rsidP="00F314B1">
      <w:pPr>
        <w:pStyle w:val="NormalNew"/>
        <w:keepLines w:val="0"/>
      </w:pPr>
      <w:r w:rsidRPr="00847FAE">
        <w:t>The DL is a “problem solving court”</w:t>
      </w:r>
      <w:r w:rsidR="00E11EA1" w:rsidRPr="00847FAE">
        <w:t xml:space="preserve"> program that diverts eligible defendants to mental health disability and other welfare services to address the underlying issues of their criminal behaviour</w:t>
      </w:r>
      <w:r w:rsidR="001069A1" w:rsidRPr="00847FAE">
        <w:t xml:space="preserve">.  </w:t>
      </w:r>
      <w:r w:rsidR="00E11EA1" w:rsidRPr="00847FAE">
        <w:t xml:space="preserve"> Using provisions within the </w:t>
      </w:r>
      <w:r w:rsidR="00E11EA1" w:rsidRPr="00847FAE">
        <w:rPr>
          <w:i/>
        </w:rPr>
        <w:t xml:space="preserve">Bail Act </w:t>
      </w:r>
      <w:r w:rsidR="00E11EA1" w:rsidRPr="00847FAE">
        <w:t xml:space="preserve">1994 and the </w:t>
      </w:r>
      <w:r w:rsidR="00E11EA1" w:rsidRPr="00847FAE">
        <w:rPr>
          <w:i/>
        </w:rPr>
        <w:t xml:space="preserve">Sentencing Act </w:t>
      </w:r>
      <w:r w:rsidRPr="00847FAE">
        <w:t xml:space="preserve">1997, the </w:t>
      </w:r>
      <w:r w:rsidR="00E11EA1" w:rsidRPr="00847FAE">
        <w:t>DL seeks to provide an alternative to traditional criminal sanctions where mental illness is causative of the offending behaviour</w:t>
      </w:r>
      <w:r w:rsidR="001069A1" w:rsidRPr="00847FAE">
        <w:t>.</w:t>
      </w:r>
      <w:r w:rsidR="00E11EA1" w:rsidRPr="00847FAE">
        <w:t xml:space="preserve"> </w:t>
      </w:r>
    </w:p>
    <w:p w14:paraId="52A5D77D" w14:textId="77777777" w:rsidR="00E11EA1" w:rsidRPr="00847FAE" w:rsidRDefault="00E11EA1" w:rsidP="00E5311F">
      <w:pPr>
        <w:pStyle w:val="Heading2"/>
        <w:rPr>
          <w:sz w:val="48"/>
          <w:szCs w:val="32"/>
        </w:rPr>
      </w:pPr>
      <w:bookmarkStart w:id="188" w:name="_Toc311717615"/>
      <w:bookmarkStart w:id="189" w:name="_Toc529270650"/>
      <w:bookmarkStart w:id="190" w:name="_Toc529270858"/>
      <w:bookmarkStart w:id="191" w:name="_Toc529272551"/>
      <w:bookmarkStart w:id="192" w:name="_Toc529272626"/>
      <w:bookmarkStart w:id="193" w:name="_Toc1041145"/>
      <w:r w:rsidRPr="00847FAE">
        <w:t xml:space="preserve">Family </w:t>
      </w:r>
      <w:r w:rsidRPr="00905E3E">
        <w:t>Violence</w:t>
      </w:r>
      <w:r w:rsidRPr="00847FAE">
        <w:t xml:space="preserve"> Lists</w:t>
      </w:r>
      <w:bookmarkEnd w:id="188"/>
      <w:bookmarkEnd w:id="189"/>
      <w:bookmarkEnd w:id="190"/>
      <w:bookmarkEnd w:id="191"/>
      <w:bookmarkEnd w:id="192"/>
      <w:bookmarkEnd w:id="193"/>
    </w:p>
    <w:p w14:paraId="3F48C501" w14:textId="490D9849" w:rsidR="00E11EA1" w:rsidRPr="00847FAE" w:rsidRDefault="00E11EA1" w:rsidP="00F314B1">
      <w:pPr>
        <w:spacing w:before="240" w:after="240" w:line="300" w:lineRule="exact"/>
        <w:rPr>
          <w:lang w:val="en-GB"/>
        </w:rPr>
      </w:pPr>
      <w:r w:rsidRPr="00847FAE">
        <w:rPr>
          <w:lang w:val="en-GB"/>
        </w:rPr>
        <w:t xml:space="preserve">Upon the commencement of the </w:t>
      </w:r>
      <w:r w:rsidRPr="00847FAE">
        <w:rPr>
          <w:i/>
          <w:lang w:val="en-GB"/>
        </w:rPr>
        <w:t xml:space="preserve">Family Violence Act </w:t>
      </w:r>
      <w:r w:rsidRPr="00847FAE">
        <w:rPr>
          <w:lang w:val="en-GB"/>
        </w:rPr>
        <w:t>2004</w:t>
      </w:r>
      <w:r w:rsidRPr="00847FAE">
        <w:rPr>
          <w:i/>
          <w:lang w:val="en-GB"/>
        </w:rPr>
        <w:t xml:space="preserve">, </w:t>
      </w:r>
      <w:r w:rsidRPr="00847FAE">
        <w:rPr>
          <w:lang w:val="en-GB"/>
        </w:rPr>
        <w:t xml:space="preserve">the Court </w:t>
      </w:r>
      <w:r w:rsidR="00942591" w:rsidRPr="00847FAE">
        <w:rPr>
          <w:lang w:val="en-GB"/>
        </w:rPr>
        <w:t xml:space="preserve">has been </w:t>
      </w:r>
      <w:r w:rsidRPr="00847FAE">
        <w:rPr>
          <w:lang w:val="en-GB"/>
        </w:rPr>
        <w:t>listing separate court sessions for family violence matters to improve its response</w:t>
      </w:r>
      <w:r w:rsidR="00CB1E32" w:rsidRPr="00847FAE">
        <w:rPr>
          <w:lang w:val="en-GB"/>
        </w:rPr>
        <w:t>s</w:t>
      </w:r>
      <w:r w:rsidRPr="00847FAE">
        <w:rPr>
          <w:lang w:val="en-GB"/>
        </w:rPr>
        <w:t xml:space="preserve"> and co-ordination with support agencies</w:t>
      </w:r>
      <w:r w:rsidR="00942591" w:rsidRPr="00847FAE">
        <w:rPr>
          <w:lang w:val="en-GB"/>
        </w:rPr>
        <w:t xml:space="preserve"> including specialist police prosecutors, safe </w:t>
      </w:r>
      <w:r w:rsidR="00CB1E32" w:rsidRPr="00847FAE">
        <w:rPr>
          <w:lang w:val="en-GB"/>
        </w:rPr>
        <w:t>families co-ordination unit</w:t>
      </w:r>
      <w:r w:rsidR="00942591" w:rsidRPr="00847FAE">
        <w:rPr>
          <w:lang w:val="en-GB"/>
        </w:rPr>
        <w:t xml:space="preserve">, </w:t>
      </w:r>
      <w:r w:rsidR="00E27EC1" w:rsidRPr="00847FAE">
        <w:rPr>
          <w:lang w:val="en-GB"/>
        </w:rPr>
        <w:t>legal aid</w:t>
      </w:r>
      <w:r w:rsidR="00694505" w:rsidRPr="00847FAE">
        <w:rPr>
          <w:lang w:val="en-GB"/>
        </w:rPr>
        <w:t>,</w:t>
      </w:r>
      <w:r w:rsidR="00CB1E32" w:rsidRPr="00847FAE">
        <w:rPr>
          <w:lang w:val="en-GB"/>
        </w:rPr>
        <w:t xml:space="preserve"> and court support and liaison services</w:t>
      </w:r>
      <w:r w:rsidR="001069A1" w:rsidRPr="00847FAE">
        <w:rPr>
          <w:lang w:val="en-GB"/>
        </w:rPr>
        <w:t>.</w:t>
      </w:r>
      <w:r w:rsidRPr="00847FAE">
        <w:rPr>
          <w:lang w:val="en-GB"/>
        </w:rPr>
        <w:t xml:space="preserve"> </w:t>
      </w:r>
    </w:p>
    <w:p w14:paraId="65BA9519" w14:textId="77777777" w:rsidR="00E11EA1" w:rsidRPr="00847FAE" w:rsidRDefault="00E11EA1" w:rsidP="00E5311F">
      <w:pPr>
        <w:pStyle w:val="Heading2"/>
      </w:pPr>
      <w:bookmarkStart w:id="194" w:name="_Toc529270651"/>
      <w:bookmarkStart w:id="195" w:name="_Toc529270859"/>
      <w:bookmarkStart w:id="196" w:name="_Toc529272552"/>
      <w:bookmarkStart w:id="197" w:name="_Toc529272627"/>
      <w:bookmarkStart w:id="198" w:name="_Toc1041146"/>
      <w:r w:rsidRPr="00847FAE">
        <w:t>Contest Mention System</w:t>
      </w:r>
      <w:bookmarkEnd w:id="194"/>
      <w:bookmarkEnd w:id="195"/>
      <w:bookmarkEnd w:id="196"/>
      <w:bookmarkEnd w:id="197"/>
      <w:bookmarkEnd w:id="198"/>
    </w:p>
    <w:p w14:paraId="41F6C2D6" w14:textId="7BCA6F55" w:rsidR="00563EAD" w:rsidRPr="00847FAE" w:rsidRDefault="00CB1E32" w:rsidP="00F314B1">
      <w:pPr>
        <w:pStyle w:val="NormalNew"/>
        <w:keepLines w:val="0"/>
      </w:pPr>
      <w:r w:rsidRPr="00847FAE">
        <w:t xml:space="preserve">The contest mention mechanism </w:t>
      </w:r>
      <w:r w:rsidR="0015690A" w:rsidRPr="00847FAE">
        <w:t xml:space="preserve">is </w:t>
      </w:r>
      <w:r w:rsidRPr="00847FAE">
        <w:t>a process which enables a defendant</w:t>
      </w:r>
      <w:r w:rsidR="00A74BE5" w:rsidRPr="00847FAE">
        <w:t xml:space="preserve"> who intends </w:t>
      </w:r>
      <w:r w:rsidRPr="00847FAE">
        <w:t>to plead guilty to an offence heard in the Magistrates Court, to do so at the earliest possible stage of the pre-trial proceedings</w:t>
      </w:r>
      <w:r w:rsidR="001069A1" w:rsidRPr="00847FAE">
        <w:t xml:space="preserve">.  </w:t>
      </w:r>
      <w:r w:rsidR="00563EAD" w:rsidRPr="00847FAE">
        <w:t xml:space="preserve"> For matters that are not resolved by a guilty plea at contest mention the process is designed to reduce the number of issues in dispute, which should reduce the hearing time</w:t>
      </w:r>
      <w:r w:rsidR="001069A1" w:rsidRPr="00847FAE">
        <w:t>.</w:t>
      </w:r>
      <w:r w:rsidR="00563EAD" w:rsidRPr="00847FAE">
        <w:t xml:space="preserve"> </w:t>
      </w:r>
    </w:p>
    <w:p w14:paraId="5D9EFC28" w14:textId="43736CD1" w:rsidR="00E11EA1" w:rsidRPr="00847FAE" w:rsidRDefault="00E11EA1" w:rsidP="00E5311F">
      <w:pPr>
        <w:pStyle w:val="Heading2"/>
      </w:pPr>
      <w:bookmarkStart w:id="199" w:name="_Toc311717616"/>
      <w:bookmarkStart w:id="200" w:name="_Toc311718294"/>
      <w:bookmarkStart w:id="201" w:name="_Toc311725659"/>
      <w:bookmarkStart w:id="202" w:name="_Toc529270652"/>
      <w:bookmarkStart w:id="203" w:name="_Toc529270860"/>
      <w:bookmarkStart w:id="204" w:name="_Toc529272553"/>
      <w:bookmarkStart w:id="205" w:name="_Toc529272628"/>
      <w:bookmarkStart w:id="206" w:name="_Toc1041147"/>
      <w:bookmarkStart w:id="207" w:name="_Toc247096992"/>
      <w:bookmarkStart w:id="208" w:name="_Toc277684606"/>
      <w:bookmarkEnd w:id="174"/>
      <w:bookmarkEnd w:id="175"/>
      <w:r w:rsidRPr="00847FAE">
        <w:lastRenderedPageBreak/>
        <w:t>Youth Justice Court</w:t>
      </w:r>
      <w:bookmarkEnd w:id="199"/>
      <w:bookmarkEnd w:id="200"/>
      <w:bookmarkEnd w:id="201"/>
      <w:bookmarkEnd w:id="202"/>
      <w:bookmarkEnd w:id="203"/>
      <w:bookmarkEnd w:id="204"/>
      <w:bookmarkEnd w:id="205"/>
      <w:bookmarkEnd w:id="206"/>
    </w:p>
    <w:p w14:paraId="38B8AB74" w14:textId="6DA7AE48" w:rsidR="00343CBB" w:rsidRPr="00847FAE" w:rsidRDefault="00343CBB" w:rsidP="00F314B1">
      <w:pPr>
        <w:pStyle w:val="NormalNew"/>
        <w:keepLines w:val="0"/>
      </w:pPr>
      <w:bookmarkStart w:id="209" w:name="_Toc311717618"/>
      <w:bookmarkStart w:id="210" w:name="_Toc311718296"/>
      <w:bookmarkStart w:id="211" w:name="_Toc311725661"/>
      <w:bookmarkStart w:id="212" w:name="_Toc247096993"/>
      <w:bookmarkStart w:id="213" w:name="_Toc277684607"/>
      <w:bookmarkEnd w:id="207"/>
      <w:bookmarkEnd w:id="208"/>
      <w:r w:rsidRPr="00847FAE">
        <w:t>The Youth Justice Court continues to operate as a specialised court statewide.  A dedicated magistrate in each registry hears all yo</w:t>
      </w:r>
      <w:r w:rsidR="00A74BE5" w:rsidRPr="00847FAE">
        <w:t>uth justice cases in which the C</w:t>
      </w:r>
      <w:r w:rsidRPr="00847FAE">
        <w:t xml:space="preserve">ourt promotes a therapeutic strength-based approach. </w:t>
      </w:r>
    </w:p>
    <w:p w14:paraId="1F965FED" w14:textId="51E89D01" w:rsidR="00343CBB" w:rsidRPr="00847FAE" w:rsidRDefault="00343CBB" w:rsidP="00F314B1">
      <w:pPr>
        <w:pStyle w:val="NormalNew"/>
        <w:keepLines w:val="0"/>
      </w:pPr>
      <w:r w:rsidRPr="00847FAE">
        <w:t xml:space="preserve">Deferred sentencing options under the </w:t>
      </w:r>
      <w:r w:rsidRPr="00847FAE">
        <w:rPr>
          <w:i/>
        </w:rPr>
        <w:t>Youth Justice Act</w:t>
      </w:r>
      <w:r w:rsidRPr="00847FAE">
        <w:t xml:space="preserve"> 1997 continue to provide an opportunity to defer a sentence for some  young people for the purpose of assessing the young person’s capacity and prospects for rehabilitation or participation in an intervention plan, and for the purpose of allowing the young person to demonstrate what rehabilitation has occurred or to allow them to participate in an intervention plan.</w:t>
      </w:r>
    </w:p>
    <w:p w14:paraId="66EAD851" w14:textId="66BB2E44" w:rsidR="00343CBB" w:rsidRPr="00847FAE" w:rsidRDefault="00343CBB" w:rsidP="00F314B1">
      <w:pPr>
        <w:pStyle w:val="NormalNew"/>
        <w:keepLines w:val="0"/>
      </w:pPr>
      <w:r w:rsidRPr="00847FAE">
        <w:t xml:space="preserve">The Youth  Court continues to be supported by and acknowledges the invaluable assistance of Tasmania Police who provide dedicated prosecutors and early intervention officers, and the Director of Legal Aid who provides dedicated legal practitioners. </w:t>
      </w:r>
    </w:p>
    <w:p w14:paraId="5A7997BB" w14:textId="5EC536E6" w:rsidR="00343CBB" w:rsidRPr="00847FAE" w:rsidRDefault="00343CBB" w:rsidP="00F314B1">
      <w:pPr>
        <w:pStyle w:val="NormalNew"/>
        <w:keepLines w:val="0"/>
      </w:pPr>
      <w:r w:rsidRPr="00847FAE">
        <w:t xml:space="preserve">The Court also acknowledges the Education Department who now provide Education Liaison Officers statewide who aim to re-engage young people appearing before the court with education.  This is a vital part of youth court as many of the young people appearing have dis-engaged from education. </w:t>
      </w:r>
    </w:p>
    <w:p w14:paraId="05BEC7E4" w14:textId="0A343097" w:rsidR="00343CBB" w:rsidRPr="00847FAE" w:rsidRDefault="00343CBB" w:rsidP="00F314B1">
      <w:pPr>
        <w:pStyle w:val="NormalNew"/>
        <w:keepLines w:val="0"/>
      </w:pPr>
      <w:r w:rsidRPr="00847FAE">
        <w:t>The Court also acknowledges the commitment of government and non-government bodies who have assisted in building a more integrated team approach which is working towards better outcomes for young offenders.</w:t>
      </w:r>
    </w:p>
    <w:p w14:paraId="11407E5C" w14:textId="650CD79E" w:rsidR="004A60A7" w:rsidRPr="00847FAE" w:rsidRDefault="004A60A7" w:rsidP="00FF5757">
      <w:pPr>
        <w:pStyle w:val="NormalNew"/>
        <w:keepLines w:val="0"/>
      </w:pPr>
    </w:p>
    <w:p w14:paraId="1AF7D51A" w14:textId="77777777" w:rsidR="0047341B" w:rsidRPr="00847FAE" w:rsidRDefault="0047341B">
      <w:pPr>
        <w:rPr>
          <w:rFonts w:cs="Arial"/>
          <w:b/>
          <w:bCs/>
          <w:kern w:val="32"/>
          <w:sz w:val="48"/>
          <w:szCs w:val="32"/>
        </w:rPr>
      </w:pPr>
      <w:r w:rsidRPr="00847FAE">
        <w:br w:type="page"/>
      </w:r>
    </w:p>
    <w:p w14:paraId="723C42AC" w14:textId="5A4B6F40" w:rsidR="00E11EA1" w:rsidRPr="00847FAE" w:rsidRDefault="00E11EA1" w:rsidP="006D6732">
      <w:pPr>
        <w:pStyle w:val="Heading1"/>
      </w:pPr>
      <w:bookmarkStart w:id="214" w:name="_Toc529270653"/>
      <w:bookmarkStart w:id="215" w:name="_Toc529270861"/>
      <w:bookmarkStart w:id="216" w:name="_Toc529272554"/>
      <w:bookmarkStart w:id="217" w:name="_Toc529272629"/>
      <w:bookmarkStart w:id="218" w:name="_Toc1041148"/>
      <w:r w:rsidRPr="00847FAE">
        <w:lastRenderedPageBreak/>
        <w:t>Court User Groups</w:t>
      </w:r>
      <w:bookmarkEnd w:id="209"/>
      <w:bookmarkEnd w:id="210"/>
      <w:bookmarkEnd w:id="211"/>
      <w:bookmarkEnd w:id="214"/>
      <w:bookmarkEnd w:id="215"/>
      <w:bookmarkEnd w:id="216"/>
      <w:bookmarkEnd w:id="217"/>
      <w:bookmarkEnd w:id="218"/>
    </w:p>
    <w:p w14:paraId="0CD6A39E" w14:textId="5B09B15D" w:rsidR="00E11EA1" w:rsidRPr="00847FAE" w:rsidRDefault="00E11EA1" w:rsidP="00CC6B5D">
      <w:pPr>
        <w:pStyle w:val="NormalNew"/>
        <w:keepLines w:val="0"/>
      </w:pPr>
      <w:r w:rsidRPr="00847FAE">
        <w:t xml:space="preserve">The Court has established Court User Groups in each of the </w:t>
      </w:r>
      <w:r w:rsidR="00215F2C" w:rsidRPr="00847FAE">
        <w:t>region – South, North and North-West</w:t>
      </w:r>
      <w:r w:rsidR="001069A1" w:rsidRPr="00847FAE">
        <w:t xml:space="preserve">.  </w:t>
      </w:r>
      <w:r w:rsidRPr="00847FAE">
        <w:t xml:space="preserve">The concept of </w:t>
      </w:r>
      <w:r w:rsidR="0061423F" w:rsidRPr="00847FAE">
        <w:t>Court User Groups</w:t>
      </w:r>
      <w:r w:rsidRPr="00847FAE">
        <w:t xml:space="preserve"> ha</w:t>
      </w:r>
      <w:r w:rsidR="0061423F" w:rsidRPr="00847FAE">
        <w:t>s</w:t>
      </w:r>
      <w:r w:rsidRPr="00847FAE">
        <w:t xml:space="preserve"> support from </w:t>
      </w:r>
      <w:r w:rsidR="007842D3" w:rsidRPr="00847FAE">
        <w:t>m</w:t>
      </w:r>
      <w:r w:rsidRPr="00847FAE">
        <w:t xml:space="preserve">agistrates </w:t>
      </w:r>
      <w:r w:rsidR="0061423F" w:rsidRPr="00847FAE">
        <w:t xml:space="preserve">as a means </w:t>
      </w:r>
      <w:r w:rsidRPr="00847FAE">
        <w:t xml:space="preserve">of strengthening the Court’s consultative processes with a range of court users, including the legal profession and </w:t>
      </w:r>
      <w:r w:rsidR="0061423F" w:rsidRPr="00847FAE">
        <w:t>various</w:t>
      </w:r>
      <w:r w:rsidRPr="00847FAE">
        <w:t xml:space="preserve"> court support agencies</w:t>
      </w:r>
      <w:r w:rsidR="001069A1" w:rsidRPr="00847FAE">
        <w:t xml:space="preserve">.  </w:t>
      </w:r>
    </w:p>
    <w:p w14:paraId="214FA3DD" w14:textId="77777777" w:rsidR="00E11EA1" w:rsidRPr="00847FAE" w:rsidRDefault="00E11EA1" w:rsidP="00CC6B5D">
      <w:pPr>
        <w:pStyle w:val="NormalNew"/>
        <w:keepLines w:val="0"/>
      </w:pPr>
      <w:r w:rsidRPr="00847FAE">
        <w:t>The Court User Groups assist with feedback on the operation of the courts and provide useful input which can be included in the Court’s strategic planning processes</w:t>
      </w:r>
      <w:r w:rsidR="001069A1" w:rsidRPr="00847FAE">
        <w:t xml:space="preserve">.  </w:t>
      </w:r>
      <w:r w:rsidRPr="00847FAE">
        <w:t>Regional and relatively informal consultation processes with key stakeholders are also likely to improve the Court’s service delivery, and the status and reputation of the Court within the broader community</w:t>
      </w:r>
      <w:r w:rsidR="001069A1" w:rsidRPr="00847FAE">
        <w:t xml:space="preserve">.  </w:t>
      </w:r>
      <w:r w:rsidRPr="00847FAE">
        <w:t>The establishment of the user groups builds on the Court’s goals of community engagement and continuous improvement</w:t>
      </w:r>
      <w:r w:rsidR="001069A1" w:rsidRPr="00847FAE">
        <w:t xml:space="preserve">.  </w:t>
      </w:r>
      <w:r w:rsidRPr="00847FAE">
        <w:t xml:space="preserve">A wide range of organisations considered major stakeholders of the Court </w:t>
      </w:r>
      <w:r w:rsidR="00084C40" w:rsidRPr="00847FAE">
        <w:t xml:space="preserve">are invited </w:t>
      </w:r>
      <w:r w:rsidRPr="00847FAE">
        <w:t>including the:</w:t>
      </w:r>
    </w:p>
    <w:p w14:paraId="074E295C" w14:textId="77777777" w:rsidR="00563EAD" w:rsidRPr="00847FAE" w:rsidRDefault="00E11EA1" w:rsidP="008E24A6">
      <w:pPr>
        <w:pStyle w:val="NormalNew"/>
        <w:keepLines w:val="0"/>
        <w:numPr>
          <w:ilvl w:val="0"/>
          <w:numId w:val="23"/>
        </w:numPr>
        <w:spacing w:before="0" w:after="0"/>
        <w:ind w:left="714" w:hanging="357"/>
      </w:pPr>
      <w:r w:rsidRPr="00847FAE">
        <w:t>Law Society of Tasmania</w:t>
      </w:r>
    </w:p>
    <w:p w14:paraId="5C955A41" w14:textId="395AC871" w:rsidR="00E11EA1" w:rsidRPr="00847FAE" w:rsidRDefault="00813857" w:rsidP="008E24A6">
      <w:pPr>
        <w:pStyle w:val="NormalNew"/>
        <w:keepLines w:val="0"/>
        <w:numPr>
          <w:ilvl w:val="0"/>
          <w:numId w:val="23"/>
        </w:numPr>
        <w:spacing w:before="0" w:after="0"/>
        <w:ind w:left="714" w:hanging="357"/>
      </w:pPr>
      <w:r w:rsidRPr="00847FAE">
        <w:t xml:space="preserve">Independent </w:t>
      </w:r>
      <w:r w:rsidR="00E11EA1" w:rsidRPr="00847FAE">
        <w:t xml:space="preserve">Bar </w:t>
      </w:r>
    </w:p>
    <w:p w14:paraId="68B4536A" w14:textId="77777777" w:rsidR="00E11EA1" w:rsidRPr="00847FAE" w:rsidRDefault="00E11EA1" w:rsidP="008E24A6">
      <w:pPr>
        <w:pStyle w:val="NormalNew"/>
        <w:keepLines w:val="0"/>
        <w:numPr>
          <w:ilvl w:val="0"/>
          <w:numId w:val="23"/>
        </w:numPr>
        <w:spacing w:before="0" w:after="0"/>
        <w:ind w:left="714" w:hanging="357"/>
      </w:pPr>
      <w:r w:rsidRPr="00847FAE">
        <w:t>Tasmania Police</w:t>
      </w:r>
    </w:p>
    <w:p w14:paraId="68F1079C" w14:textId="77777777" w:rsidR="00E11EA1" w:rsidRPr="00847FAE" w:rsidRDefault="00E11EA1" w:rsidP="008E24A6">
      <w:pPr>
        <w:pStyle w:val="NormalNew"/>
        <w:keepLines w:val="0"/>
        <w:numPr>
          <w:ilvl w:val="0"/>
          <w:numId w:val="23"/>
        </w:numPr>
        <w:spacing w:before="0" w:after="0"/>
        <w:ind w:left="714" w:hanging="357"/>
      </w:pPr>
      <w:r w:rsidRPr="00847FAE">
        <w:t xml:space="preserve">Community Corrections </w:t>
      </w:r>
    </w:p>
    <w:p w14:paraId="01BDE06A" w14:textId="410403E0" w:rsidR="00E11EA1" w:rsidRPr="00847FAE" w:rsidRDefault="00E11EA1" w:rsidP="008E24A6">
      <w:pPr>
        <w:pStyle w:val="NormalNew"/>
        <w:keepLines w:val="0"/>
        <w:numPr>
          <w:ilvl w:val="0"/>
          <w:numId w:val="23"/>
        </w:numPr>
        <w:spacing w:before="0" w:after="0"/>
        <w:ind w:left="714" w:hanging="357"/>
      </w:pPr>
      <w:r w:rsidRPr="00847FAE">
        <w:t>Legal Aid Commission</w:t>
      </w:r>
    </w:p>
    <w:p w14:paraId="521577E0" w14:textId="6F1775E6" w:rsidR="00F50E0C" w:rsidRPr="00847FAE" w:rsidRDefault="00F50E0C" w:rsidP="008E24A6">
      <w:pPr>
        <w:pStyle w:val="NormalNew"/>
        <w:keepLines w:val="0"/>
        <w:numPr>
          <w:ilvl w:val="0"/>
          <w:numId w:val="23"/>
        </w:numPr>
        <w:spacing w:before="0" w:after="0"/>
        <w:ind w:left="714" w:hanging="357"/>
      </w:pPr>
      <w:r w:rsidRPr="00847FAE">
        <w:t>Tasmanian Aboriginal Community Legal Service</w:t>
      </w:r>
    </w:p>
    <w:p w14:paraId="6C56F5D5" w14:textId="77777777" w:rsidR="00E11EA1" w:rsidRPr="00847FAE" w:rsidRDefault="00E11EA1" w:rsidP="008E24A6">
      <w:pPr>
        <w:pStyle w:val="NormalNew"/>
        <w:keepLines w:val="0"/>
        <w:numPr>
          <w:ilvl w:val="0"/>
          <w:numId w:val="23"/>
        </w:numPr>
        <w:spacing w:before="0" w:after="0"/>
        <w:ind w:left="714" w:hanging="357"/>
      </w:pPr>
      <w:r w:rsidRPr="00847FAE">
        <w:t>Victims Support Service</w:t>
      </w:r>
    </w:p>
    <w:p w14:paraId="5F21D67A" w14:textId="77777777" w:rsidR="00E11EA1" w:rsidRPr="00847FAE" w:rsidRDefault="00E11EA1" w:rsidP="008E24A6">
      <w:pPr>
        <w:pStyle w:val="NormalNew"/>
        <w:keepLines w:val="0"/>
        <w:numPr>
          <w:ilvl w:val="0"/>
          <w:numId w:val="23"/>
        </w:numPr>
        <w:spacing w:before="0" w:after="0"/>
        <w:ind w:left="714" w:hanging="357"/>
      </w:pPr>
      <w:r w:rsidRPr="00847FAE">
        <w:t>Child</w:t>
      </w:r>
      <w:r w:rsidR="00F91739" w:rsidRPr="00847FAE">
        <w:t>ren and</w:t>
      </w:r>
      <w:r w:rsidRPr="00847FAE">
        <w:t xml:space="preserve"> Youth (DHHS), incorporating Child Protection Services and Youth Justice Services</w:t>
      </w:r>
    </w:p>
    <w:p w14:paraId="302DFF08" w14:textId="77777777" w:rsidR="00E11EA1" w:rsidRPr="00847FAE" w:rsidRDefault="00E11EA1" w:rsidP="008E24A6">
      <w:pPr>
        <w:pStyle w:val="NormalNew"/>
        <w:keepLines w:val="0"/>
        <w:numPr>
          <w:ilvl w:val="0"/>
          <w:numId w:val="23"/>
        </w:numPr>
        <w:spacing w:before="0" w:after="0"/>
        <w:ind w:left="714" w:hanging="357"/>
      </w:pPr>
      <w:r w:rsidRPr="00847FAE">
        <w:t>Statewide Mental Health Services (DHHS)</w:t>
      </w:r>
    </w:p>
    <w:p w14:paraId="6F9DA148" w14:textId="77777777" w:rsidR="00F91739" w:rsidRPr="00847FAE" w:rsidRDefault="00E11EA1" w:rsidP="008E24A6">
      <w:pPr>
        <w:pStyle w:val="NormalNew"/>
        <w:keepLines w:val="0"/>
        <w:numPr>
          <w:ilvl w:val="0"/>
          <w:numId w:val="23"/>
        </w:numPr>
        <w:spacing w:before="0" w:after="0"/>
        <w:ind w:left="714" w:hanging="357"/>
      </w:pPr>
      <w:r w:rsidRPr="00847FAE">
        <w:t>Community Legal Centres</w:t>
      </w:r>
    </w:p>
    <w:p w14:paraId="0D413D06" w14:textId="77777777" w:rsidR="00563EAD" w:rsidRPr="00847FAE" w:rsidRDefault="00563EAD" w:rsidP="008E24A6">
      <w:pPr>
        <w:pStyle w:val="NormalNew"/>
        <w:keepLines w:val="0"/>
        <w:numPr>
          <w:ilvl w:val="0"/>
          <w:numId w:val="23"/>
        </w:numPr>
        <w:spacing w:before="0" w:after="0"/>
        <w:ind w:left="714" w:hanging="357"/>
      </w:pPr>
      <w:r w:rsidRPr="00847FAE">
        <w:t>Tasmanian Law Reform Institute</w:t>
      </w:r>
    </w:p>
    <w:p w14:paraId="6C1B5517" w14:textId="00D2F048" w:rsidR="0047341B" w:rsidRPr="00847FAE" w:rsidRDefault="0047341B">
      <w:pPr>
        <w:rPr>
          <w:rFonts w:cs="Arial"/>
          <w:b/>
          <w:bCs/>
          <w:kern w:val="32"/>
          <w:sz w:val="48"/>
          <w:szCs w:val="32"/>
        </w:rPr>
      </w:pPr>
      <w:bookmarkStart w:id="219" w:name="_Toc247096996"/>
      <w:bookmarkStart w:id="220" w:name="_Toc277684610"/>
      <w:bookmarkStart w:id="221" w:name="_Toc311717621"/>
      <w:bookmarkStart w:id="222" w:name="_Toc311718299"/>
      <w:bookmarkStart w:id="223" w:name="_Toc311725664"/>
      <w:bookmarkEnd w:id="212"/>
      <w:bookmarkEnd w:id="213"/>
      <w:r w:rsidRPr="00847FAE">
        <w:br w:type="page"/>
      </w:r>
    </w:p>
    <w:p w14:paraId="07764B12" w14:textId="6AD58A57" w:rsidR="00E11EA1" w:rsidRPr="00847FAE" w:rsidRDefault="00E11EA1" w:rsidP="006D6732">
      <w:pPr>
        <w:pStyle w:val="Heading1"/>
      </w:pPr>
      <w:bookmarkStart w:id="224" w:name="_Toc529270654"/>
      <w:bookmarkStart w:id="225" w:name="_Toc529270862"/>
      <w:bookmarkStart w:id="226" w:name="_Toc529272555"/>
      <w:bookmarkStart w:id="227" w:name="_Toc529272630"/>
      <w:bookmarkStart w:id="228" w:name="_Toc1041149"/>
      <w:r w:rsidRPr="00847FAE">
        <w:lastRenderedPageBreak/>
        <w:t>I</w:t>
      </w:r>
      <w:r w:rsidR="00813857" w:rsidRPr="00847FAE">
        <w:t xml:space="preserve">nformation </w:t>
      </w:r>
      <w:r w:rsidRPr="00847FAE">
        <w:t>Technology</w:t>
      </w:r>
      <w:bookmarkEnd w:id="224"/>
      <w:bookmarkEnd w:id="225"/>
      <w:bookmarkEnd w:id="226"/>
      <w:bookmarkEnd w:id="227"/>
      <w:bookmarkEnd w:id="228"/>
      <w:r w:rsidRPr="00847FAE">
        <w:t xml:space="preserve"> </w:t>
      </w:r>
      <w:bookmarkEnd w:id="219"/>
      <w:bookmarkEnd w:id="220"/>
      <w:bookmarkEnd w:id="221"/>
      <w:bookmarkEnd w:id="222"/>
      <w:bookmarkEnd w:id="223"/>
    </w:p>
    <w:p w14:paraId="06CBA4CC" w14:textId="2080F5DE" w:rsidR="00C024CC" w:rsidRPr="00847FAE" w:rsidRDefault="00C024CC" w:rsidP="00E5311F">
      <w:pPr>
        <w:pStyle w:val="Heading2"/>
      </w:pPr>
      <w:bookmarkStart w:id="229" w:name="_Toc529270655"/>
      <w:bookmarkStart w:id="230" w:name="_Toc529270863"/>
      <w:bookmarkStart w:id="231" w:name="_Toc529272556"/>
      <w:bookmarkStart w:id="232" w:name="_Toc529272631"/>
      <w:bookmarkStart w:id="233" w:name="_Toc1041150"/>
      <w:r w:rsidRPr="00847FAE">
        <w:t>Justice Connect</w:t>
      </w:r>
      <w:bookmarkEnd w:id="229"/>
      <w:bookmarkEnd w:id="230"/>
      <w:bookmarkEnd w:id="231"/>
      <w:bookmarkEnd w:id="232"/>
      <w:bookmarkEnd w:id="233"/>
    </w:p>
    <w:p w14:paraId="6CF4BF42" w14:textId="0BB7A5ED" w:rsidR="00591199" w:rsidRPr="00847FAE" w:rsidRDefault="00591199" w:rsidP="00F314B1">
      <w:pPr>
        <w:pStyle w:val="NormalNew"/>
        <w:keepLines w:val="0"/>
      </w:pPr>
      <w:r w:rsidRPr="00847FAE">
        <w:t>The Magistrates Court relies on a number of IT systems to assist it in its work.  The CRIMES system is used for the Court’s criminal work, the Magistrates Court Case Management System (MCMS) for civil work, and Monash University National Centre for Coronial Information (MUNCCI) and National Coronial Information System (NCIS) for coronial work.</w:t>
      </w:r>
    </w:p>
    <w:p w14:paraId="751F1A50" w14:textId="0FA8D7A8" w:rsidR="00591199" w:rsidRPr="00847FAE" w:rsidRDefault="00591199" w:rsidP="00F314B1">
      <w:pPr>
        <w:pStyle w:val="NormalNew"/>
        <w:keepLines w:val="0"/>
      </w:pPr>
      <w:r w:rsidRPr="00847FAE">
        <w:t xml:space="preserve">All of these systems are aged and due for replacement, as are many other IT systems in use in the Department of Justice.  In recognition of the need for modern systems the Justice Connect program will </w:t>
      </w:r>
      <w:r w:rsidR="00364A80" w:rsidRPr="00847FAE">
        <w:t>replace these outdated technologies with a contemporary architecture and platform.  The aim is to connect the Magistrates Court with other parts of the justice system so that accur</w:t>
      </w:r>
      <w:r w:rsidR="00F314B1">
        <w:t>a</w:t>
      </w:r>
      <w:r w:rsidR="00364A80" w:rsidRPr="00847FAE">
        <w:t xml:space="preserve">te, relevant information can be provided in real time without the current reliance on manual, paper-based processes.  The magnitude of the program means that it will occur in stages, with Stage 1 </w:t>
      </w:r>
      <w:r w:rsidR="002914E8" w:rsidRPr="00847FAE">
        <w:t>focusing</w:t>
      </w:r>
      <w:r w:rsidR="00364A80" w:rsidRPr="00847FAE">
        <w:t xml:space="preserve"> on the criminal and corrective services systems, including the replacement of CRIMES.  The program is a very significant piece of work for the Court and is expected to take several years to complete.</w:t>
      </w:r>
    </w:p>
    <w:p w14:paraId="5FC3FDE2" w14:textId="1D9C59F7" w:rsidR="00987259" w:rsidRPr="00847FAE" w:rsidRDefault="00987259" w:rsidP="00E5311F">
      <w:pPr>
        <w:pStyle w:val="Heading2"/>
      </w:pPr>
      <w:bookmarkStart w:id="234" w:name="_Toc529270656"/>
      <w:bookmarkStart w:id="235" w:name="_Toc529270864"/>
      <w:bookmarkStart w:id="236" w:name="_Toc529272557"/>
      <w:bookmarkStart w:id="237" w:name="_Toc529272632"/>
      <w:bookmarkStart w:id="238" w:name="_Toc1041151"/>
      <w:r w:rsidRPr="00847FAE">
        <w:t>Video Conferencing</w:t>
      </w:r>
      <w:bookmarkEnd w:id="234"/>
      <w:bookmarkEnd w:id="235"/>
      <w:bookmarkEnd w:id="236"/>
      <w:bookmarkEnd w:id="237"/>
      <w:bookmarkEnd w:id="238"/>
    </w:p>
    <w:p w14:paraId="602AAE4E" w14:textId="4FB34C94" w:rsidR="00E11EA1" w:rsidRPr="00847FAE" w:rsidRDefault="00E11EA1" w:rsidP="00F314B1">
      <w:pPr>
        <w:pStyle w:val="NormalNew"/>
        <w:keepLines w:val="0"/>
      </w:pPr>
      <w:r w:rsidRPr="00847FAE">
        <w:t xml:space="preserve">The Court’s video-conference facilities increase the community’s access to justice </w:t>
      </w:r>
      <w:r w:rsidR="00987259" w:rsidRPr="00847FAE">
        <w:t xml:space="preserve">by permitting </w:t>
      </w:r>
      <w:r w:rsidRPr="00847FAE">
        <w:t>witnesses and defendants in custody to attend court by video link from any location in Tasmania, interstate or overseas</w:t>
      </w:r>
      <w:r w:rsidR="001069A1" w:rsidRPr="00847FAE">
        <w:t xml:space="preserve">.  </w:t>
      </w:r>
      <w:r w:rsidRPr="00847FAE">
        <w:t xml:space="preserve">Video-conferencing substantially reduces the cost of adducing evidence from witnesses </w:t>
      </w:r>
      <w:r w:rsidR="00987259" w:rsidRPr="00847FAE">
        <w:t>who would otherwise have to travel</w:t>
      </w:r>
      <w:r w:rsidR="001069A1" w:rsidRPr="00847FAE">
        <w:t xml:space="preserve">.  </w:t>
      </w:r>
      <w:r w:rsidR="00641C8A" w:rsidRPr="00847FAE">
        <w:t xml:space="preserve">It can also reduce the number of trips a person in custody is required to make from Hobart to appear in a court in another location in the North or North-West, significantly reducing the cost, inconvenience and risk associated with such transports.  </w:t>
      </w:r>
      <w:r w:rsidRPr="00847FAE">
        <w:t xml:space="preserve">Provision has also been made for vulnerable witnesses to give their evidence remotely from a protected witness room in the court building or elsewhere, and the </w:t>
      </w:r>
      <w:r w:rsidR="00641C8A" w:rsidRPr="00847FAE">
        <w:t>video conferencing</w:t>
      </w:r>
      <w:r w:rsidRPr="00847FAE">
        <w:t xml:space="preserve"> system has been integrated into the Court’s digital audio recording system.</w:t>
      </w:r>
    </w:p>
    <w:p w14:paraId="41E1E366" w14:textId="1BD3012F" w:rsidR="00987259" w:rsidRPr="00847FAE" w:rsidRDefault="00987259" w:rsidP="00F314B1">
      <w:pPr>
        <w:pStyle w:val="NormalNew"/>
        <w:keepLines w:val="0"/>
      </w:pPr>
      <w:r w:rsidRPr="00847FAE">
        <w:t xml:space="preserve">The Court’s existing video conferencing </w:t>
      </w:r>
      <w:r w:rsidR="00284DC9" w:rsidRPr="00847FAE">
        <w:t xml:space="preserve">facilities </w:t>
      </w:r>
      <w:r w:rsidRPr="00847FAE">
        <w:t>are due to be updated.  With the increasing reliance on the presentation of digital evidence, whether in the form of CCTV footage or footage from police body worn cameras</w:t>
      </w:r>
      <w:r w:rsidR="00641C8A" w:rsidRPr="00847FAE">
        <w:t xml:space="preserve"> or even mobile phones</w:t>
      </w:r>
      <w:r w:rsidRPr="00847FAE">
        <w:t xml:space="preserve">, the Court needs to ensure that digital evidence can be presented using modern equipment with high resolution pictures.  During the reporting period the Court replaced some failing video conferencing equipment with new mobile units.  Work is progressing towards obtaining funding for broader scale upgrades </w:t>
      </w:r>
      <w:r w:rsidR="00641C8A" w:rsidRPr="00847FAE">
        <w:t xml:space="preserve">for contemporary video conferencing facilities to be rolled out, with the aim of ensuring that every courtroom is video-enabled.  </w:t>
      </w:r>
    </w:p>
    <w:p w14:paraId="13D1C482" w14:textId="77777777" w:rsidR="004250F6" w:rsidRDefault="004250F6">
      <w:bookmarkStart w:id="239" w:name="_Toc311717627"/>
      <w:bookmarkStart w:id="240" w:name="_Toc311718300"/>
      <w:bookmarkStart w:id="241" w:name="_Toc311725665"/>
      <w:bookmarkStart w:id="242" w:name="_Toc277684615"/>
      <w:r>
        <w:br w:type="page"/>
      </w:r>
    </w:p>
    <w:p w14:paraId="7382E475" w14:textId="404AD481" w:rsidR="004250F6" w:rsidRPr="00847FAE" w:rsidRDefault="004250F6" w:rsidP="006D6732">
      <w:pPr>
        <w:pStyle w:val="Heading1"/>
      </w:pPr>
      <w:bookmarkStart w:id="243" w:name="_Toc529270657"/>
      <w:bookmarkStart w:id="244" w:name="_Toc529270865"/>
      <w:bookmarkStart w:id="245" w:name="_Toc529272558"/>
      <w:bookmarkStart w:id="246" w:name="_Toc529272633"/>
      <w:bookmarkStart w:id="247" w:name="_Toc1041152"/>
      <w:r>
        <w:lastRenderedPageBreak/>
        <w:t>Burnie Court Complex Redevelopment</w:t>
      </w:r>
      <w:bookmarkEnd w:id="243"/>
      <w:bookmarkEnd w:id="244"/>
      <w:bookmarkEnd w:id="245"/>
      <w:bookmarkEnd w:id="246"/>
      <w:bookmarkEnd w:id="247"/>
      <w:r>
        <w:t xml:space="preserve"> </w:t>
      </w:r>
    </w:p>
    <w:p w14:paraId="6AD2262A" w14:textId="5C9108FF" w:rsidR="004250F6" w:rsidRDefault="004250F6" w:rsidP="00552B38">
      <w:pPr>
        <w:spacing w:before="240" w:after="240" w:line="300" w:lineRule="exact"/>
      </w:pPr>
      <w:r w:rsidRPr="00847FAE">
        <w:t xml:space="preserve">The </w:t>
      </w:r>
      <w:r>
        <w:t xml:space="preserve">Burnie Court complex located in Alexander Street, Burnie, is shared by the Supreme Court and the Magistrates </w:t>
      </w:r>
      <w:r w:rsidRPr="00847FAE">
        <w:t>Court</w:t>
      </w:r>
      <w:r>
        <w:t>.</w:t>
      </w:r>
      <w:r w:rsidR="009C532C">
        <w:t xml:space="preserve">  The building is old and no longer fit for purpose.  In recognition of this</w:t>
      </w:r>
      <w:r w:rsidR="00CC7772">
        <w:t>,</w:t>
      </w:r>
      <w:r w:rsidR="009C532C">
        <w:t xml:space="preserve"> in the last State budget the government announced $15 million funding to refurbish the court to improve conditions for staff and services to the public.  Planning for the works </w:t>
      </w:r>
      <w:r w:rsidR="004F1812">
        <w:t xml:space="preserve">began during the reporting period and focused on the </w:t>
      </w:r>
      <w:r w:rsidR="00BF2F4D">
        <w:t xml:space="preserve">preparation of </w:t>
      </w:r>
      <w:r w:rsidR="004F1812">
        <w:t>procurement documentation for the engagement of architectural services, engineering consultants and contractors.  The next stage is to develop a functional design brief which addresses the Court buil</w:t>
      </w:r>
      <w:r w:rsidR="00BF2F4D">
        <w:t xml:space="preserve">ding’s current deficiencies over the </w:t>
      </w:r>
      <w:r w:rsidR="004F1812">
        <w:t>short-to-medium term.</w:t>
      </w:r>
    </w:p>
    <w:p w14:paraId="424A7FC9" w14:textId="5DE90362" w:rsidR="004F1812" w:rsidRDefault="004F1812" w:rsidP="00552B38">
      <w:pPr>
        <w:spacing w:before="240" w:after="240" w:line="300" w:lineRule="exact"/>
      </w:pPr>
      <w:r>
        <w:t>The project is overseen by a steering committee which includes representation from both the Magistrates and Supreme Courts.</w:t>
      </w:r>
    </w:p>
    <w:p w14:paraId="50E362E0" w14:textId="77777777" w:rsidR="00C32F2D" w:rsidRDefault="00C32F2D" w:rsidP="00552B38">
      <w:pPr>
        <w:spacing w:before="240" w:after="240" w:line="300" w:lineRule="exact"/>
        <w:sectPr w:rsidR="00C32F2D" w:rsidSect="00FE5527">
          <w:pgSz w:w="11906" w:h="16838"/>
          <w:pgMar w:top="899" w:right="1800" w:bottom="1440" w:left="1800" w:header="0" w:footer="708" w:gutter="0"/>
          <w:cols w:space="708"/>
          <w:docGrid w:linePitch="360"/>
        </w:sectPr>
      </w:pPr>
    </w:p>
    <w:p w14:paraId="4F33BA5D" w14:textId="5883BC80" w:rsidR="00C32F2D" w:rsidRDefault="00C32F2D" w:rsidP="00552B38">
      <w:pPr>
        <w:spacing w:before="240" w:after="240" w:line="300" w:lineRule="exact"/>
      </w:pPr>
    </w:p>
    <w:p w14:paraId="53306DD2" w14:textId="61A5F403" w:rsidR="00E11EA1" w:rsidRPr="00847FAE" w:rsidRDefault="00E11EA1" w:rsidP="006D6732">
      <w:pPr>
        <w:pStyle w:val="Heading1"/>
      </w:pPr>
      <w:bookmarkStart w:id="248" w:name="_Toc529270658"/>
      <w:bookmarkStart w:id="249" w:name="_Toc529270866"/>
      <w:bookmarkStart w:id="250" w:name="_Toc529272559"/>
      <w:bookmarkStart w:id="251" w:name="_Toc529272634"/>
      <w:bookmarkStart w:id="252" w:name="_Toc1041153"/>
      <w:r w:rsidRPr="00847FAE">
        <w:t>Legal Education Initiatives</w:t>
      </w:r>
      <w:bookmarkEnd w:id="239"/>
      <w:bookmarkEnd w:id="240"/>
      <w:bookmarkEnd w:id="241"/>
      <w:r w:rsidR="009C532C">
        <w:t xml:space="preserve"> and Community Involvement</w:t>
      </w:r>
      <w:bookmarkEnd w:id="248"/>
      <w:bookmarkEnd w:id="249"/>
      <w:bookmarkEnd w:id="250"/>
      <w:bookmarkEnd w:id="251"/>
      <w:bookmarkEnd w:id="252"/>
    </w:p>
    <w:p w14:paraId="03F1F4B9" w14:textId="1070C7A7" w:rsidR="00E11EA1" w:rsidRPr="00847FAE" w:rsidRDefault="00BF2F4D" w:rsidP="00F91BC3">
      <w:pPr>
        <w:pStyle w:val="NormalNew"/>
        <w:keepLines w:val="0"/>
      </w:pPr>
      <w:r>
        <w:t>During the reporting year</w:t>
      </w:r>
      <w:r w:rsidR="00E11EA1" w:rsidRPr="00847FAE">
        <w:t xml:space="preserve"> </w:t>
      </w:r>
      <w:r w:rsidR="002037E7" w:rsidRPr="00847FAE">
        <w:t>m</w:t>
      </w:r>
      <w:r w:rsidR="00E11EA1" w:rsidRPr="00847FAE">
        <w:t xml:space="preserve">agistrates and </w:t>
      </w:r>
      <w:r w:rsidR="002037E7" w:rsidRPr="00847FAE">
        <w:t>c</w:t>
      </w:r>
      <w:r w:rsidR="00E11EA1" w:rsidRPr="00847FAE">
        <w:t xml:space="preserve">ourt officers were engaged in a range of legal education programs that are aimed at improving the understanding of the justice system for a number of groups, such as young lawyers, prosecutors, probation officers, </w:t>
      </w:r>
      <w:r w:rsidR="00050A4D" w:rsidRPr="00847FAE">
        <w:t>J</w:t>
      </w:r>
      <w:r w:rsidR="00E11EA1" w:rsidRPr="00847FAE">
        <w:t xml:space="preserve">ustices of the </w:t>
      </w:r>
      <w:r w:rsidR="00050A4D" w:rsidRPr="00847FAE">
        <w:t>P</w:t>
      </w:r>
      <w:r w:rsidR="00E11EA1" w:rsidRPr="00847FAE">
        <w:t xml:space="preserve">eace, legal studies students, </w:t>
      </w:r>
      <w:r w:rsidR="00050A4D" w:rsidRPr="00847FAE">
        <w:t xml:space="preserve">school and </w:t>
      </w:r>
      <w:r w:rsidR="00E11EA1" w:rsidRPr="00847FAE">
        <w:t>community groups.</w:t>
      </w:r>
    </w:p>
    <w:p w14:paraId="7446121B" w14:textId="77777777" w:rsidR="00E11EA1" w:rsidRPr="00847FAE" w:rsidRDefault="00E11EA1" w:rsidP="00E5311F">
      <w:pPr>
        <w:pStyle w:val="Heading2"/>
      </w:pPr>
      <w:bookmarkStart w:id="253" w:name="_Toc311717628"/>
      <w:bookmarkStart w:id="254" w:name="_Toc529270659"/>
      <w:bookmarkStart w:id="255" w:name="_Toc529270867"/>
      <w:bookmarkStart w:id="256" w:name="_Toc529272560"/>
      <w:bookmarkStart w:id="257" w:name="_Toc529272635"/>
      <w:bookmarkStart w:id="258" w:name="_Toc1041154"/>
      <w:r w:rsidRPr="00847FAE">
        <w:t>Legal Practice Course</w:t>
      </w:r>
      <w:bookmarkEnd w:id="253"/>
      <w:bookmarkEnd w:id="254"/>
      <w:bookmarkEnd w:id="255"/>
      <w:bookmarkEnd w:id="256"/>
      <w:bookmarkEnd w:id="257"/>
      <w:bookmarkEnd w:id="258"/>
    </w:p>
    <w:p w14:paraId="3F3178CA" w14:textId="77777777" w:rsidR="00E11EA1" w:rsidRPr="00847FAE" w:rsidRDefault="00E11EA1" w:rsidP="00F91BC3">
      <w:pPr>
        <w:pStyle w:val="NormalNew"/>
        <w:keepLines w:val="0"/>
      </w:pPr>
      <w:r w:rsidRPr="00847FAE">
        <w:t>Since 1997, the Hobart Magistrates have been delivering lectures, and supervising practical courtroom exercises, for university law graduates who are enrolled in the six month Legal Practice Course</w:t>
      </w:r>
      <w:r w:rsidR="001069A1" w:rsidRPr="00847FAE">
        <w:t xml:space="preserve">.  </w:t>
      </w:r>
      <w:r w:rsidRPr="00847FAE">
        <w:t>This is conducted between February and August each year.</w:t>
      </w:r>
    </w:p>
    <w:p w14:paraId="6501AF41" w14:textId="7135B1FF" w:rsidR="00813857" w:rsidRPr="00847FAE" w:rsidRDefault="00E11EA1" w:rsidP="00F91BC3">
      <w:pPr>
        <w:pStyle w:val="NormalNew"/>
        <w:keepLines w:val="0"/>
      </w:pPr>
      <w:r w:rsidRPr="00847FAE">
        <w:t>Magistrates convene mock courts for tw</w:t>
      </w:r>
      <w:r w:rsidR="00813857" w:rsidRPr="00847FAE">
        <w:t>o</w:t>
      </w:r>
      <w:r w:rsidRPr="00847FAE">
        <w:t xml:space="preserve"> hours every week after court adjourns in the afternoon to introduce law graduates to the court</w:t>
      </w:r>
      <w:r w:rsidR="002037E7" w:rsidRPr="00847FAE">
        <w:t xml:space="preserve"> </w:t>
      </w:r>
      <w:r w:rsidRPr="00847FAE">
        <w:t>room environment in preparation for when they commence legal practice</w:t>
      </w:r>
      <w:r w:rsidR="001069A1" w:rsidRPr="00847FAE">
        <w:t xml:space="preserve">.  </w:t>
      </w:r>
      <w:r w:rsidR="00AF7077" w:rsidRPr="00847FAE">
        <w:t xml:space="preserve"> </w:t>
      </w:r>
      <w:r w:rsidRPr="00847FAE">
        <w:t xml:space="preserve">The </w:t>
      </w:r>
      <w:r w:rsidR="00813857" w:rsidRPr="00847FAE">
        <w:t xml:space="preserve">trainees </w:t>
      </w:r>
      <w:r w:rsidRPr="00847FAE">
        <w:t>prepare and deliver applications, make submissions, deliver pleas in mitigation, and conduct minor contested hearings</w:t>
      </w:r>
      <w:r w:rsidR="001069A1" w:rsidRPr="00847FAE">
        <w:t xml:space="preserve">.  </w:t>
      </w:r>
      <w:r w:rsidRPr="00847FAE">
        <w:t xml:space="preserve">The </w:t>
      </w:r>
      <w:r w:rsidR="002037E7" w:rsidRPr="00847FAE">
        <w:t>m</w:t>
      </w:r>
      <w:r w:rsidRPr="00847FAE">
        <w:t>agistrates provide feedback to the trainees on their delivery, content, and advocacy skills</w:t>
      </w:r>
      <w:r w:rsidR="001069A1" w:rsidRPr="00847FAE">
        <w:t xml:space="preserve">.  </w:t>
      </w:r>
      <w:r w:rsidRPr="00847FAE">
        <w:t xml:space="preserve"> The exercises form part of the assessment for the unit</w:t>
      </w:r>
      <w:r w:rsidR="001069A1" w:rsidRPr="00847FAE">
        <w:t>.</w:t>
      </w:r>
      <w:r w:rsidR="00AF7077" w:rsidRPr="00847FAE">
        <w:t xml:space="preserve"> </w:t>
      </w:r>
    </w:p>
    <w:p w14:paraId="0B7E1ABF" w14:textId="397F558C" w:rsidR="00E11EA1" w:rsidRPr="00847FAE" w:rsidRDefault="00E11EA1" w:rsidP="00F91BC3">
      <w:pPr>
        <w:pStyle w:val="NormalNew"/>
        <w:keepLines w:val="0"/>
      </w:pPr>
      <w:r w:rsidRPr="00847FAE">
        <w:t>Based on fe</w:t>
      </w:r>
      <w:r w:rsidR="007A4404" w:rsidRPr="00847FAE">
        <w:t>edback from course participants</w:t>
      </w:r>
      <w:r w:rsidRPr="00847FAE">
        <w:t xml:space="preserve"> the Criminal Law Practice and Advocacy unit is considered to be one of the most practic</w:t>
      </w:r>
      <w:r w:rsidR="007A4404" w:rsidRPr="00847FAE">
        <w:t>al units studied by the trainees</w:t>
      </w:r>
      <w:r w:rsidRPr="00847FAE">
        <w:t xml:space="preserve"> as the Magistrates Court is the jurisdiction in which most junior lawyers are likely to practice in the early years of their professional life</w:t>
      </w:r>
      <w:r w:rsidR="001069A1" w:rsidRPr="00847FAE">
        <w:t xml:space="preserve">.  </w:t>
      </w:r>
      <w:r w:rsidR="00AF7077" w:rsidRPr="00847FAE">
        <w:t xml:space="preserve"> The opportunity for students to appear before real magistrates in a court setting is an aspect of the course that is the envy of many interstate jurisdictions.</w:t>
      </w:r>
    </w:p>
    <w:p w14:paraId="7FD4BC78" w14:textId="77777777" w:rsidR="00E11EA1" w:rsidRPr="00847FAE" w:rsidRDefault="00E11EA1" w:rsidP="00E5311F">
      <w:pPr>
        <w:pStyle w:val="Heading2"/>
      </w:pPr>
      <w:bookmarkStart w:id="259" w:name="_Toc311717629"/>
      <w:bookmarkStart w:id="260" w:name="_Toc529270660"/>
      <w:bookmarkStart w:id="261" w:name="_Toc529270868"/>
      <w:bookmarkStart w:id="262" w:name="_Toc529272561"/>
      <w:bookmarkStart w:id="263" w:name="_Toc529272636"/>
      <w:bookmarkStart w:id="264" w:name="_Toc1041155"/>
      <w:r w:rsidRPr="00847FAE">
        <w:t>CourtWatch</w:t>
      </w:r>
      <w:bookmarkEnd w:id="259"/>
      <w:bookmarkEnd w:id="260"/>
      <w:bookmarkEnd w:id="261"/>
      <w:bookmarkEnd w:id="262"/>
      <w:bookmarkEnd w:id="263"/>
      <w:bookmarkEnd w:id="264"/>
    </w:p>
    <w:p w14:paraId="1F4F3272" w14:textId="77777777" w:rsidR="00E11EA1" w:rsidRPr="00847FAE" w:rsidRDefault="00E11EA1" w:rsidP="00F91BC3">
      <w:pPr>
        <w:pStyle w:val="NormalNew"/>
        <w:keepLines w:val="0"/>
      </w:pPr>
      <w:r w:rsidRPr="00847FAE">
        <w:t>As part of the Legal Practice Course each year, the Magistrates Court host</w:t>
      </w:r>
      <w:r w:rsidR="00AF7077" w:rsidRPr="00847FAE">
        <w:t>s each trainee</w:t>
      </w:r>
      <w:r w:rsidRPr="00847FAE">
        <w:t xml:space="preserve"> for a day as part of our CourtWatch program</w:t>
      </w:r>
      <w:r w:rsidR="001069A1" w:rsidRPr="00847FAE">
        <w:t xml:space="preserve">.  </w:t>
      </w:r>
      <w:r w:rsidR="00AF7077" w:rsidRPr="00847FAE">
        <w:t xml:space="preserve"> </w:t>
      </w:r>
      <w:r w:rsidRPr="00847FAE">
        <w:t>On a succession of days over a two week period, small groups of trainees are shown the practices and procedures of the Court in both its administrative and judicial functions</w:t>
      </w:r>
      <w:r w:rsidR="00702D9E" w:rsidRPr="00847FAE">
        <w:t xml:space="preserve"> </w:t>
      </w:r>
      <w:r w:rsidRPr="00847FAE">
        <w:t>so they will be better equipped to comply with the challenges of legal practice</w:t>
      </w:r>
      <w:r w:rsidR="001069A1" w:rsidRPr="00847FAE">
        <w:t xml:space="preserve">.  </w:t>
      </w:r>
      <w:r w:rsidR="00AF7077" w:rsidRPr="00847FAE">
        <w:t xml:space="preserve"> They have the opportunity to sit in court with a magistrate and to gain an understanding of the administrative processes of the Court.</w:t>
      </w:r>
    </w:p>
    <w:p w14:paraId="565EC6B0" w14:textId="5BBD1384" w:rsidR="00552B38" w:rsidRPr="00847FAE" w:rsidRDefault="00552B38" w:rsidP="00E5311F">
      <w:pPr>
        <w:pStyle w:val="Heading2"/>
      </w:pPr>
      <w:bookmarkStart w:id="265" w:name="_Toc529270661"/>
      <w:bookmarkStart w:id="266" w:name="_Toc529270869"/>
      <w:bookmarkStart w:id="267" w:name="_Toc529272562"/>
      <w:bookmarkStart w:id="268" w:name="_Toc529272637"/>
      <w:bookmarkStart w:id="269" w:name="_Toc1041156"/>
      <w:bookmarkStart w:id="270" w:name="_Toc311717633"/>
      <w:bookmarkStart w:id="271" w:name="_Toc311718301"/>
      <w:bookmarkStart w:id="272" w:name="_Toc311725666"/>
      <w:bookmarkEnd w:id="242"/>
      <w:r>
        <w:t>Legal Education</w:t>
      </w:r>
      <w:bookmarkEnd w:id="265"/>
      <w:bookmarkEnd w:id="266"/>
      <w:bookmarkEnd w:id="267"/>
      <w:bookmarkEnd w:id="268"/>
      <w:bookmarkEnd w:id="269"/>
    </w:p>
    <w:p w14:paraId="46EF22EB" w14:textId="73B15FBB" w:rsidR="001A771F" w:rsidRDefault="00552B38" w:rsidP="00F91BC3">
      <w:pPr>
        <w:spacing w:before="240" w:after="240" w:line="300" w:lineRule="exact"/>
      </w:pPr>
      <w:r>
        <w:t xml:space="preserve">In order to provide continuing professional development to legal practitioners and others who regularly deal with the Court magistrates </w:t>
      </w:r>
      <w:r w:rsidR="00DA083F">
        <w:t>speak at seminars and conferences</w:t>
      </w:r>
      <w:r w:rsidR="00BD4317">
        <w:t>.  To provide the general public with a better understanding of the justice system</w:t>
      </w:r>
      <w:r w:rsidR="00DA083F">
        <w:t xml:space="preserve"> staff conduct court tours for school and community groups.  The Court also hosts work experience students who are given the opportunity to experience the administrative operations that support the judicial work of the magistrates, to observe court sessions, and to meet with magistrates.</w:t>
      </w:r>
      <w:r w:rsidR="001A771F" w:rsidRPr="001A771F">
        <w:t xml:space="preserve"> </w:t>
      </w:r>
    </w:p>
    <w:p w14:paraId="76B284F0" w14:textId="417243EB" w:rsidR="004634DC" w:rsidRDefault="004634DC" w:rsidP="00F91BC3">
      <w:pPr>
        <w:spacing w:before="240" w:after="240" w:line="300" w:lineRule="exact"/>
      </w:pPr>
      <w:r>
        <w:t>Magistrates have given a number of presentations, including:</w:t>
      </w:r>
    </w:p>
    <w:tbl>
      <w:tblPr>
        <w:tblStyle w:val="GridTable1Light-Accent5"/>
        <w:tblW w:w="0" w:type="auto"/>
        <w:tblLook w:val="04A0" w:firstRow="1" w:lastRow="0" w:firstColumn="1" w:lastColumn="0" w:noHBand="0" w:noVBand="1"/>
        <w:tblCaption w:val="MagistratesPresentations"/>
        <w:tblDescription w:val="Tabledescribingorganisationsandprograms"/>
      </w:tblPr>
      <w:tblGrid>
        <w:gridCol w:w="4148"/>
        <w:gridCol w:w="4148"/>
      </w:tblGrid>
      <w:tr w:rsidR="00402DB0" w:rsidRPr="00D32D7D" w14:paraId="3EAE527E" w14:textId="77777777" w:rsidTr="00A42DA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48" w:type="dxa"/>
          </w:tcPr>
          <w:p w14:paraId="3B8B81C5" w14:textId="7E85893C" w:rsidR="00402DB0" w:rsidRPr="00D32D7D" w:rsidRDefault="00C56D84" w:rsidP="00F91BC3">
            <w:pPr>
              <w:spacing w:before="240" w:after="240" w:line="300" w:lineRule="exact"/>
              <w:contextualSpacing/>
            </w:pPr>
            <w:r>
              <w:lastRenderedPageBreak/>
              <w:t>Organisation</w:t>
            </w:r>
          </w:p>
        </w:tc>
        <w:tc>
          <w:tcPr>
            <w:tcW w:w="4148" w:type="dxa"/>
          </w:tcPr>
          <w:p w14:paraId="71FE2A6B" w14:textId="6BC6DC2D" w:rsidR="00402DB0" w:rsidRPr="00D32D7D" w:rsidRDefault="00402DB0" w:rsidP="00F91BC3">
            <w:pPr>
              <w:spacing w:before="240" w:after="240" w:line="300" w:lineRule="exact"/>
              <w:contextualSpacing/>
              <w:cnfStyle w:val="100000000000" w:firstRow="1" w:lastRow="0" w:firstColumn="0" w:lastColumn="0" w:oddVBand="0" w:evenVBand="0" w:oddHBand="0" w:evenHBand="0" w:firstRowFirstColumn="0" w:firstRowLastColumn="0" w:lastRowFirstColumn="0" w:lastRowLastColumn="0"/>
            </w:pPr>
            <w:r>
              <w:t>Topic</w:t>
            </w:r>
          </w:p>
        </w:tc>
      </w:tr>
      <w:tr w:rsidR="00D32D7D" w:rsidRPr="00D32D7D" w14:paraId="080C0AAB"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4148" w:type="dxa"/>
          </w:tcPr>
          <w:p w14:paraId="61269200" w14:textId="7F16B6A6" w:rsidR="00D32D7D" w:rsidRPr="00D32D7D" w:rsidRDefault="00D32D7D" w:rsidP="00F91BC3">
            <w:pPr>
              <w:spacing w:before="240" w:after="240" w:line="300" w:lineRule="exact"/>
              <w:contextualSpacing/>
            </w:pPr>
            <w:r w:rsidRPr="00D32D7D">
              <w:t xml:space="preserve">Law Society of Tasmania’s Young Lawyers </w:t>
            </w:r>
          </w:p>
        </w:tc>
        <w:tc>
          <w:tcPr>
            <w:tcW w:w="4148" w:type="dxa"/>
          </w:tcPr>
          <w:p w14:paraId="1FBBF0A7" w14:textId="195503D9" w:rsidR="00D32D7D" w:rsidRPr="00D32D7D" w:rsidRDefault="00D32D7D" w:rsidP="00F91BC3">
            <w:pPr>
              <w:spacing w:before="240" w:after="240" w:line="300" w:lineRule="exact"/>
              <w:contextualSpacing/>
              <w:cnfStyle w:val="000000000000" w:firstRow="0" w:lastRow="0" w:firstColumn="0" w:lastColumn="0" w:oddVBand="0" w:evenVBand="0" w:oddHBand="0" w:evenHBand="0" w:firstRowFirstColumn="0" w:firstRowLastColumn="0" w:lastRowFirstColumn="0" w:lastRowLastColumn="0"/>
            </w:pPr>
            <w:r w:rsidRPr="00D32D7D">
              <w:t>Cross examination</w:t>
            </w:r>
          </w:p>
        </w:tc>
      </w:tr>
      <w:tr w:rsidR="00D32D7D" w:rsidRPr="00D32D7D" w14:paraId="1D34AE53"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4148" w:type="dxa"/>
          </w:tcPr>
          <w:p w14:paraId="5101E6FC" w14:textId="094768FE" w:rsidR="00D32D7D" w:rsidRPr="00D32D7D" w:rsidRDefault="00D32D7D" w:rsidP="00F91BC3">
            <w:pPr>
              <w:spacing w:before="240" w:after="240" w:line="300" w:lineRule="exact"/>
              <w:contextualSpacing/>
            </w:pPr>
            <w:r w:rsidRPr="00D32D7D">
              <w:t xml:space="preserve">Western District </w:t>
            </w:r>
            <w:r w:rsidR="002914E8" w:rsidRPr="00D32D7D">
              <w:t>Prosecutions</w:t>
            </w:r>
            <w:r w:rsidRPr="00D32D7D">
              <w:t xml:space="preserve">, Tasmania Police </w:t>
            </w:r>
          </w:p>
        </w:tc>
        <w:tc>
          <w:tcPr>
            <w:tcW w:w="4148" w:type="dxa"/>
          </w:tcPr>
          <w:p w14:paraId="51073979" w14:textId="62C1B1FF" w:rsidR="00D32D7D" w:rsidRPr="00D32D7D" w:rsidRDefault="00D32D7D" w:rsidP="00F91BC3">
            <w:pPr>
              <w:spacing w:before="240" w:after="240" w:line="300" w:lineRule="exact"/>
              <w:contextualSpacing/>
              <w:cnfStyle w:val="000000000000" w:firstRow="0" w:lastRow="0" w:firstColumn="0" w:lastColumn="0" w:oddVBand="0" w:evenVBand="0" w:oddHBand="0" w:evenHBand="0" w:firstRowFirstColumn="0" w:firstRowLastColumn="0" w:lastRowFirstColumn="0" w:lastRowLastColumn="0"/>
            </w:pPr>
            <w:r w:rsidRPr="00D32D7D">
              <w:t xml:space="preserve">Section 38 </w:t>
            </w:r>
            <w:r w:rsidRPr="00D32D7D">
              <w:rPr>
                <w:i/>
              </w:rPr>
              <w:t>Evidence Act</w:t>
            </w:r>
            <w:r w:rsidRPr="00D32D7D">
              <w:t xml:space="preserve"> 2001 applications (questioning an unfavourable witness)</w:t>
            </w:r>
          </w:p>
        </w:tc>
      </w:tr>
      <w:tr w:rsidR="00D32D7D" w:rsidRPr="00D32D7D" w14:paraId="6DA1B8E4"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4148" w:type="dxa"/>
          </w:tcPr>
          <w:p w14:paraId="0910780D" w14:textId="31C23BED" w:rsidR="00D32D7D" w:rsidRPr="00D32D7D" w:rsidRDefault="00D32D7D" w:rsidP="00F91BC3">
            <w:pPr>
              <w:spacing w:before="240" w:after="240" w:line="300" w:lineRule="exact"/>
              <w:contextualSpacing/>
            </w:pPr>
            <w:r w:rsidRPr="00D32D7D">
              <w:t xml:space="preserve">Law Society of Tasmania Advocacy Seminar </w:t>
            </w:r>
          </w:p>
        </w:tc>
        <w:tc>
          <w:tcPr>
            <w:tcW w:w="4148" w:type="dxa"/>
          </w:tcPr>
          <w:p w14:paraId="57DA52A7" w14:textId="529830DA" w:rsidR="00D32D7D" w:rsidRPr="00D32D7D" w:rsidRDefault="00D32D7D" w:rsidP="00F91BC3">
            <w:pPr>
              <w:spacing w:before="240" w:after="240" w:line="300" w:lineRule="exact"/>
              <w:contextualSpacing/>
              <w:cnfStyle w:val="000000000000" w:firstRow="0" w:lastRow="0" w:firstColumn="0" w:lastColumn="0" w:oddVBand="0" w:evenVBand="0" w:oddHBand="0" w:evenHBand="0" w:firstRowFirstColumn="0" w:firstRowLastColumn="0" w:lastRowFirstColumn="0" w:lastRowLastColumn="0"/>
            </w:pPr>
            <w:r>
              <w:t>P</w:t>
            </w:r>
            <w:r w:rsidRPr="00D32D7D">
              <w:t>ractical exercises in advocacy including drug treatment orders</w:t>
            </w:r>
          </w:p>
        </w:tc>
      </w:tr>
      <w:tr w:rsidR="00D32D7D" w:rsidRPr="00D32D7D" w14:paraId="61F306E3"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4148" w:type="dxa"/>
          </w:tcPr>
          <w:p w14:paraId="703EF611" w14:textId="6BFD81F9" w:rsidR="00D32D7D" w:rsidRPr="00D32D7D" w:rsidRDefault="00D32D7D" w:rsidP="00F91BC3">
            <w:pPr>
              <w:spacing w:before="240" w:after="240" w:line="300" w:lineRule="exact"/>
              <w:contextualSpacing/>
            </w:pPr>
            <w:r w:rsidRPr="00D32D7D">
              <w:t xml:space="preserve">Law Society of Tasmania’s Young Lawyers </w:t>
            </w:r>
          </w:p>
        </w:tc>
        <w:tc>
          <w:tcPr>
            <w:tcW w:w="4148" w:type="dxa"/>
          </w:tcPr>
          <w:p w14:paraId="3A72D21A" w14:textId="49D0ED41" w:rsidR="00D32D7D" w:rsidRPr="00D32D7D" w:rsidRDefault="00D32D7D" w:rsidP="00F91BC3">
            <w:pPr>
              <w:spacing w:before="240" w:after="240" w:line="300" w:lineRule="exact"/>
              <w:contextualSpacing/>
              <w:cnfStyle w:val="000000000000" w:firstRow="0" w:lastRow="0" w:firstColumn="0" w:lastColumn="0" w:oddVBand="0" w:evenVBand="0" w:oddHBand="0" w:evenHBand="0" w:firstRowFirstColumn="0" w:firstRowLastColumn="0" w:lastRowFirstColumn="0" w:lastRowLastColumn="0"/>
            </w:pPr>
            <w:r>
              <w:t>T</w:t>
            </w:r>
            <w:r w:rsidRPr="00D32D7D">
              <w:t xml:space="preserve">he </w:t>
            </w:r>
            <w:r>
              <w:t>l</w:t>
            </w:r>
            <w:r w:rsidRPr="00D32D7D">
              <w:t xml:space="preserve">aw of </w:t>
            </w:r>
            <w:r>
              <w:t>p</w:t>
            </w:r>
            <w:r w:rsidRPr="00D32D7D">
              <w:t>enalties</w:t>
            </w:r>
          </w:p>
        </w:tc>
      </w:tr>
      <w:tr w:rsidR="00D32D7D" w:rsidRPr="00D32D7D" w14:paraId="48CE6B8A"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4148" w:type="dxa"/>
          </w:tcPr>
          <w:p w14:paraId="435C0B54" w14:textId="4167BD87" w:rsidR="00D32D7D" w:rsidRPr="00D32D7D" w:rsidRDefault="00D32D7D" w:rsidP="00F91BC3">
            <w:pPr>
              <w:spacing w:before="240" w:after="240" w:line="300" w:lineRule="exact"/>
              <w:contextualSpacing/>
            </w:pPr>
            <w:r w:rsidRPr="00D32D7D">
              <w:t>North</w:t>
            </w:r>
            <w:r>
              <w:t>-</w:t>
            </w:r>
            <w:r w:rsidRPr="00D32D7D">
              <w:t>West Justices of the Peace Association</w:t>
            </w:r>
          </w:p>
        </w:tc>
        <w:tc>
          <w:tcPr>
            <w:tcW w:w="4148" w:type="dxa"/>
          </w:tcPr>
          <w:p w14:paraId="3D2B7FB1" w14:textId="3733E8F1" w:rsidR="00D32D7D" w:rsidRPr="00D32D7D" w:rsidRDefault="00D32D7D" w:rsidP="00F91BC3">
            <w:pPr>
              <w:spacing w:before="240" w:after="240" w:line="300" w:lineRule="exact"/>
              <w:contextualSpacing/>
              <w:cnfStyle w:val="000000000000" w:firstRow="0" w:lastRow="0" w:firstColumn="0" w:lastColumn="0" w:oddVBand="0" w:evenVBand="0" w:oddHBand="0" w:evenHBand="0" w:firstRowFirstColumn="0" w:firstRowLastColumn="0" w:lastRowFirstColumn="0" w:lastRowLastColumn="0"/>
            </w:pPr>
            <w:r>
              <w:t>The work of the Court and Justices</w:t>
            </w:r>
          </w:p>
        </w:tc>
      </w:tr>
      <w:tr w:rsidR="00D32D7D" w:rsidRPr="00D32D7D" w14:paraId="506F3B6E"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4148" w:type="dxa"/>
          </w:tcPr>
          <w:p w14:paraId="3200567D" w14:textId="62AB523E" w:rsidR="00D32D7D" w:rsidRPr="00D32D7D" w:rsidRDefault="00D32D7D" w:rsidP="00F91BC3">
            <w:pPr>
              <w:spacing w:before="240" w:after="240" w:line="300" w:lineRule="exact"/>
              <w:contextualSpacing/>
            </w:pPr>
            <w:r w:rsidRPr="00D32D7D">
              <w:t xml:space="preserve">Australian Association of Crown Prosecutors  </w:t>
            </w:r>
          </w:p>
        </w:tc>
        <w:tc>
          <w:tcPr>
            <w:tcW w:w="4148" w:type="dxa"/>
          </w:tcPr>
          <w:p w14:paraId="5202CC94" w14:textId="15499567" w:rsidR="00D32D7D" w:rsidRPr="00D32D7D" w:rsidRDefault="00D32D7D" w:rsidP="00F91BC3">
            <w:pPr>
              <w:spacing w:before="240" w:after="240" w:line="300" w:lineRule="exact"/>
              <w:contextualSpacing/>
              <w:cnfStyle w:val="000000000000" w:firstRow="0" w:lastRow="0" w:firstColumn="0" w:lastColumn="0" w:oddVBand="0" w:evenVBand="0" w:oddHBand="0" w:evenHBand="0" w:firstRowFirstColumn="0" w:firstRowLastColumn="0" w:lastRowFirstColumn="0" w:lastRowLastColumn="0"/>
            </w:pPr>
            <w:r w:rsidRPr="00D32D7D">
              <w:t>Judicial Bullying</w:t>
            </w:r>
          </w:p>
        </w:tc>
      </w:tr>
      <w:tr w:rsidR="00D32D7D" w:rsidRPr="00D32D7D" w14:paraId="71B6A61B"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4148" w:type="dxa"/>
          </w:tcPr>
          <w:p w14:paraId="5647D9DB" w14:textId="596E0F96" w:rsidR="00D32D7D" w:rsidRPr="00D32D7D" w:rsidRDefault="00D32D7D" w:rsidP="00F91BC3">
            <w:pPr>
              <w:spacing w:before="240" w:after="240" w:line="300" w:lineRule="exact"/>
              <w:contextualSpacing/>
            </w:pPr>
            <w:r w:rsidRPr="00D32D7D">
              <w:t>Commun</w:t>
            </w:r>
            <w:r>
              <w:t>ity Engagement Tasmania Society</w:t>
            </w:r>
          </w:p>
        </w:tc>
        <w:tc>
          <w:tcPr>
            <w:tcW w:w="4148" w:type="dxa"/>
          </w:tcPr>
          <w:p w14:paraId="1D7D79CE" w14:textId="7540096A" w:rsidR="00D32D7D" w:rsidRPr="00D32D7D" w:rsidRDefault="00D32D7D" w:rsidP="00F91BC3">
            <w:pPr>
              <w:spacing w:before="240" w:after="240" w:line="300" w:lineRule="exact"/>
              <w:contextualSpacing/>
              <w:cnfStyle w:val="000000000000" w:firstRow="0" w:lastRow="0" w:firstColumn="0" w:lastColumn="0" w:oddVBand="0" w:evenVBand="0" w:oddHBand="0" w:evenHBand="0" w:firstRowFirstColumn="0" w:firstRowLastColumn="0" w:lastRowFirstColumn="0" w:lastRowLastColumn="0"/>
            </w:pPr>
            <w:r w:rsidRPr="00D32D7D">
              <w:t>Youth Court</w:t>
            </w:r>
          </w:p>
        </w:tc>
      </w:tr>
      <w:tr w:rsidR="00D32D7D" w:rsidRPr="00D32D7D" w14:paraId="3AEC035F" w14:textId="77777777" w:rsidTr="001F1F60">
        <w:trPr>
          <w:cantSplit/>
        </w:trPr>
        <w:tc>
          <w:tcPr>
            <w:cnfStyle w:val="001000000000" w:firstRow="0" w:lastRow="0" w:firstColumn="1" w:lastColumn="0" w:oddVBand="0" w:evenVBand="0" w:oddHBand="0" w:evenHBand="0" w:firstRowFirstColumn="0" w:firstRowLastColumn="0" w:lastRowFirstColumn="0" w:lastRowLastColumn="0"/>
            <w:tcW w:w="4148" w:type="dxa"/>
          </w:tcPr>
          <w:p w14:paraId="070F4496" w14:textId="13960BD8" w:rsidR="00D32D7D" w:rsidRPr="00D32D7D" w:rsidRDefault="00D32D7D" w:rsidP="00F91BC3">
            <w:pPr>
              <w:spacing w:before="240" w:after="240" w:line="300" w:lineRule="exact"/>
              <w:contextualSpacing/>
            </w:pPr>
            <w:r>
              <w:t>University of Tasmania</w:t>
            </w:r>
          </w:p>
        </w:tc>
        <w:tc>
          <w:tcPr>
            <w:tcW w:w="4148" w:type="dxa"/>
          </w:tcPr>
          <w:p w14:paraId="6FC6DBD2" w14:textId="60A5B12F" w:rsidR="00D32D7D" w:rsidRPr="00D32D7D" w:rsidRDefault="00D32D7D" w:rsidP="00F91BC3">
            <w:pPr>
              <w:spacing w:before="240" w:after="240" w:line="300" w:lineRule="exact"/>
              <w:contextualSpacing/>
              <w:cnfStyle w:val="000000000000" w:firstRow="0" w:lastRow="0" w:firstColumn="0" w:lastColumn="0" w:oddVBand="0" w:evenVBand="0" w:oddHBand="0" w:evenHBand="0" w:firstRowFirstColumn="0" w:firstRowLastColumn="0" w:lastRowFirstColumn="0" w:lastRowLastColumn="0"/>
            </w:pPr>
            <w:r w:rsidRPr="00D32D7D">
              <w:t>“Does our Justice System Work?  Perspectives from the Bench”</w:t>
            </w:r>
          </w:p>
        </w:tc>
      </w:tr>
    </w:tbl>
    <w:p w14:paraId="498C7E70" w14:textId="703EC99B" w:rsidR="001A771F" w:rsidRPr="00847FAE" w:rsidRDefault="001A771F" w:rsidP="00E5311F">
      <w:pPr>
        <w:pStyle w:val="Heading2"/>
      </w:pPr>
      <w:bookmarkStart w:id="273" w:name="_Toc529270662"/>
      <w:bookmarkStart w:id="274" w:name="_Toc529270870"/>
      <w:bookmarkStart w:id="275" w:name="_Toc529272563"/>
      <w:bookmarkStart w:id="276" w:name="_Toc529272638"/>
      <w:bookmarkStart w:id="277" w:name="_Toc1041157"/>
      <w:r>
        <w:t>Community Events</w:t>
      </w:r>
      <w:bookmarkEnd w:id="273"/>
      <w:bookmarkEnd w:id="274"/>
      <w:bookmarkEnd w:id="275"/>
      <w:bookmarkEnd w:id="276"/>
      <w:bookmarkEnd w:id="277"/>
    </w:p>
    <w:p w14:paraId="24EAFFED" w14:textId="2167DEED" w:rsidR="00BD4317" w:rsidRDefault="00DA083F" w:rsidP="00F91BC3">
      <w:pPr>
        <w:spacing w:before="240" w:after="240" w:line="300" w:lineRule="exact"/>
      </w:pPr>
      <w:r>
        <w:t>On Sunday 17 September 2017 the Launceston Magistrates Court participated in the Rotary Club of Launceston’s “Doors Open” day.  As part of this event senior staff of the Court conducted tours of the building, including the court rooms and registry.  Staff provided an overview of the Court’s work and its jurisdictions and answered many questions from the visiting groups who showed a great interest in the operation of the Court and the justice system generally.</w:t>
      </w:r>
      <w:r w:rsidR="00BD4317" w:rsidRPr="00BD4317">
        <w:t xml:space="preserve"> </w:t>
      </w:r>
    </w:p>
    <w:p w14:paraId="0BA1103E" w14:textId="6AF24C5A" w:rsidR="001A771F" w:rsidRDefault="00BD4317" w:rsidP="00F91BC3">
      <w:pPr>
        <w:spacing w:before="240" w:after="240" w:line="300" w:lineRule="exact"/>
      </w:pPr>
      <w:r>
        <w:t xml:space="preserve">On </w:t>
      </w:r>
      <w:r w:rsidR="001A771F">
        <w:t xml:space="preserve">the evening of Friday </w:t>
      </w:r>
      <w:r>
        <w:t>18 May 2018 the Hobart Magistrates Court was involved in the White</w:t>
      </w:r>
      <w:r w:rsidR="001A771F">
        <w:t>l</w:t>
      </w:r>
      <w:r>
        <w:t xml:space="preserve">ion Bail Out event.  </w:t>
      </w:r>
      <w:r w:rsidR="001A771F">
        <w:t>Whitelion provides specialist youth services and supports young people who are transitioning back into the community from out of home care and the youth justice system.  Whitelion offers a number of programs designed to help young people achieve stable housing, connection to the community, educational attainment, employment and economic stability and wellbeing.</w:t>
      </w:r>
    </w:p>
    <w:p w14:paraId="02F6EEE0" w14:textId="4EA20FCC" w:rsidR="00BD4317" w:rsidRDefault="001A771F" w:rsidP="00F91BC3">
      <w:pPr>
        <w:spacing w:before="240" w:after="240" w:line="300" w:lineRule="exact"/>
      </w:pPr>
      <w:r>
        <w:t xml:space="preserve">The Bail Out is Whitelion’s signature fundraising event and in 2018 involved a partnership with the Court, the Tasmanian Prison Service and Tasmania Police.  It was designed to give participants an authentic, first-hand experience of the criminal justice system with the involvement of real police officers, magistrates and court staff, lawyers and correctional officers.   </w:t>
      </w:r>
      <w:r w:rsidR="0011235A">
        <w:t xml:space="preserve">Participants raised funds in order to qualify, and during the evening are arrested, finger printed and photographed, attend court, and watch a bail application.  </w:t>
      </w:r>
    </w:p>
    <w:p w14:paraId="3A44F50E" w14:textId="0426AD6D" w:rsidR="0011235A" w:rsidRDefault="0011235A" w:rsidP="00F91BC3">
      <w:pPr>
        <w:spacing w:before="240" w:after="240" w:line="300" w:lineRule="exact"/>
      </w:pPr>
      <w:r>
        <w:t xml:space="preserve">Chief Magistrate Geason and Deputy Chief Magistrate Daly convened courts and heard bail applications on behalf of youths who had been “arrested”.  The authenticity of the experience was greatly enhanced by the generous volunteer involvement of court staff, court security, prosecutors from the Office of the Director of Public Prosecutions, legal practitioners from a Hobart firm, and the “arrested” youths.  The fundraising evening was highly successful for Whitelion, and the Court is pleased to have </w:t>
      </w:r>
      <w:r w:rsidR="004634DC">
        <w:t xml:space="preserve">had </w:t>
      </w:r>
      <w:r>
        <w:t xml:space="preserve">the opportunity to support </w:t>
      </w:r>
      <w:r w:rsidR="004634DC">
        <w:t>the</w:t>
      </w:r>
      <w:r>
        <w:t xml:space="preserve"> event.</w:t>
      </w:r>
    </w:p>
    <w:p w14:paraId="2A40AB64" w14:textId="30E3B5F0" w:rsidR="00E11EA1" w:rsidRPr="00847FAE" w:rsidRDefault="00E11EA1" w:rsidP="006D6732">
      <w:pPr>
        <w:pStyle w:val="Heading1"/>
      </w:pPr>
      <w:bookmarkStart w:id="278" w:name="_Toc529270663"/>
      <w:bookmarkStart w:id="279" w:name="_Toc529270871"/>
      <w:bookmarkStart w:id="280" w:name="_Toc529272564"/>
      <w:bookmarkStart w:id="281" w:name="_Toc529272639"/>
      <w:bookmarkStart w:id="282" w:name="_Toc1041158"/>
      <w:r w:rsidRPr="00847FAE">
        <w:lastRenderedPageBreak/>
        <w:t xml:space="preserve">Access to </w:t>
      </w:r>
      <w:r w:rsidR="008158CD">
        <w:t>Justice</w:t>
      </w:r>
      <w:bookmarkEnd w:id="278"/>
      <w:bookmarkEnd w:id="279"/>
      <w:bookmarkEnd w:id="280"/>
      <w:bookmarkEnd w:id="281"/>
      <w:bookmarkEnd w:id="282"/>
      <w:r w:rsidR="008158CD">
        <w:t xml:space="preserve"> </w:t>
      </w:r>
      <w:bookmarkEnd w:id="270"/>
      <w:bookmarkEnd w:id="271"/>
      <w:bookmarkEnd w:id="272"/>
    </w:p>
    <w:p w14:paraId="221A16D2" w14:textId="494B3A8A" w:rsidR="008158CD" w:rsidRPr="00847FAE" w:rsidRDefault="008158CD" w:rsidP="00E5311F">
      <w:pPr>
        <w:pStyle w:val="Heading2"/>
      </w:pPr>
      <w:bookmarkStart w:id="283" w:name="_Toc529270664"/>
      <w:bookmarkStart w:id="284" w:name="_Toc529270872"/>
      <w:bookmarkStart w:id="285" w:name="_Toc529272565"/>
      <w:bookmarkStart w:id="286" w:name="_Toc529272640"/>
      <w:bookmarkStart w:id="287" w:name="_Toc1041159"/>
      <w:r>
        <w:t>Disability Access</w:t>
      </w:r>
      <w:bookmarkEnd w:id="283"/>
      <w:bookmarkEnd w:id="284"/>
      <w:bookmarkEnd w:id="285"/>
      <w:bookmarkEnd w:id="286"/>
      <w:bookmarkEnd w:id="287"/>
    </w:p>
    <w:p w14:paraId="3AB04D84" w14:textId="0A8827E0" w:rsidR="00C85F13" w:rsidRDefault="00612B39" w:rsidP="00F91BC3">
      <w:pPr>
        <w:pStyle w:val="NormalNew"/>
        <w:keepLines w:val="0"/>
      </w:pPr>
      <w:r w:rsidRPr="00847FAE">
        <w:t>The D</w:t>
      </w:r>
      <w:r w:rsidR="00E11EA1" w:rsidRPr="00847FAE">
        <w:t xml:space="preserve">epartment of Justice </w:t>
      </w:r>
      <w:r w:rsidR="003D72CE" w:rsidRPr="00847FAE">
        <w:t>has developed its Disability</w:t>
      </w:r>
      <w:r w:rsidR="007A4404" w:rsidRPr="00847FAE">
        <w:t xml:space="preserve"> Justice Plan for Tasmania 2017-</w:t>
      </w:r>
      <w:r w:rsidR="003D72CE" w:rsidRPr="00847FAE">
        <w:t>202</w:t>
      </w:r>
      <w:r w:rsidR="000A22CE" w:rsidRPr="00847FAE">
        <w:t>0</w:t>
      </w:r>
      <w:r w:rsidR="001069A1" w:rsidRPr="00847FAE">
        <w:t xml:space="preserve">.  </w:t>
      </w:r>
      <w:r w:rsidR="003D72CE" w:rsidRPr="00847FAE">
        <w:t xml:space="preserve"> </w:t>
      </w:r>
      <w:r w:rsidR="00E11EA1" w:rsidRPr="00847FAE">
        <w:t xml:space="preserve">The Magistrates Court is </w:t>
      </w:r>
      <w:r w:rsidR="003D72CE" w:rsidRPr="00847FAE">
        <w:t>working to implement actions in the Plan with a focus on improving</w:t>
      </w:r>
      <w:r w:rsidR="00E11EA1" w:rsidRPr="00847FAE">
        <w:t xml:space="preserve"> physical access to court buildings</w:t>
      </w:r>
      <w:r w:rsidR="003D72CE" w:rsidRPr="00847FAE">
        <w:t>, staff training,</w:t>
      </w:r>
      <w:r w:rsidR="00E11EA1" w:rsidRPr="00847FAE">
        <w:t xml:space="preserve"> </w:t>
      </w:r>
      <w:r w:rsidR="00333038" w:rsidRPr="00847FAE">
        <w:t xml:space="preserve">and better </w:t>
      </w:r>
      <w:r w:rsidR="00E11EA1" w:rsidRPr="00847FAE">
        <w:t xml:space="preserve">access to </w:t>
      </w:r>
      <w:r w:rsidR="00333038" w:rsidRPr="00847FAE">
        <w:t xml:space="preserve">information and </w:t>
      </w:r>
      <w:r w:rsidR="00E11EA1" w:rsidRPr="00847FAE">
        <w:t>services</w:t>
      </w:r>
      <w:r w:rsidR="001069A1" w:rsidRPr="00847FAE">
        <w:t xml:space="preserve">. </w:t>
      </w:r>
      <w:r w:rsidR="00C85F13">
        <w:t xml:space="preserve"> Where a need arises the Court makes adjustments to standard procedures to accommodate the needs of people with disability.</w:t>
      </w:r>
    </w:p>
    <w:p w14:paraId="5B49FA0A" w14:textId="322863CD" w:rsidR="000A22CE" w:rsidRPr="00847FAE" w:rsidRDefault="00C85F13" w:rsidP="00F91BC3">
      <w:pPr>
        <w:pStyle w:val="NormalNew"/>
        <w:keepLines w:val="0"/>
      </w:pPr>
      <w:r>
        <w:t>The Court continued to work through the recommendations of an access appraisal report for the Hobart building that was obtained in the previous reporting period with a view to improving physical access and other services within its buildings.</w:t>
      </w:r>
    </w:p>
    <w:p w14:paraId="4442BDE6" w14:textId="47E90208" w:rsidR="008158CD" w:rsidRPr="00847FAE" w:rsidRDefault="008158CD" w:rsidP="00E5311F">
      <w:pPr>
        <w:pStyle w:val="Heading2"/>
      </w:pPr>
      <w:bookmarkStart w:id="288" w:name="_Toc529270665"/>
      <w:bookmarkStart w:id="289" w:name="_Toc529270873"/>
      <w:bookmarkStart w:id="290" w:name="_Toc529272566"/>
      <w:bookmarkStart w:id="291" w:name="_Toc529272641"/>
      <w:bookmarkStart w:id="292" w:name="_Toc1041160"/>
      <w:bookmarkStart w:id="293" w:name="_Toc311717634"/>
      <w:bookmarkStart w:id="294" w:name="_Toc311718302"/>
      <w:bookmarkStart w:id="295" w:name="_Toc311725667"/>
      <w:r>
        <w:t>Interpreters</w:t>
      </w:r>
      <w:bookmarkEnd w:id="288"/>
      <w:bookmarkEnd w:id="289"/>
      <w:bookmarkEnd w:id="290"/>
      <w:bookmarkEnd w:id="291"/>
      <w:bookmarkEnd w:id="292"/>
    </w:p>
    <w:p w14:paraId="5EC847FD" w14:textId="3DE71373" w:rsidR="00361187" w:rsidRDefault="00361187" w:rsidP="00F91BC3">
      <w:pPr>
        <w:spacing w:before="240" w:after="240" w:line="300" w:lineRule="exact"/>
      </w:pPr>
      <w:r>
        <w:t>Interpreters provide an essential service to the Court and to the administration of justice.  The interpreter’s role is to remove the language barrier and to put the party in the same position in the proceedings as an English-speaking person</w:t>
      </w:r>
      <w:r w:rsidR="002E223B">
        <w:t>.  The interpreter is essential to the provision of a fair trial</w:t>
      </w:r>
      <w:r>
        <w:t xml:space="preserve">.  Interpreters are supplied at the Court’s expense and the Court always endeavours to provide the best-qualified, accredited interpreter that is available.  </w:t>
      </w:r>
    </w:p>
    <w:p w14:paraId="38BA5F94" w14:textId="1E6FF7FD" w:rsidR="00C35CC7" w:rsidRDefault="001B3FA7" w:rsidP="00F91BC3">
      <w:pPr>
        <w:spacing w:before="240" w:after="240" w:line="300" w:lineRule="exact"/>
      </w:pPr>
      <w:r>
        <w:t>During the reporting period the Judicial Council on Cultural Diversity released its Recommended National Standards for Working with Interpreters in Courts and Tribunals.</w:t>
      </w:r>
      <w:r w:rsidR="002E223B">
        <w:t xml:space="preserve">  The recommended standards will be considered by the Court and current practices and procedures will be assessed against them.  </w:t>
      </w:r>
    </w:p>
    <w:p w14:paraId="01F238DE" w14:textId="227E788E" w:rsidR="0047341B" w:rsidRPr="00847FAE" w:rsidRDefault="00C35CC7" w:rsidP="00F91BC3">
      <w:pPr>
        <w:spacing w:before="240" w:after="240" w:line="300" w:lineRule="exact"/>
        <w:rPr>
          <w:rFonts w:cs="Arial"/>
          <w:b/>
          <w:bCs/>
          <w:kern w:val="32"/>
          <w:sz w:val="48"/>
          <w:szCs w:val="32"/>
        </w:rPr>
      </w:pPr>
      <w:r>
        <w:t>During the reporting period the Court paid $32,245.26 for interpreters and used interpreters on 168 occasions.</w:t>
      </w:r>
      <w:r w:rsidR="0047341B" w:rsidRPr="00847FAE">
        <w:br w:type="page"/>
      </w:r>
    </w:p>
    <w:p w14:paraId="2527BED4" w14:textId="51480A25" w:rsidR="00E11EA1" w:rsidRPr="00847FAE" w:rsidRDefault="00E11EA1" w:rsidP="006D6732">
      <w:pPr>
        <w:pStyle w:val="Heading1"/>
      </w:pPr>
      <w:bookmarkStart w:id="296" w:name="_Toc529270666"/>
      <w:bookmarkStart w:id="297" w:name="_Toc529270874"/>
      <w:bookmarkStart w:id="298" w:name="_Toc529272567"/>
      <w:bookmarkStart w:id="299" w:name="_Toc529272642"/>
      <w:bookmarkStart w:id="300" w:name="_Toc1041161"/>
      <w:r w:rsidRPr="00847FAE">
        <w:lastRenderedPageBreak/>
        <w:t>Court Support Services</w:t>
      </w:r>
      <w:bookmarkEnd w:id="293"/>
      <w:bookmarkEnd w:id="294"/>
      <w:bookmarkEnd w:id="295"/>
      <w:bookmarkEnd w:id="296"/>
      <w:bookmarkEnd w:id="297"/>
      <w:bookmarkEnd w:id="298"/>
      <w:bookmarkEnd w:id="299"/>
      <w:bookmarkEnd w:id="300"/>
    </w:p>
    <w:p w14:paraId="00D09C9E" w14:textId="77777777" w:rsidR="0051365C" w:rsidRPr="00847FAE" w:rsidRDefault="00E11EA1" w:rsidP="00F91BC3">
      <w:pPr>
        <w:pStyle w:val="NormalNew"/>
        <w:keepLines w:val="0"/>
      </w:pPr>
      <w:r w:rsidRPr="00847FAE">
        <w:t xml:space="preserve">I acknowledge and thank the range of court support services which are provided, </w:t>
      </w:r>
      <w:r w:rsidR="00F62C8B" w:rsidRPr="00847FAE">
        <w:t xml:space="preserve">often </w:t>
      </w:r>
      <w:r w:rsidRPr="00847FAE">
        <w:t>on a voluntary basis, to assist clients who are having difficulty in understanding the Court process or accessing legal advice or representation</w:t>
      </w:r>
      <w:r w:rsidR="001069A1" w:rsidRPr="00847FAE">
        <w:t xml:space="preserve">.  </w:t>
      </w:r>
    </w:p>
    <w:p w14:paraId="5E150574" w14:textId="5320DAD2" w:rsidR="00F62C8B" w:rsidRPr="00847FAE" w:rsidRDefault="0051365C" w:rsidP="00F91BC3">
      <w:pPr>
        <w:pStyle w:val="NormalNew"/>
        <w:keepLines w:val="0"/>
      </w:pPr>
      <w:r w:rsidRPr="00847FAE">
        <w:t>This year i</w:t>
      </w:r>
      <w:r w:rsidR="00F62C8B" w:rsidRPr="00847FAE">
        <w:t>n particular I acknowledge the work of the Law Society of Tasmania, Centre for Legal Studies</w:t>
      </w:r>
      <w:r w:rsidR="00BD13D6" w:rsidRPr="00847FAE">
        <w:t>,</w:t>
      </w:r>
      <w:r w:rsidR="00F62C8B" w:rsidRPr="00847FAE">
        <w:t xml:space="preserve"> and Legal Aid Commission of Tasmania </w:t>
      </w:r>
      <w:r w:rsidRPr="00847FAE">
        <w:t xml:space="preserve">regarding the </w:t>
      </w:r>
      <w:r w:rsidR="003D72CE" w:rsidRPr="00847FAE">
        <w:t xml:space="preserve">continuation of the </w:t>
      </w:r>
      <w:r w:rsidR="00F62C8B" w:rsidRPr="00847FAE">
        <w:t>duty lawyer service</w:t>
      </w:r>
      <w:r w:rsidR="001069A1" w:rsidRPr="00847FAE">
        <w:t xml:space="preserve">.  </w:t>
      </w:r>
      <w:r w:rsidR="003D72CE" w:rsidRPr="00847FAE">
        <w:t xml:space="preserve"> </w:t>
      </w:r>
      <w:r w:rsidR="00F62C8B" w:rsidRPr="00847FAE">
        <w:t>The</w:t>
      </w:r>
      <w:r w:rsidR="00B00F5B">
        <w:t>se</w:t>
      </w:r>
      <w:r w:rsidR="00F62C8B" w:rsidRPr="00847FAE">
        <w:t xml:space="preserve"> service</w:t>
      </w:r>
      <w:r w:rsidR="00B00F5B">
        <w:t>s provide</w:t>
      </w:r>
      <w:r w:rsidR="00F62C8B" w:rsidRPr="00847FAE">
        <w:t xml:space="preserve"> assistance to </w:t>
      </w:r>
      <w:r w:rsidRPr="00847FAE">
        <w:t xml:space="preserve">applicants, defendants and respondents who are appearing </w:t>
      </w:r>
      <w:r w:rsidR="00F62C8B" w:rsidRPr="00847FAE">
        <w:t>in the Magistrates Court</w:t>
      </w:r>
      <w:r w:rsidR="001069A1" w:rsidRPr="00847FAE">
        <w:t xml:space="preserve">.  </w:t>
      </w:r>
      <w:r w:rsidRPr="00847FAE">
        <w:t xml:space="preserve"> </w:t>
      </w:r>
      <w:r w:rsidR="001942D8" w:rsidRPr="00847FAE">
        <w:t>T</w:t>
      </w:r>
      <w:r w:rsidRPr="00847FAE">
        <w:t>he</w:t>
      </w:r>
      <w:r w:rsidR="00B00F5B">
        <w:t>y significantly contribute</w:t>
      </w:r>
      <w:r w:rsidR="00F62C8B" w:rsidRPr="00847FAE">
        <w:t xml:space="preserve"> to the efficiency and effectiveness of the Court</w:t>
      </w:r>
      <w:r w:rsidRPr="00847FAE">
        <w:t xml:space="preserve"> in providing access to justice to those who would otherwise have been unrepresented</w:t>
      </w:r>
      <w:r w:rsidR="00F62C8B" w:rsidRPr="00847FAE">
        <w:t>.</w:t>
      </w:r>
    </w:p>
    <w:p w14:paraId="677F2BD9" w14:textId="77777777" w:rsidR="00C01CF2" w:rsidRPr="00FF31BC" w:rsidRDefault="00C01CF2" w:rsidP="00E5311F">
      <w:pPr>
        <w:pStyle w:val="Heading2"/>
        <w:rPr>
          <w:b w:val="0"/>
        </w:rPr>
      </w:pPr>
      <w:bookmarkStart w:id="301" w:name="_Toc529270667"/>
      <w:bookmarkStart w:id="302" w:name="_Toc529270875"/>
      <w:bookmarkStart w:id="303" w:name="_Toc529272568"/>
      <w:bookmarkStart w:id="304" w:name="_Toc529272643"/>
      <w:bookmarkStart w:id="305" w:name="_Toc1041162"/>
      <w:bookmarkStart w:id="306" w:name="_Toc311717635"/>
      <w:r w:rsidRPr="00FF31BC">
        <w:t>Witness Assistance Service</w:t>
      </w:r>
      <w:bookmarkEnd w:id="301"/>
      <w:bookmarkEnd w:id="302"/>
      <w:bookmarkEnd w:id="303"/>
      <w:bookmarkEnd w:id="304"/>
      <w:bookmarkEnd w:id="305"/>
    </w:p>
    <w:p w14:paraId="14C2210A" w14:textId="77777777" w:rsidR="00C01CF2" w:rsidRPr="00FF31BC" w:rsidRDefault="00C01CF2" w:rsidP="00F91BC3">
      <w:pPr>
        <w:spacing w:before="240" w:after="240" w:line="300" w:lineRule="exact"/>
        <w:ind w:left="54"/>
        <w:rPr>
          <w:b/>
        </w:rPr>
      </w:pPr>
      <w:r w:rsidRPr="00FF31BC">
        <w:t>The Witness Assistance Service is a unit within the Office of the Director of Public Prosecutions.  In the reporting period the Witness Assistance Service received a 12 month grant through the Solicitors Guarantee Fund to provide a part</w:t>
      </w:r>
      <w:r w:rsidR="001D11D5" w:rsidRPr="00FF31BC">
        <w:t>-</w:t>
      </w:r>
      <w:r w:rsidRPr="00FF31BC">
        <w:t>time (50%) WAS officer in each of the Hobart and Launceston Magistrates Courts.  The service</w:t>
      </w:r>
      <w:r w:rsidR="001D11D5" w:rsidRPr="00FF31BC">
        <w:t xml:space="preserve">, which began operating in early 2017, </w:t>
      </w:r>
      <w:r w:rsidRPr="00FF31BC">
        <w:t>is available to provide assistance for all types of matters but with a particular focus on sexual abuse matters</w:t>
      </w:r>
      <w:r w:rsidR="001D11D5" w:rsidRPr="00FF31BC">
        <w:t xml:space="preserve"> and matters that fall outside the legislative definition of family violence</w:t>
      </w:r>
      <w:r w:rsidRPr="00FF31BC">
        <w:t xml:space="preserve">.  </w:t>
      </w:r>
      <w:r w:rsidR="001D11D5" w:rsidRPr="00FF31BC">
        <w:t>The Service also assists witnesses in the preparation of victim impact statements.</w:t>
      </w:r>
      <w:r w:rsidRPr="00FF31BC">
        <w:t xml:space="preserve">  </w:t>
      </w:r>
    </w:p>
    <w:p w14:paraId="767A441D" w14:textId="5DCEBF27" w:rsidR="00C01CF2" w:rsidRPr="00847FAE" w:rsidRDefault="00FF31BC" w:rsidP="00F91BC3">
      <w:pPr>
        <w:spacing w:before="240" w:after="240" w:line="300" w:lineRule="exact"/>
        <w:ind w:left="54"/>
      </w:pPr>
      <w:r w:rsidRPr="00FF31BC">
        <w:t>During the reporting period t</w:t>
      </w:r>
      <w:r w:rsidR="00C01CF2" w:rsidRPr="00FF31BC">
        <w:t xml:space="preserve">he </w:t>
      </w:r>
      <w:r w:rsidR="001D11D5" w:rsidRPr="00FF31BC">
        <w:t xml:space="preserve">Service dealt with </w:t>
      </w:r>
      <w:r w:rsidRPr="00FF31BC">
        <w:t xml:space="preserve">82 </w:t>
      </w:r>
      <w:r w:rsidR="001D11D5" w:rsidRPr="00FF31BC">
        <w:t xml:space="preserve">matters </w:t>
      </w:r>
      <w:r w:rsidRPr="00FF31BC">
        <w:t>in Hobart and Launceston and with 5 coronial matters</w:t>
      </w:r>
      <w:r w:rsidR="001D11D5" w:rsidRPr="00FF31BC">
        <w:t xml:space="preserve">.  The </w:t>
      </w:r>
      <w:r w:rsidR="00C01CF2" w:rsidRPr="00FF31BC">
        <w:t>positions in the Magistrates Court are meeting a gap in services and have resulted in some good outcomes for both witnesses and the Court process</w:t>
      </w:r>
      <w:r w:rsidR="007A4404" w:rsidRPr="00FF31BC">
        <w:t>,</w:t>
      </w:r>
      <w:r w:rsidR="001D11D5" w:rsidRPr="00FF31BC">
        <w:t xml:space="preserve"> since better support for witnesses often means that they are more willing to give evidence and may be able to give better-quality evidence to inform the Court.</w:t>
      </w:r>
      <w:r w:rsidR="001D11D5" w:rsidRPr="00847FAE">
        <w:t xml:space="preserve">  </w:t>
      </w:r>
    </w:p>
    <w:p w14:paraId="4B93F150" w14:textId="477E3E02" w:rsidR="00E11EA1" w:rsidRPr="00847FAE" w:rsidRDefault="00E11EA1" w:rsidP="00E5311F">
      <w:pPr>
        <w:pStyle w:val="Heading2"/>
      </w:pPr>
      <w:bookmarkStart w:id="307" w:name="_Toc529270668"/>
      <w:bookmarkStart w:id="308" w:name="_Toc529270876"/>
      <w:bookmarkStart w:id="309" w:name="_Toc529272569"/>
      <w:bookmarkStart w:id="310" w:name="_Toc529272644"/>
      <w:bookmarkStart w:id="311" w:name="_Toc1041163"/>
      <w:r w:rsidRPr="00847FAE">
        <w:t>Salvation Army - Court and Prison Chaplaincy</w:t>
      </w:r>
      <w:bookmarkEnd w:id="306"/>
      <w:bookmarkEnd w:id="307"/>
      <w:bookmarkEnd w:id="308"/>
      <w:bookmarkEnd w:id="309"/>
      <w:bookmarkEnd w:id="310"/>
      <w:bookmarkEnd w:id="311"/>
    </w:p>
    <w:p w14:paraId="059D6FBE" w14:textId="0FDAA66D" w:rsidR="00E11EA1" w:rsidRPr="00847FAE" w:rsidRDefault="00E11EA1" w:rsidP="00F91BC3">
      <w:pPr>
        <w:pStyle w:val="NormalNew"/>
        <w:keepLines w:val="0"/>
      </w:pPr>
      <w:r w:rsidRPr="00847FAE">
        <w:t>A Salvation Army Chaplain attends court on a regular basis to offe</w:t>
      </w:r>
      <w:r w:rsidR="00B00F5B">
        <w:t>r help and support through the c</w:t>
      </w:r>
      <w:r w:rsidRPr="00847FAE">
        <w:t>ourt process to offenders, their families, victims, and witnesses</w:t>
      </w:r>
      <w:r w:rsidR="001069A1" w:rsidRPr="00847FAE">
        <w:t xml:space="preserve">.  </w:t>
      </w:r>
      <w:r w:rsidRPr="00847FAE">
        <w:t xml:space="preserve"> This service </w:t>
      </w:r>
      <w:r w:rsidR="0051365C" w:rsidRPr="00847FAE">
        <w:t xml:space="preserve">also </w:t>
      </w:r>
      <w:r w:rsidRPr="00847FAE">
        <w:t>can be important as a referral service to other programs such as:</w:t>
      </w:r>
    </w:p>
    <w:p w14:paraId="03D49229" w14:textId="77777777" w:rsidR="00E11EA1" w:rsidRPr="00847FAE" w:rsidRDefault="00E11EA1" w:rsidP="00F91BC3">
      <w:pPr>
        <w:numPr>
          <w:ilvl w:val="0"/>
          <w:numId w:val="18"/>
        </w:numPr>
      </w:pPr>
      <w:r w:rsidRPr="00847FAE">
        <w:t>personal development programs</w:t>
      </w:r>
    </w:p>
    <w:p w14:paraId="0CF7E2F9" w14:textId="77777777" w:rsidR="00E11EA1" w:rsidRPr="00847FAE" w:rsidRDefault="00E11EA1" w:rsidP="00F91BC3">
      <w:pPr>
        <w:numPr>
          <w:ilvl w:val="0"/>
          <w:numId w:val="18"/>
        </w:numPr>
      </w:pPr>
      <w:r w:rsidRPr="00847FAE">
        <w:t>alcohol and drug programs</w:t>
      </w:r>
    </w:p>
    <w:p w14:paraId="1CCB2727" w14:textId="77777777" w:rsidR="00E11EA1" w:rsidRPr="00847FAE" w:rsidRDefault="00E11EA1" w:rsidP="00F91BC3">
      <w:pPr>
        <w:numPr>
          <w:ilvl w:val="0"/>
          <w:numId w:val="18"/>
        </w:numPr>
      </w:pPr>
      <w:r w:rsidRPr="00847FAE">
        <w:t>housing and homeless services</w:t>
      </w:r>
    </w:p>
    <w:p w14:paraId="38A9BB97" w14:textId="77777777" w:rsidR="00E11EA1" w:rsidRPr="00847FAE" w:rsidRDefault="00E11EA1" w:rsidP="00F91BC3">
      <w:pPr>
        <w:numPr>
          <w:ilvl w:val="0"/>
          <w:numId w:val="18"/>
        </w:numPr>
      </w:pPr>
      <w:r w:rsidRPr="00847FAE">
        <w:t>aged care assistance</w:t>
      </w:r>
    </w:p>
    <w:p w14:paraId="628E6113" w14:textId="04A91689" w:rsidR="00E11EA1" w:rsidRPr="00847FAE" w:rsidRDefault="00B00F5B" w:rsidP="00F91BC3">
      <w:pPr>
        <w:numPr>
          <w:ilvl w:val="0"/>
          <w:numId w:val="18"/>
        </w:numPr>
      </w:pPr>
      <w:r>
        <w:t>family</w:t>
      </w:r>
      <w:r w:rsidR="00E11EA1" w:rsidRPr="00847FAE">
        <w:t xml:space="preserve"> violence services</w:t>
      </w:r>
    </w:p>
    <w:p w14:paraId="0B2F1236" w14:textId="77777777" w:rsidR="00E11EA1" w:rsidRPr="00847FAE" w:rsidRDefault="007A4404" w:rsidP="00F91BC3">
      <w:pPr>
        <w:numPr>
          <w:ilvl w:val="0"/>
          <w:numId w:val="18"/>
        </w:numPr>
      </w:pPr>
      <w:r w:rsidRPr="00847FAE">
        <w:t>financial counselling</w:t>
      </w:r>
    </w:p>
    <w:p w14:paraId="74F0A91F" w14:textId="39428DC1" w:rsidR="00E11EA1" w:rsidRPr="00847FAE" w:rsidRDefault="00E11EA1" w:rsidP="00E5311F">
      <w:pPr>
        <w:pStyle w:val="Heading2"/>
      </w:pPr>
      <w:bookmarkStart w:id="312" w:name="_Toc311717637"/>
      <w:bookmarkStart w:id="313" w:name="_Toc529270669"/>
      <w:bookmarkStart w:id="314" w:name="_Toc529270877"/>
      <w:bookmarkStart w:id="315" w:name="_Toc529272570"/>
      <w:bookmarkStart w:id="316" w:name="_Toc529272645"/>
      <w:bookmarkStart w:id="317" w:name="_Toc1041164"/>
      <w:r w:rsidRPr="00847FAE">
        <w:t>Save the Children</w:t>
      </w:r>
      <w:bookmarkEnd w:id="312"/>
      <w:bookmarkEnd w:id="313"/>
      <w:bookmarkEnd w:id="314"/>
      <w:bookmarkEnd w:id="315"/>
      <w:bookmarkEnd w:id="316"/>
      <w:bookmarkEnd w:id="317"/>
    </w:p>
    <w:p w14:paraId="44CF3F0F" w14:textId="0EB75F75" w:rsidR="00343CBB" w:rsidRPr="00847FAE" w:rsidRDefault="00343CBB" w:rsidP="00F91BC3">
      <w:pPr>
        <w:pStyle w:val="NormalNew"/>
        <w:keepLines w:val="0"/>
      </w:pPr>
      <w:r w:rsidRPr="00847FAE">
        <w:t xml:space="preserve">Save the Children (STC) continues to support and assist statewide some of the young people who are subject to bail and young people who have transitioned from Ashley Youth Detention Centre.  A STC youth worker will interview the young person and assist them to identify some </w:t>
      </w:r>
      <w:r w:rsidRPr="00847FAE">
        <w:lastRenderedPageBreak/>
        <w:t>pro-social goals and develop a plan as to how to achieve the identified goals.  The STC youth workers will also assist with supporting the young person to seek legal advice, attend appointments and attend court.  A report is prepared to update the Court on the progress being made by the young person.  STC will also support the young person to engage in some pro-social recreational activities which provides other options to offending behaviour.  The partnership between STC and the youth court is an invaluable resource in working as a collaborative team to achieve better outcomes for some of our very disadvantaged young people who are offending and appearing in court.</w:t>
      </w:r>
    </w:p>
    <w:p w14:paraId="72ADDEFB" w14:textId="2C30F570" w:rsidR="00E11EA1" w:rsidRPr="00847FAE" w:rsidRDefault="00E11EA1" w:rsidP="00E5311F">
      <w:pPr>
        <w:pStyle w:val="Heading2"/>
      </w:pPr>
      <w:bookmarkStart w:id="318" w:name="_Toc311717638"/>
      <w:bookmarkStart w:id="319" w:name="_Toc529270670"/>
      <w:bookmarkStart w:id="320" w:name="_Toc529270878"/>
      <w:bookmarkStart w:id="321" w:name="_Toc529272571"/>
      <w:bookmarkStart w:id="322" w:name="_Toc529272646"/>
      <w:bookmarkStart w:id="323" w:name="_Toc1041165"/>
      <w:r w:rsidRPr="00847FAE">
        <w:t>Baptcare and Mission Australia</w:t>
      </w:r>
      <w:bookmarkEnd w:id="318"/>
      <w:bookmarkEnd w:id="319"/>
      <w:bookmarkEnd w:id="320"/>
      <w:bookmarkEnd w:id="321"/>
      <w:bookmarkEnd w:id="322"/>
      <w:bookmarkEnd w:id="323"/>
    </w:p>
    <w:p w14:paraId="13504078" w14:textId="77777777" w:rsidR="00E11EA1" w:rsidRPr="00847FAE" w:rsidRDefault="00E11EA1" w:rsidP="00F91BC3">
      <w:pPr>
        <w:pStyle w:val="NormalNew"/>
        <w:keepLines w:val="0"/>
      </w:pPr>
      <w:r w:rsidRPr="00847FAE">
        <w:t>Other services that actively engage with the Youth Justice Court are Baptcare and Mission Australia offering assistance and support to young people with a range of needs, such as homelessness, alcohol and drug problems, education and training, family breakdown, and mental illness.</w:t>
      </w:r>
    </w:p>
    <w:p w14:paraId="08C5EF39" w14:textId="7960FA92" w:rsidR="00E11EA1" w:rsidRPr="00847FAE" w:rsidRDefault="00E11EA1" w:rsidP="00E5311F">
      <w:pPr>
        <w:pStyle w:val="Heading2"/>
      </w:pPr>
      <w:bookmarkStart w:id="324" w:name="_Toc311717639"/>
      <w:bookmarkStart w:id="325" w:name="_Toc529270671"/>
      <w:bookmarkStart w:id="326" w:name="_Toc529270879"/>
      <w:bookmarkStart w:id="327" w:name="_Toc529272572"/>
      <w:bookmarkStart w:id="328" w:name="_Toc529272647"/>
      <w:bookmarkStart w:id="329" w:name="_Toc1041166"/>
      <w:r w:rsidRPr="00847FAE">
        <w:t>Community Legal Services</w:t>
      </w:r>
      <w:bookmarkEnd w:id="324"/>
      <w:bookmarkEnd w:id="325"/>
      <w:bookmarkEnd w:id="326"/>
      <w:bookmarkEnd w:id="327"/>
      <w:bookmarkEnd w:id="328"/>
      <w:bookmarkEnd w:id="329"/>
    </w:p>
    <w:p w14:paraId="2C7716F4" w14:textId="51A3C0F9" w:rsidR="00E11EA1" w:rsidRPr="00847FAE" w:rsidRDefault="00E11EA1" w:rsidP="00F91BC3">
      <w:pPr>
        <w:pStyle w:val="NormalNew"/>
        <w:keepLines w:val="0"/>
      </w:pPr>
      <w:r w:rsidRPr="00847FAE">
        <w:t>In each region of the State the Court is assisted by the various Community Legal Services</w:t>
      </w:r>
      <w:r w:rsidR="001069A1" w:rsidRPr="00847FAE">
        <w:t xml:space="preserve">.  </w:t>
      </w:r>
      <w:r w:rsidRPr="00847FAE">
        <w:t>The Hobart Community Legal Service has offices in Hobart and Bridgewater</w:t>
      </w:r>
      <w:r w:rsidR="001069A1" w:rsidRPr="00847FAE">
        <w:t xml:space="preserve">.  </w:t>
      </w:r>
      <w:r w:rsidRPr="00847FAE">
        <w:t xml:space="preserve">Along with the provision of free legal advice, the HCLS </w:t>
      </w:r>
      <w:r w:rsidR="00FA6C12" w:rsidRPr="00847FAE">
        <w:t>provides legal representation for the after-hours and weekend courts and the on-call roster for holiday periods</w:t>
      </w:r>
      <w:r w:rsidR="001069A1" w:rsidRPr="00847FAE">
        <w:t xml:space="preserve">.  </w:t>
      </w:r>
      <w:r w:rsidRPr="00847FAE">
        <w:t>In Launceston the Launceston Community Legal Centre provides free legal advice and referral to Legal Aid and private practitioners</w:t>
      </w:r>
      <w:r w:rsidR="001069A1" w:rsidRPr="00847FAE">
        <w:t xml:space="preserve">.  </w:t>
      </w:r>
      <w:r w:rsidRPr="00847FAE">
        <w:t>In Burnie and Devonport the North West Community Legal Centre Inc</w:t>
      </w:r>
      <w:r w:rsidR="001069A1" w:rsidRPr="00847FAE">
        <w:t xml:space="preserve">  </w:t>
      </w:r>
      <w:r w:rsidRPr="00847FAE">
        <w:t>provides a similar service</w:t>
      </w:r>
      <w:r w:rsidR="001069A1" w:rsidRPr="00847FAE">
        <w:t xml:space="preserve">.  </w:t>
      </w:r>
      <w:r w:rsidRPr="00847FAE">
        <w:t xml:space="preserve">All these organisations assist the Court greatly </w:t>
      </w:r>
      <w:r w:rsidR="00B00F5B">
        <w:t>by</w:t>
      </w:r>
      <w:r w:rsidRPr="00847FAE">
        <w:t xml:space="preserve"> preparing parties </w:t>
      </w:r>
      <w:r w:rsidR="00B00F5B">
        <w:t xml:space="preserve">with information </w:t>
      </w:r>
      <w:r w:rsidRPr="00847FAE">
        <w:t>on how the Court process operates and what is expected to happen in the court</w:t>
      </w:r>
      <w:r w:rsidR="007D11DC" w:rsidRPr="00847FAE">
        <w:t xml:space="preserve"> </w:t>
      </w:r>
      <w:r w:rsidRPr="00847FAE">
        <w:t>room.</w:t>
      </w:r>
    </w:p>
    <w:p w14:paraId="0D3A6CB6" w14:textId="77777777" w:rsidR="0047341B" w:rsidRPr="00847FAE" w:rsidRDefault="0047341B">
      <w:pPr>
        <w:rPr>
          <w:rFonts w:cs="Arial"/>
          <w:b/>
          <w:bCs/>
          <w:kern w:val="32"/>
          <w:sz w:val="48"/>
          <w:szCs w:val="32"/>
        </w:rPr>
      </w:pPr>
      <w:bookmarkStart w:id="330" w:name="_Toc277684616"/>
      <w:bookmarkStart w:id="331" w:name="_Toc311717640"/>
      <w:bookmarkStart w:id="332" w:name="_Toc311718303"/>
      <w:bookmarkStart w:id="333" w:name="_Toc311725668"/>
      <w:bookmarkStart w:id="334" w:name="_Toc247096998"/>
      <w:r w:rsidRPr="00847FAE">
        <w:br w:type="page"/>
      </w:r>
    </w:p>
    <w:p w14:paraId="6FB85FC9" w14:textId="2971C90B" w:rsidR="00E11EA1" w:rsidRPr="00847FAE" w:rsidRDefault="00E11EA1" w:rsidP="006D6732">
      <w:pPr>
        <w:pStyle w:val="Heading1"/>
      </w:pPr>
      <w:bookmarkStart w:id="335" w:name="_Toc529270672"/>
      <w:bookmarkStart w:id="336" w:name="_Toc529270880"/>
      <w:bookmarkStart w:id="337" w:name="_Toc529272573"/>
      <w:bookmarkStart w:id="338" w:name="_Toc529272648"/>
      <w:bookmarkStart w:id="339" w:name="_Toc1041167"/>
      <w:r w:rsidRPr="00847FAE">
        <w:lastRenderedPageBreak/>
        <w:t>Coronial Division</w:t>
      </w:r>
      <w:bookmarkEnd w:id="330"/>
      <w:bookmarkEnd w:id="331"/>
      <w:bookmarkEnd w:id="332"/>
      <w:bookmarkEnd w:id="333"/>
      <w:bookmarkEnd w:id="335"/>
      <w:bookmarkEnd w:id="336"/>
      <w:bookmarkEnd w:id="337"/>
      <w:bookmarkEnd w:id="338"/>
      <w:bookmarkEnd w:id="339"/>
    </w:p>
    <w:p w14:paraId="6F5BA6EA" w14:textId="40439BE7" w:rsidR="00B96F7E" w:rsidRPr="00344C0B" w:rsidRDefault="00B96F7E" w:rsidP="00344C0B">
      <w:pPr>
        <w:pStyle w:val="NormalNew"/>
        <w:keepLines w:val="0"/>
      </w:pPr>
      <w:r w:rsidRPr="00344C0B">
        <w:t xml:space="preserve">The jurisdiction and operation of the Coronial Division is set out in the </w:t>
      </w:r>
      <w:r w:rsidRPr="00344C0B">
        <w:rPr>
          <w:i/>
        </w:rPr>
        <w:t>Coroners Act</w:t>
      </w:r>
      <w:r w:rsidRPr="00344C0B">
        <w:t xml:space="preserve"> 1995 and the </w:t>
      </w:r>
      <w:r w:rsidRPr="00344C0B">
        <w:rPr>
          <w:i/>
        </w:rPr>
        <w:t>Coroners Rules</w:t>
      </w:r>
      <w:r w:rsidRPr="00344C0B">
        <w:t xml:space="preserve"> 2006. </w:t>
      </w:r>
      <w:r w:rsidR="00344C0B" w:rsidRPr="00344C0B">
        <w:t xml:space="preserve"> </w:t>
      </w:r>
      <w:r w:rsidRPr="00344C0B">
        <w:t xml:space="preserve">This report is submitted pursuant to section 69 of the </w:t>
      </w:r>
      <w:r w:rsidRPr="00344C0B">
        <w:rPr>
          <w:i/>
        </w:rPr>
        <w:t>Coroners Act</w:t>
      </w:r>
      <w:r w:rsidRPr="00344C0B">
        <w:t xml:space="preserve"> 1995 (the Act).</w:t>
      </w:r>
    </w:p>
    <w:p w14:paraId="2A1F5133" w14:textId="6AE36ADF" w:rsidR="00B96F7E" w:rsidRPr="00344C0B" w:rsidRDefault="00B96F7E" w:rsidP="00344C0B">
      <w:pPr>
        <w:pStyle w:val="NormalNew"/>
        <w:keepLines w:val="0"/>
      </w:pPr>
      <w:r w:rsidRPr="00344C0B">
        <w:t>The jurisdiction of the coroner is to investigate reportable</w:t>
      </w:r>
      <w:r w:rsidR="00344C0B">
        <w:t xml:space="preserve"> deaths, fires and explosions.  </w:t>
      </w:r>
      <w:r w:rsidRPr="00344C0B">
        <w:t>Reportable deaths are primarily those that are sudden, unnatu</w:t>
      </w:r>
      <w:r w:rsidR="00344C0B">
        <w:t xml:space="preserve">ral, unexpected or suspicious.  </w:t>
      </w:r>
      <w:r w:rsidRPr="00344C0B">
        <w:t>Coroners are required to make recommendations where appropriate and comment on matters related to public health or safety or the administration of justice, and for the purpose of prevention of future deaths.</w:t>
      </w:r>
    </w:p>
    <w:p w14:paraId="0E7AE47A" w14:textId="11944EC1" w:rsidR="00B96F7E" w:rsidRPr="00344C0B" w:rsidRDefault="00B96F7E" w:rsidP="00344C0B">
      <w:pPr>
        <w:pStyle w:val="NormalNew"/>
        <w:keepLines w:val="0"/>
      </w:pPr>
      <w:r w:rsidRPr="00344C0B">
        <w:t xml:space="preserve">Coroner Olivia McTaggart continued her role as the Chief Magistrate’s delegate and full-time coroner. </w:t>
      </w:r>
      <w:r w:rsidR="00344C0B">
        <w:t xml:space="preserve"> </w:t>
      </w:r>
      <w:r w:rsidRPr="00344C0B">
        <w:t xml:space="preserve">Coroner Simon Cooper also undertook a full-time coronial role from December 2017 and Coroner Rod Chandler maintained his 0.8 FTE role as a coroner during the reporting period. </w:t>
      </w:r>
      <w:r w:rsidR="00344C0B">
        <w:t xml:space="preserve"> </w:t>
      </w:r>
      <w:r w:rsidRPr="00344C0B">
        <w:t>Coroner Duncan Fairley returned to a full-time magistrate’s role at the beginning of 2018.</w:t>
      </w:r>
    </w:p>
    <w:p w14:paraId="43EFB1BD" w14:textId="32CEEB68" w:rsidR="00B96F7E" w:rsidRPr="00344C0B" w:rsidRDefault="00B96F7E" w:rsidP="00344C0B">
      <w:pPr>
        <w:pStyle w:val="NormalNew"/>
        <w:keepLines w:val="0"/>
      </w:pPr>
      <w:r w:rsidRPr="00344C0B">
        <w:t xml:space="preserve">I thank the many organisations involved in assisting the work of the Coronial Division. </w:t>
      </w:r>
      <w:r w:rsidR="00344C0B">
        <w:t xml:space="preserve"> </w:t>
      </w:r>
      <w:r w:rsidRPr="00344C0B">
        <w:t xml:space="preserve">I am appreciative of the work of the Chief Clerk and Manager of the Division, Penelope Ikedife and Victor Stojcevski respectively. </w:t>
      </w:r>
      <w:r w:rsidR="00344C0B">
        <w:t xml:space="preserve"> </w:t>
      </w:r>
      <w:r w:rsidRPr="00344C0B">
        <w:t xml:space="preserve">I acknowledge the crucial role of the State Forensic Pathologist, Dr Chris Lawrence, and his team of forensic pathologists. </w:t>
      </w:r>
      <w:r w:rsidR="00344C0B">
        <w:t xml:space="preserve"> </w:t>
      </w:r>
      <w:r w:rsidRPr="00344C0B">
        <w:t>I would also like to underscore the vital support provided by all levels of Tasmania Police, including the many officers who assist the cor</w:t>
      </w:r>
      <w:r w:rsidR="00344C0B">
        <w:t xml:space="preserve">oners in their investigations.  </w:t>
      </w:r>
      <w:r w:rsidRPr="00344C0B">
        <w:t xml:space="preserve">In particular, I acknowledge the assistance provided to coroners by coroner’s associates, and the cooperative manner in which up to eleven associates have integrated themselves at various times into the operations of the Division. </w:t>
      </w:r>
      <w:r w:rsidR="00344C0B">
        <w:t xml:space="preserve"> </w:t>
      </w:r>
      <w:r w:rsidRPr="00344C0B">
        <w:t>Similarly, I would also like to acknowledge the important functions played in coronial investigations by: Forensic Science Service Tasmania; forensic odontologists; Dr Tony Bell, the in-house medical adviser to the coroners and; Ms L Newman, the Clinical Nurse Specialist, Forensic Pathology.</w:t>
      </w:r>
    </w:p>
    <w:p w14:paraId="5D8271C8" w14:textId="23ADAE28" w:rsidR="00B96F7E" w:rsidRPr="00344C0B" w:rsidRDefault="00B96F7E" w:rsidP="00344C0B">
      <w:pPr>
        <w:pStyle w:val="NormalNew"/>
        <w:keepLines w:val="0"/>
      </w:pPr>
      <w:r w:rsidRPr="00344C0B">
        <w:t xml:space="preserve">For the second consecutive year, the </w:t>
      </w:r>
      <w:r w:rsidR="00806575" w:rsidRPr="00344C0B">
        <w:t xml:space="preserve">Coronial Division </w:t>
      </w:r>
      <w:r w:rsidRPr="00344C0B">
        <w:t xml:space="preserve">achieved a case finalisation rate in excess of 100 per cent.  This means that the </w:t>
      </w:r>
      <w:r w:rsidR="00806575" w:rsidRPr="00344C0B">
        <w:t xml:space="preserve">Division </w:t>
      </w:r>
      <w:r w:rsidRPr="00344C0B">
        <w:t xml:space="preserve">finalised more cases than were lodged during the reporting period.  It was also the highest finalisation rate (101.2%) recorded by the </w:t>
      </w:r>
      <w:r w:rsidR="00806575" w:rsidRPr="00344C0B">
        <w:t xml:space="preserve">Division </w:t>
      </w:r>
      <w:r w:rsidRPr="00344C0B">
        <w:t xml:space="preserve">for the previous ten years. </w:t>
      </w:r>
      <w:r w:rsidR="00344C0B">
        <w:t xml:space="preserve"> </w:t>
      </w:r>
      <w:r w:rsidRPr="00344C0B">
        <w:t>The coroners, coroners’ staff and coroners’ associates continue to develop and refine strategies to increase efficiencies, notwithstanding the difficult resourcing climate.</w:t>
      </w:r>
    </w:p>
    <w:p w14:paraId="7053E27D" w14:textId="77777777" w:rsidR="00B96F7E" w:rsidRPr="00344C0B" w:rsidRDefault="00B96F7E" w:rsidP="00344C0B">
      <w:pPr>
        <w:pStyle w:val="Heading2"/>
      </w:pPr>
      <w:bookmarkStart w:id="340" w:name="_Toc1041168"/>
      <w:r w:rsidRPr="00344C0B">
        <w:t>Tasmanian Suicide Register</w:t>
      </w:r>
      <w:bookmarkEnd w:id="340"/>
    </w:p>
    <w:p w14:paraId="5D24D7A2" w14:textId="3D58BD4F" w:rsidR="00B96F7E" w:rsidRPr="00344C0B" w:rsidRDefault="00B96F7E" w:rsidP="00344C0B">
      <w:pPr>
        <w:pStyle w:val="NormalNew"/>
        <w:keepLines w:val="0"/>
      </w:pPr>
      <w:r w:rsidRPr="00344C0B">
        <w:t>The Tasmanian Suicide Register (TSR) commenced operation in the Coronial Division of the Magistrates Court on 6 November 2017.</w:t>
      </w:r>
    </w:p>
    <w:p w14:paraId="6BC4F4AB" w14:textId="77777777" w:rsidR="00E44631" w:rsidRPr="00344C0B" w:rsidRDefault="00B96F7E" w:rsidP="00344C0B">
      <w:pPr>
        <w:pStyle w:val="NormalNew"/>
        <w:keepLines w:val="0"/>
      </w:pPr>
      <w:r w:rsidRPr="00344C0B">
        <w:t xml:space="preserve">The TSR is a state-based suicide surveillance system, operated by a trained research officer.  It will gather detailed information on people who die by suicide in Tasmania and the circumstances surrounding their death. The TSR will: </w:t>
      </w:r>
    </w:p>
    <w:p w14:paraId="15F8FF43" w14:textId="77777777" w:rsidR="00E44631" w:rsidRPr="00344C0B" w:rsidRDefault="00B96F7E" w:rsidP="00344C0B">
      <w:pPr>
        <w:pStyle w:val="NormalNew"/>
        <w:keepLines w:val="0"/>
        <w:numPr>
          <w:ilvl w:val="0"/>
          <w:numId w:val="31"/>
        </w:numPr>
      </w:pPr>
      <w:r w:rsidRPr="00344C0B">
        <w:t xml:space="preserve">enable detailed analysis of demographics and trends over time; </w:t>
      </w:r>
    </w:p>
    <w:p w14:paraId="4B90B316" w14:textId="77777777" w:rsidR="00E44631" w:rsidRPr="00344C0B" w:rsidRDefault="00B96F7E" w:rsidP="00344C0B">
      <w:pPr>
        <w:pStyle w:val="NormalNew"/>
        <w:keepLines w:val="0"/>
        <w:numPr>
          <w:ilvl w:val="0"/>
          <w:numId w:val="31"/>
        </w:numPr>
      </w:pPr>
      <w:r w:rsidRPr="00344C0B">
        <w:lastRenderedPageBreak/>
        <w:t xml:space="preserve">provide data for future policy and planning to inform targeted public health and suicide prevention policy; </w:t>
      </w:r>
    </w:p>
    <w:p w14:paraId="66B7F75E" w14:textId="3BF9E24C" w:rsidR="00E44631" w:rsidRPr="00344C0B" w:rsidRDefault="00B96F7E" w:rsidP="00344C0B">
      <w:pPr>
        <w:pStyle w:val="NormalNew"/>
        <w:keepLines w:val="0"/>
        <w:numPr>
          <w:ilvl w:val="0"/>
          <w:numId w:val="31"/>
        </w:numPr>
      </w:pPr>
      <w:r w:rsidRPr="00344C0B">
        <w:t>assist in the evaluation of suicide prevention initiatives</w:t>
      </w:r>
      <w:r w:rsidR="00E44631" w:rsidRPr="00344C0B">
        <w:t>;</w:t>
      </w:r>
      <w:r w:rsidRPr="00344C0B">
        <w:t xml:space="preserve"> and </w:t>
      </w:r>
    </w:p>
    <w:p w14:paraId="6971565D" w14:textId="5B5BAAE5" w:rsidR="00B96F7E" w:rsidRPr="00344C0B" w:rsidRDefault="00B96F7E" w:rsidP="00344C0B">
      <w:pPr>
        <w:pStyle w:val="NormalNew"/>
        <w:keepLines w:val="0"/>
        <w:numPr>
          <w:ilvl w:val="0"/>
          <w:numId w:val="31"/>
        </w:numPr>
      </w:pPr>
      <w:r w:rsidRPr="00344C0B">
        <w:t>be accessible to genuine researchers in this field.</w:t>
      </w:r>
    </w:p>
    <w:p w14:paraId="3C0B18EF" w14:textId="0CB68866" w:rsidR="00B96F7E" w:rsidRPr="00344C0B" w:rsidRDefault="00B96F7E" w:rsidP="00344C0B">
      <w:pPr>
        <w:pStyle w:val="NormalNew"/>
        <w:keepLines w:val="0"/>
      </w:pPr>
      <w:r w:rsidRPr="00344C0B">
        <w:t xml:space="preserve">Information gathered during the coronial investigation produces the richest source of data from which to understand a suicide death. </w:t>
      </w:r>
      <w:r w:rsidR="00344C0B">
        <w:t xml:space="preserve"> </w:t>
      </w:r>
      <w:r w:rsidRPr="00344C0B">
        <w:t xml:space="preserve">The TSR is deliberately </w:t>
      </w:r>
      <w:r w:rsidR="00DB7E86" w:rsidRPr="00344C0B">
        <w:t xml:space="preserve">placed </w:t>
      </w:r>
      <w:r w:rsidRPr="00344C0B">
        <w:t>within the coronial setting to assist Tasmanian coroners to understand Tasmanian suicide data in greater detail, and to make recommendations to prevent suicide</w:t>
      </w:r>
      <w:r w:rsidR="00DB7E86" w:rsidRPr="00DB7E86">
        <w:t xml:space="preserve"> </w:t>
      </w:r>
      <w:r w:rsidR="00DB7E86">
        <w:t xml:space="preserve">that are informed by </w:t>
      </w:r>
      <w:r w:rsidR="00DB7E86" w:rsidRPr="00344C0B">
        <w:t>evidence</w:t>
      </w:r>
      <w:r w:rsidRPr="00344C0B">
        <w:t xml:space="preserve">. </w:t>
      </w:r>
    </w:p>
    <w:p w14:paraId="10C858ED" w14:textId="27BD084B" w:rsidR="00B96F7E" w:rsidRPr="00344C0B" w:rsidRDefault="00DB7E86" w:rsidP="00344C0B">
      <w:pPr>
        <w:pStyle w:val="NormalNew"/>
        <w:keepLines w:val="0"/>
      </w:pPr>
      <w:r>
        <w:t>The e</w:t>
      </w:r>
      <w:r w:rsidR="00B96F7E" w:rsidRPr="00344C0B">
        <w:t xml:space="preserve">stablishment of a TSR was one of a number of recommendations made by Coroner McTaggart in inquest findings released in November 2016. </w:t>
      </w:r>
      <w:r w:rsidR="00344C0B">
        <w:t xml:space="preserve"> </w:t>
      </w:r>
      <w:r w:rsidR="00B96F7E" w:rsidRPr="00344C0B">
        <w:t xml:space="preserve">The TSR is funded by the Tasmanian Department of Health and Human Services (DHHS) and is a key action of the Tasmanian Suicide Prevention Strategy 2016-2020. </w:t>
      </w:r>
      <w:r w:rsidR="00344C0B">
        <w:t xml:space="preserve"> </w:t>
      </w:r>
      <w:r w:rsidR="00B96F7E" w:rsidRPr="00344C0B">
        <w:t>Its establishment has been collaborative project between the Departments of Health and Human Services (DHHS) and Justice (DoJ), and the Coronial Division, and is governed by an inter-agency project working group.</w:t>
      </w:r>
    </w:p>
    <w:p w14:paraId="7108363D" w14:textId="24796F65" w:rsidR="00B96F7E" w:rsidRPr="00344C0B" w:rsidRDefault="00DB7E86" w:rsidP="00344C0B">
      <w:pPr>
        <w:pStyle w:val="NormalNew"/>
        <w:keepLines w:val="0"/>
      </w:pPr>
      <w:r>
        <w:t xml:space="preserve">I </w:t>
      </w:r>
      <w:r w:rsidR="00B96F7E" w:rsidRPr="00344C0B">
        <w:t xml:space="preserve">would like to acknowledge the ongoing support for this project from DHHS and DoJ, and from Victoria’s State Coroner, Judge Sara Hinchey, throughout the establishment of the TSR. </w:t>
      </w:r>
      <w:r w:rsidR="00344C0B">
        <w:t xml:space="preserve"> </w:t>
      </w:r>
      <w:r w:rsidR="00B96F7E" w:rsidRPr="00344C0B">
        <w:t>The Coroner’s Court of Victoria assisted the establishment and will continue to provide support to the project until 31 December 2018.</w:t>
      </w:r>
    </w:p>
    <w:p w14:paraId="6315C090" w14:textId="77777777" w:rsidR="00B96F7E" w:rsidRPr="00344C0B" w:rsidRDefault="00B96F7E" w:rsidP="00344C0B">
      <w:pPr>
        <w:pStyle w:val="Heading2"/>
      </w:pPr>
      <w:bookmarkStart w:id="341" w:name="_Toc1041169"/>
      <w:r w:rsidRPr="00344C0B">
        <w:t>Tasmanian Multiple Fatality Response Plan (Associate Plan)</w:t>
      </w:r>
      <w:bookmarkEnd w:id="341"/>
    </w:p>
    <w:p w14:paraId="54893EA3" w14:textId="6E3294A3" w:rsidR="00B96F7E" w:rsidRPr="00344C0B" w:rsidRDefault="00B96F7E" w:rsidP="00344C0B">
      <w:pPr>
        <w:pStyle w:val="NormalNew"/>
        <w:keepLines w:val="0"/>
      </w:pPr>
      <w:r w:rsidRPr="00344C0B">
        <w:t xml:space="preserve">The Tasmanian Multiple Fatality Response Plan (2017) was approved in December 2017 by the State Emergency Management Committee as a state level emergency management plan issued by the Chief Magistrate’s delegate and maintained by the Department of Justice. </w:t>
      </w:r>
      <w:r w:rsidR="00344C0B">
        <w:t xml:space="preserve"> </w:t>
      </w:r>
      <w:r w:rsidRPr="00344C0B">
        <w:t>The Associate Plan replaces the Tasmanian Coronial Services Plan 2003.</w:t>
      </w:r>
    </w:p>
    <w:p w14:paraId="3034C364" w14:textId="22D98BCD" w:rsidR="00B96F7E" w:rsidRPr="00344C0B" w:rsidRDefault="00B96F7E" w:rsidP="00344C0B">
      <w:pPr>
        <w:pStyle w:val="NormalNew"/>
        <w:keepLines w:val="0"/>
      </w:pPr>
      <w:r w:rsidRPr="00344C0B">
        <w:t>The Coronial Division, in consultation with Tasmania Police, the State Emergency Service, the Department of Premier and Cabinet, Ambulance Tasmania, the Department of Health and Human Services and the State Forensic Pathologist, prepared th</w:t>
      </w:r>
      <w:r w:rsidR="00DB7E86">
        <w:t>e</w:t>
      </w:r>
      <w:r w:rsidRPr="00344C0B">
        <w:t xml:space="preserve"> Plan.</w:t>
      </w:r>
    </w:p>
    <w:p w14:paraId="5CA386F8" w14:textId="7CDFBA64" w:rsidR="00B96F7E" w:rsidRPr="00344C0B" w:rsidRDefault="00B96F7E" w:rsidP="00344C0B">
      <w:pPr>
        <w:pStyle w:val="NormalNew"/>
        <w:keepLines w:val="0"/>
      </w:pPr>
      <w:r w:rsidRPr="00344C0B">
        <w:t>The Plan aims to describe the arrangements for co-ordinating statewide coronial services to manage a multiple fatality event in Tasmania and is based on existing legal processes and practices.</w:t>
      </w:r>
      <w:r w:rsidR="00DB7E86">
        <w:t xml:space="preserve"> </w:t>
      </w:r>
      <w:r w:rsidRPr="00344C0B">
        <w:t xml:space="preserve"> It provides an agreed framework to manage multiple fatality events, notwithstanding whether an emergency exists or not. </w:t>
      </w:r>
      <w:r w:rsidR="00344C0B">
        <w:t xml:space="preserve"> </w:t>
      </w:r>
      <w:r w:rsidRPr="00344C0B">
        <w:t xml:space="preserve">The Plan is </w:t>
      </w:r>
      <w:r w:rsidR="00C56D84" w:rsidRPr="00344C0B">
        <w:t>focused</w:t>
      </w:r>
      <w:r w:rsidRPr="00344C0B">
        <w:t xml:space="preserve"> on coronial services, but also envisages Disaster Victim Identification (DVI) scenarios in the case of an emergency. </w:t>
      </w:r>
    </w:p>
    <w:p w14:paraId="087DC2B8" w14:textId="77777777" w:rsidR="00B96F7E" w:rsidRPr="00344C0B" w:rsidRDefault="00B96F7E" w:rsidP="00344C0B">
      <w:pPr>
        <w:pStyle w:val="Heading2"/>
      </w:pPr>
      <w:bookmarkStart w:id="342" w:name="_Toc1041170"/>
      <w:r w:rsidRPr="00344C0B">
        <w:t>Tasmanian Overdose Deaths Register</w:t>
      </w:r>
      <w:bookmarkEnd w:id="342"/>
    </w:p>
    <w:p w14:paraId="36D05C09" w14:textId="4A413195" w:rsidR="00B96F7E" w:rsidRPr="00344C0B" w:rsidRDefault="00B96F7E" w:rsidP="00344C0B">
      <w:pPr>
        <w:pStyle w:val="NormalNew"/>
        <w:keepLines w:val="0"/>
      </w:pPr>
      <w:r w:rsidRPr="00344C0B">
        <w:t xml:space="preserve">In Tasmania, all deaths from suspected non-natural causes (including suspected overdose deaths) must be reported to the Coronial Division for investigation. </w:t>
      </w:r>
      <w:r w:rsidR="00344C0B">
        <w:t xml:space="preserve"> </w:t>
      </w:r>
      <w:r w:rsidRPr="00344C0B">
        <w:t>If the investigation establishes the death was an overdose, it is entered into the Tasmanian Overdose Deaths Register (TODR).</w:t>
      </w:r>
    </w:p>
    <w:p w14:paraId="0BA62E7A" w14:textId="3855D24A" w:rsidR="00B96F7E" w:rsidRPr="00344C0B" w:rsidRDefault="00B96F7E" w:rsidP="00344C0B">
      <w:pPr>
        <w:pStyle w:val="NormalNew"/>
        <w:keepLines w:val="0"/>
      </w:pPr>
      <w:r w:rsidRPr="00344C0B">
        <w:t xml:space="preserve">The TODR definition of an overdose death is consistent with the definition of “drug poisoning death” and is a death where the expert death investigators (the coroner, forensic pathologist </w:t>
      </w:r>
      <w:r w:rsidRPr="00344C0B">
        <w:lastRenderedPageBreak/>
        <w:t xml:space="preserve">and forensic toxicologist) established that the acute toxic effects of a drug or drugs played a contributory role. </w:t>
      </w:r>
      <w:r w:rsidR="00344C0B">
        <w:t xml:space="preserve"> </w:t>
      </w:r>
      <w:r w:rsidRPr="00344C0B">
        <w:t xml:space="preserve">Therefore, overdose deaths include deaths where acute toxic effects of drugs were the only cause, and deaths where acute drug toxicity contributed in combination with other non-drug causes such as cardiovascular or respiratory disease. </w:t>
      </w:r>
      <w:r w:rsidR="00344C0B">
        <w:t xml:space="preserve"> </w:t>
      </w:r>
      <w:r w:rsidRPr="00344C0B">
        <w:t>Deaths associated with the behavioural effects of drug taking (for example a fatal motor vehicle collision while affected by drugs and alcohol) or its chronic effects (for example haemorrhage of a gastrointestinal ulcer caused by chronic ibuprofen consumption) are excluded.</w:t>
      </w:r>
    </w:p>
    <w:p w14:paraId="30A63FAE" w14:textId="38EF9BA3" w:rsidR="00B96F7E" w:rsidRPr="00344C0B" w:rsidRDefault="00B96F7E" w:rsidP="00344C0B">
      <w:pPr>
        <w:pStyle w:val="NormalNew"/>
        <w:keepLines w:val="0"/>
      </w:pPr>
      <w:r w:rsidRPr="00344C0B">
        <w:t>In 2018, the coroners provided the Tasmanian Opioid Pharmacotherapy Review (Alcohol and Drug Service), the Chief Psychiatrist and Chief Pharmacist with access to a data summary of the TODR, which examined overdose deaths reported to and investigated by coroners during the period 2007-2016.</w:t>
      </w:r>
    </w:p>
    <w:p w14:paraId="74E5C21C" w14:textId="77777777" w:rsidR="00B96F7E" w:rsidRPr="00344C0B" w:rsidRDefault="00B96F7E" w:rsidP="00344C0B">
      <w:pPr>
        <w:pStyle w:val="Heading2"/>
      </w:pPr>
      <w:bookmarkStart w:id="343" w:name="_Toc1041171"/>
      <w:r w:rsidRPr="00344C0B">
        <w:t>Deaths in Custody</w:t>
      </w:r>
      <w:bookmarkEnd w:id="343"/>
    </w:p>
    <w:p w14:paraId="2D54AC73" w14:textId="07DA6CC4" w:rsidR="00B96F7E" w:rsidRPr="00344C0B" w:rsidRDefault="00B96F7E" w:rsidP="00344C0B">
      <w:pPr>
        <w:pStyle w:val="NormalNew"/>
        <w:keepLines w:val="0"/>
      </w:pPr>
      <w:r w:rsidRPr="00344C0B">
        <w:t xml:space="preserve">As required by section 69(2)(a) of the Act, I advise that during the reporting period there was one death in custody reported to the Coroner.  No inquests into deaths in custody were concluded in the reporting period.  </w:t>
      </w:r>
    </w:p>
    <w:p w14:paraId="2468906B" w14:textId="77777777" w:rsidR="00B96F7E" w:rsidRPr="00344C0B" w:rsidRDefault="00B96F7E" w:rsidP="00344C0B">
      <w:pPr>
        <w:pStyle w:val="Heading2"/>
      </w:pPr>
      <w:bookmarkStart w:id="344" w:name="_Toc1041172"/>
      <w:r w:rsidRPr="00344C0B">
        <w:t>Deaths in Care</w:t>
      </w:r>
      <w:bookmarkEnd w:id="344"/>
    </w:p>
    <w:p w14:paraId="5A792E23" w14:textId="18F2DD52" w:rsidR="00B96F7E" w:rsidRPr="00344C0B" w:rsidRDefault="00B96F7E" w:rsidP="00344C0B">
      <w:pPr>
        <w:pStyle w:val="NormalNew"/>
        <w:keepLines w:val="0"/>
      </w:pPr>
      <w:r w:rsidRPr="00344C0B">
        <w:t xml:space="preserve">During the reporting period there were one death reported of persons held “in care” as defined in section 3 of the Act. </w:t>
      </w:r>
      <w:r w:rsidR="00344C0B">
        <w:t xml:space="preserve"> </w:t>
      </w:r>
      <w:r w:rsidRPr="00344C0B">
        <w:t xml:space="preserve">Additionally, during the reporting period two inquests were completed in relation to deaths in care from previous reporting periods. </w:t>
      </w:r>
      <w:r w:rsidR="00344C0B">
        <w:t xml:space="preserve"> </w:t>
      </w:r>
      <w:r w:rsidRPr="00344C0B">
        <w:t xml:space="preserve">The findings have been published on the Magistrates Court website. </w:t>
      </w:r>
    </w:p>
    <w:p w14:paraId="75EBE9AD" w14:textId="77777777" w:rsidR="00B96F7E" w:rsidRPr="00344C0B" w:rsidRDefault="00B96F7E" w:rsidP="00344C0B">
      <w:pPr>
        <w:pStyle w:val="Heading2"/>
      </w:pPr>
      <w:bookmarkStart w:id="345" w:name="_Toc1041173"/>
      <w:r w:rsidRPr="00344C0B">
        <w:t>Other inquests and findings</w:t>
      </w:r>
      <w:bookmarkStart w:id="346" w:name="_GoBack"/>
      <w:bookmarkEnd w:id="345"/>
      <w:bookmarkEnd w:id="346"/>
    </w:p>
    <w:p w14:paraId="76708070" w14:textId="6072FFB7" w:rsidR="00B96F7E" w:rsidRPr="00344C0B" w:rsidRDefault="00B96F7E" w:rsidP="00344C0B">
      <w:pPr>
        <w:pStyle w:val="NormalNew"/>
        <w:keepLines w:val="0"/>
      </w:pPr>
      <w:r w:rsidRPr="00344C0B">
        <w:t xml:space="preserve">All findings and recommendations considered by Coroners to be of public interest are published on the </w:t>
      </w:r>
      <w:hyperlink r:id="rId13" w:history="1">
        <w:r w:rsidRPr="00344C0B">
          <w:rPr>
            <w:rStyle w:val="Hyperlink"/>
          </w:rPr>
          <w:t>Magistrates Court website</w:t>
        </w:r>
      </w:hyperlink>
      <w:r w:rsidR="00344C0B">
        <w:t>.</w:t>
      </w:r>
    </w:p>
    <w:p w14:paraId="29EB54D9" w14:textId="77777777" w:rsidR="00B96F7E" w:rsidRPr="00344C0B" w:rsidRDefault="00B96F7E" w:rsidP="002608EC">
      <w:pPr>
        <w:pStyle w:val="Heading2"/>
      </w:pPr>
      <w:bookmarkStart w:id="347" w:name="_Toc1041174"/>
      <w:r w:rsidRPr="00344C0B">
        <w:t>Responses to Coronial Recommendations</w:t>
      </w:r>
      <w:bookmarkEnd w:id="347"/>
    </w:p>
    <w:p w14:paraId="4422CAD8" w14:textId="2A4A6879" w:rsidR="00B96F7E" w:rsidRPr="00344C0B" w:rsidRDefault="00B96F7E" w:rsidP="00344C0B">
      <w:pPr>
        <w:pStyle w:val="NormalNew"/>
        <w:keepLines w:val="0"/>
      </w:pPr>
      <w:r w:rsidRPr="00344C0B">
        <w:t xml:space="preserve">Recommendations are an important part of the coronial jurisdiction and pursuant to section 28(2) of the Act </w:t>
      </w:r>
      <w:r w:rsidR="00A75B09">
        <w:t xml:space="preserve">a coroner </w:t>
      </w:r>
      <w:r w:rsidRPr="00344C0B">
        <w:t>is required, whenever appropriate, to make recommendations to prevent future deaths.</w:t>
      </w:r>
      <w:r w:rsidR="00A75B09">
        <w:t xml:space="preserve"> </w:t>
      </w:r>
      <w:r w:rsidRPr="00344C0B">
        <w:t xml:space="preserve"> Unlike most other Australian coronial jurisdictions, however, Tasmania lacks either a statutory or policy-based mandatory response regime to coronial recommendations. </w:t>
      </w:r>
      <w:r w:rsidR="002608EC">
        <w:t xml:space="preserve"> </w:t>
      </w:r>
      <w:r w:rsidRPr="00344C0B">
        <w:t xml:space="preserve">Consequently, the status of coronial recommendations in Tasmania is </w:t>
      </w:r>
      <w:r w:rsidR="00A75B09">
        <w:t xml:space="preserve">unclear </w:t>
      </w:r>
      <w:r w:rsidRPr="00344C0B">
        <w:t xml:space="preserve">and there is scope for improvement in this area.  </w:t>
      </w:r>
    </w:p>
    <w:p w14:paraId="05CC9B49" w14:textId="69F755D1" w:rsidR="00B96F7E" w:rsidRPr="00344C0B" w:rsidRDefault="00B96F7E" w:rsidP="00344C0B">
      <w:pPr>
        <w:pStyle w:val="NormalNew"/>
        <w:keepLines w:val="0"/>
      </w:pPr>
      <w:r w:rsidRPr="00344C0B">
        <w:t xml:space="preserve">Nevertheless, over the course of the reporting period there were favourable responses from a range of Government departments in response to some coronial recommendations. </w:t>
      </w:r>
      <w:r w:rsidR="002608EC">
        <w:t xml:space="preserve"> </w:t>
      </w:r>
      <w:r w:rsidRPr="00344C0B">
        <w:t xml:space="preserve">In 2017, Coroner Olivia McTaggart released her findings and recommendations following the coronial investigation into the death on the Overland Track of Kang Jin, an international student. </w:t>
      </w:r>
      <w:r w:rsidR="002608EC">
        <w:t xml:space="preserve"> </w:t>
      </w:r>
      <w:r w:rsidRPr="00344C0B">
        <w:t>During the reporting period, the Tasmanian Parks and Wildlife Service has put in place a program to respond to those recommendations and make all national parks safer for walkers, including making all public information messages easier to understand for international visitors.</w:t>
      </w:r>
    </w:p>
    <w:p w14:paraId="6825B67A" w14:textId="1E01F947" w:rsidR="00623501" w:rsidRPr="00344C0B" w:rsidRDefault="00B96F7E" w:rsidP="00344C0B">
      <w:pPr>
        <w:pStyle w:val="NormalNew"/>
        <w:keepLines w:val="0"/>
      </w:pPr>
      <w:r w:rsidRPr="00344C0B">
        <w:lastRenderedPageBreak/>
        <w:t xml:space="preserve">In 2017, Coroner Olivia McTaggart released her findings and recommendations following the coronial inquest into the death of Bjay Johnstone, an infant child that was known to Child Protection Services. </w:t>
      </w:r>
      <w:r w:rsidR="002608EC">
        <w:t xml:space="preserve"> </w:t>
      </w:r>
      <w:r w:rsidRPr="00344C0B">
        <w:t xml:space="preserve">In July 2017, the Government issued a public response to the recommendations of the coroner that addresses a range of issues connected to the operation of Child Protection Services. </w:t>
      </w:r>
    </w:p>
    <w:p w14:paraId="36EA687B" w14:textId="3BF16CFD" w:rsidR="00B96F7E" w:rsidRPr="00344C0B" w:rsidRDefault="00B96F7E" w:rsidP="00344C0B">
      <w:pPr>
        <w:pStyle w:val="NormalNew"/>
        <w:keepLines w:val="0"/>
      </w:pPr>
      <w:r w:rsidRPr="00344C0B">
        <w:t xml:space="preserve">Also in 2017, Coroner Cooper released his findings and recommendations regarding a double fatality on a boat from carbon monoxide poisoning. </w:t>
      </w:r>
      <w:r w:rsidR="002608EC">
        <w:t xml:space="preserve"> </w:t>
      </w:r>
      <w:r w:rsidRPr="00344C0B">
        <w:t xml:space="preserve">Those recommendations were adopted by Marine and Safety Tasmania (MAST) and the recommendations and plans for their implementation were featured in the Autumn 2018 edition of their publication </w:t>
      </w:r>
      <w:r w:rsidRPr="00155E8D">
        <w:rPr>
          <w:i/>
        </w:rPr>
        <w:t>Boatwise</w:t>
      </w:r>
      <w:r w:rsidRPr="00344C0B">
        <w:t>.</w:t>
      </w:r>
    </w:p>
    <w:p w14:paraId="59B709C7" w14:textId="59A7D995" w:rsidR="00B96F7E" w:rsidRPr="00344C0B" w:rsidRDefault="00B96F7E" w:rsidP="00344C0B">
      <w:pPr>
        <w:pStyle w:val="NormalNew"/>
        <w:keepLines w:val="0"/>
      </w:pPr>
      <w:r w:rsidRPr="00344C0B">
        <w:t>Recommendations made on 12 June 2017 by Coroner Chandler in relation to the death of Margaret Bugg, a resident of a Residential Aged Care Facility were adopted by Southern Cross Care (Tas) Inc (SCCT) during the course of the reporting period.</w:t>
      </w:r>
      <w:r w:rsidR="00155E8D">
        <w:t xml:space="preserve"> </w:t>
      </w:r>
      <w:r w:rsidRPr="00344C0B">
        <w:t xml:space="preserve"> Implementation actions were undertaken by the Management of SCCT across all nine of their Residential Aged Care Facilities in order to comply with the recommendations of the coroner and mitigate against further deaths occurring from falls in the elderly whilst they are being transported in their facilities.</w:t>
      </w:r>
    </w:p>
    <w:p w14:paraId="1AFC39ED" w14:textId="283ABED5" w:rsidR="00B96F7E" w:rsidRPr="00344C0B" w:rsidRDefault="00B96F7E" w:rsidP="00344C0B">
      <w:pPr>
        <w:pStyle w:val="NormalNew"/>
        <w:keepLines w:val="0"/>
      </w:pPr>
      <w:r w:rsidRPr="00344C0B">
        <w:t>Coroners are gratified by these systemic efforts of agencies that have chosen to respond to coronial recommendations.</w:t>
      </w:r>
    </w:p>
    <w:p w14:paraId="59470BF8" w14:textId="77777777" w:rsidR="00B96F7E" w:rsidRPr="00344C0B" w:rsidRDefault="00B96F7E" w:rsidP="002608EC">
      <w:pPr>
        <w:pStyle w:val="Heading2"/>
      </w:pPr>
      <w:bookmarkStart w:id="348" w:name="_Toc1041175"/>
      <w:r w:rsidRPr="00344C0B">
        <w:t>Coronial Education</w:t>
      </w:r>
      <w:bookmarkEnd w:id="348"/>
    </w:p>
    <w:p w14:paraId="15A2FEE4" w14:textId="7C127DF7" w:rsidR="00B96F7E" w:rsidRPr="00344C0B" w:rsidRDefault="00B96F7E" w:rsidP="00344C0B">
      <w:pPr>
        <w:pStyle w:val="NormalNew"/>
        <w:keepLines w:val="0"/>
      </w:pPr>
      <w:r w:rsidRPr="00344C0B">
        <w:t xml:space="preserve">A particular focus of coroners, coroner’s associates and key staff of the Division has been educating legal professionals, medical professionals and the community at large about coronial matters. </w:t>
      </w:r>
      <w:r w:rsidR="002608EC">
        <w:t xml:space="preserve"> </w:t>
      </w:r>
      <w:r w:rsidRPr="00344C0B">
        <w:t>Over the reporting period, coroners and coroner’s associates provided the following education sessions:</w:t>
      </w:r>
    </w:p>
    <w:p w14:paraId="2919237B" w14:textId="77777777" w:rsidR="00B96F7E" w:rsidRPr="00344C0B" w:rsidRDefault="00B96F7E" w:rsidP="00F219B3">
      <w:pPr>
        <w:pStyle w:val="NormalNew"/>
        <w:keepLines w:val="0"/>
        <w:numPr>
          <w:ilvl w:val="0"/>
          <w:numId w:val="32"/>
        </w:numPr>
        <w:spacing w:before="0" w:after="0"/>
        <w:ind w:left="714" w:hanging="357"/>
      </w:pPr>
      <w:r w:rsidRPr="00344C0B">
        <w:t xml:space="preserve">Coronial Practice Seminar to the Tasmanian Legal Practice Course </w:t>
      </w:r>
    </w:p>
    <w:p w14:paraId="4472F76E" w14:textId="77777777" w:rsidR="00B96F7E" w:rsidRPr="00344C0B" w:rsidRDefault="00B96F7E" w:rsidP="00F219B3">
      <w:pPr>
        <w:pStyle w:val="NormalNew"/>
        <w:keepLines w:val="0"/>
        <w:numPr>
          <w:ilvl w:val="0"/>
          <w:numId w:val="32"/>
        </w:numPr>
        <w:spacing w:before="0" w:after="0"/>
        <w:ind w:left="714" w:hanging="357"/>
      </w:pPr>
      <w:r w:rsidRPr="00344C0B">
        <w:t>Presentation on Quad Bike Findings by Coroner Cooper to the RHH Grand Trauma Round</w:t>
      </w:r>
    </w:p>
    <w:p w14:paraId="098B1753" w14:textId="77777777" w:rsidR="00B96F7E" w:rsidRPr="00344C0B" w:rsidRDefault="00B96F7E" w:rsidP="00F219B3">
      <w:pPr>
        <w:pStyle w:val="NormalNew"/>
        <w:keepLines w:val="0"/>
        <w:numPr>
          <w:ilvl w:val="0"/>
          <w:numId w:val="32"/>
        </w:numPr>
        <w:spacing w:before="0" w:after="0"/>
        <w:ind w:left="714" w:hanging="357"/>
      </w:pPr>
      <w:r w:rsidRPr="00344C0B">
        <w:t>Keynote Presentation (Coroner Cooper) to the Australian Paramedics Association Tasmanian Branch Annual Dinner</w:t>
      </w:r>
    </w:p>
    <w:p w14:paraId="380A6EE5" w14:textId="77777777" w:rsidR="00B96F7E" w:rsidRPr="00344C0B" w:rsidRDefault="00B96F7E" w:rsidP="00F219B3">
      <w:pPr>
        <w:pStyle w:val="NormalNew"/>
        <w:keepLines w:val="0"/>
        <w:numPr>
          <w:ilvl w:val="0"/>
          <w:numId w:val="32"/>
        </w:numPr>
        <w:spacing w:before="0" w:after="0"/>
        <w:ind w:left="714" w:hanging="357"/>
      </w:pPr>
      <w:r w:rsidRPr="00344C0B">
        <w:t>Coronial Practice training to the DPP Continuing Legal Education program</w:t>
      </w:r>
    </w:p>
    <w:p w14:paraId="034D1353" w14:textId="77777777" w:rsidR="00B96F7E" w:rsidRPr="00344C0B" w:rsidRDefault="00B96F7E" w:rsidP="00F219B3">
      <w:pPr>
        <w:pStyle w:val="NormalNew"/>
        <w:keepLines w:val="0"/>
        <w:numPr>
          <w:ilvl w:val="0"/>
          <w:numId w:val="32"/>
        </w:numPr>
        <w:spacing w:before="0" w:after="0"/>
        <w:ind w:left="714" w:hanging="357"/>
      </w:pPr>
      <w:r w:rsidRPr="00344C0B">
        <w:t xml:space="preserve">Coronial Practice Overview to the Tasmanian Forensic Science Practitioners Group </w:t>
      </w:r>
    </w:p>
    <w:p w14:paraId="3EEAF93F" w14:textId="77777777" w:rsidR="00B96F7E" w:rsidRPr="00344C0B" w:rsidRDefault="00B96F7E" w:rsidP="00F219B3">
      <w:pPr>
        <w:pStyle w:val="NormalNew"/>
        <w:keepLines w:val="0"/>
        <w:numPr>
          <w:ilvl w:val="0"/>
          <w:numId w:val="32"/>
        </w:numPr>
        <w:spacing w:before="0" w:after="0"/>
        <w:ind w:left="714" w:hanging="357"/>
      </w:pPr>
      <w:r w:rsidRPr="00344C0B">
        <w:t>Coronial Practice Overview by Coroner Chandler to Calvary Hospital</w:t>
      </w:r>
    </w:p>
    <w:p w14:paraId="5768B22A" w14:textId="77777777" w:rsidR="00B96F7E" w:rsidRPr="00344C0B" w:rsidRDefault="00B96F7E" w:rsidP="00F219B3">
      <w:pPr>
        <w:pStyle w:val="NormalNew"/>
        <w:keepLines w:val="0"/>
        <w:numPr>
          <w:ilvl w:val="0"/>
          <w:numId w:val="32"/>
        </w:numPr>
        <w:spacing w:before="0" w:after="0"/>
        <w:ind w:left="714" w:hanging="357"/>
      </w:pPr>
      <w:r w:rsidRPr="00344C0B">
        <w:t>Presentations by Coroner McTaggart to University of Tasmania Law Students</w:t>
      </w:r>
    </w:p>
    <w:p w14:paraId="6687E2A7" w14:textId="77777777" w:rsidR="00B96F7E" w:rsidRPr="00344C0B" w:rsidRDefault="00B96F7E" w:rsidP="00F219B3">
      <w:pPr>
        <w:pStyle w:val="NormalNew"/>
        <w:keepLines w:val="0"/>
        <w:numPr>
          <w:ilvl w:val="0"/>
          <w:numId w:val="32"/>
        </w:numPr>
        <w:spacing w:before="0" w:after="0"/>
        <w:ind w:left="714" w:hanging="357"/>
      </w:pPr>
      <w:r w:rsidRPr="00344C0B">
        <w:t>Presentation by Coroner Chandler to Launceston General Hospital surgeons</w:t>
      </w:r>
    </w:p>
    <w:p w14:paraId="060F0201" w14:textId="77777777" w:rsidR="00B96F7E" w:rsidRPr="00344C0B" w:rsidRDefault="00B96F7E" w:rsidP="00F219B3">
      <w:pPr>
        <w:pStyle w:val="NormalNew"/>
        <w:keepLines w:val="0"/>
        <w:numPr>
          <w:ilvl w:val="0"/>
          <w:numId w:val="32"/>
        </w:numPr>
        <w:spacing w:before="0" w:after="0"/>
        <w:ind w:left="714" w:hanging="357"/>
      </w:pPr>
      <w:r w:rsidRPr="00344C0B">
        <w:t xml:space="preserve">Presentation by Coroner McTaggart to the Fahan School </w:t>
      </w:r>
    </w:p>
    <w:p w14:paraId="2B089403" w14:textId="6EE2E81C" w:rsidR="00B96F7E" w:rsidRDefault="00B96F7E" w:rsidP="00344C0B">
      <w:pPr>
        <w:pStyle w:val="NormalNew"/>
        <w:keepLines w:val="0"/>
      </w:pPr>
      <w:r w:rsidRPr="00344C0B">
        <w:t>The Coronial Division continued to provide secretariat support to the Asia Pacific Coroners’ Society during the reporting period.</w:t>
      </w:r>
    </w:p>
    <w:p w14:paraId="0915DF13" w14:textId="77777777" w:rsidR="007D11DC" w:rsidRPr="00847FAE" w:rsidRDefault="007D11DC" w:rsidP="00BD2A8D">
      <w:pPr>
        <w:rPr>
          <w:strike/>
        </w:rPr>
      </w:pPr>
    </w:p>
    <w:p w14:paraId="271BA14A" w14:textId="77777777" w:rsidR="007D11DC" w:rsidRPr="00847FAE" w:rsidRDefault="007D11DC" w:rsidP="00BD2A8D">
      <w:pPr>
        <w:rPr>
          <w:strike/>
        </w:rPr>
      </w:pPr>
    </w:p>
    <w:p w14:paraId="6A074F00" w14:textId="77777777" w:rsidR="007D11DC" w:rsidRPr="00847FAE" w:rsidRDefault="007D11DC" w:rsidP="00BD2A8D">
      <w:pPr>
        <w:rPr>
          <w:strike/>
        </w:rPr>
        <w:sectPr w:rsidR="007D11DC" w:rsidRPr="00847FAE" w:rsidSect="00FE5527">
          <w:pgSz w:w="11906" w:h="16838"/>
          <w:pgMar w:top="899" w:right="1800" w:bottom="1440" w:left="1800" w:header="0" w:footer="708" w:gutter="0"/>
          <w:cols w:space="708"/>
          <w:docGrid w:linePitch="360"/>
        </w:sectPr>
      </w:pPr>
    </w:p>
    <w:bookmarkEnd w:id="334"/>
    <w:p w14:paraId="08FE263A" w14:textId="77777777" w:rsidR="006D01CE" w:rsidRPr="00847FAE" w:rsidRDefault="006D01CE" w:rsidP="00E5311F">
      <w:pPr>
        <w:pStyle w:val="TOC1"/>
      </w:pPr>
    </w:p>
    <w:p w14:paraId="6C80CE29" w14:textId="7D263925" w:rsidR="00FE2253" w:rsidRPr="00847FAE" w:rsidRDefault="00FE2253" w:rsidP="006D6732">
      <w:pPr>
        <w:pStyle w:val="Heading1"/>
      </w:pPr>
      <w:bookmarkStart w:id="349" w:name="_Toc247096999"/>
      <w:bookmarkStart w:id="350" w:name="_Toc277684623"/>
      <w:bookmarkStart w:id="351" w:name="_Toc311717646"/>
      <w:bookmarkStart w:id="352" w:name="_Toc311718305"/>
      <w:bookmarkStart w:id="353" w:name="_Toc311725670"/>
      <w:bookmarkStart w:id="354" w:name="_Toc529270673"/>
      <w:bookmarkStart w:id="355" w:name="_Toc529270881"/>
      <w:bookmarkStart w:id="356" w:name="_Toc529272574"/>
      <w:bookmarkStart w:id="357" w:name="_Toc529272649"/>
      <w:bookmarkStart w:id="358" w:name="_Toc1041176"/>
      <w:r w:rsidRPr="00847FAE">
        <w:t>Court Statistics</w:t>
      </w:r>
      <w:bookmarkEnd w:id="349"/>
      <w:bookmarkEnd w:id="350"/>
      <w:bookmarkEnd w:id="351"/>
      <w:bookmarkEnd w:id="352"/>
      <w:bookmarkEnd w:id="353"/>
      <w:r w:rsidR="00A47583">
        <w:t xml:space="preserve"> and Performance Indicators</w:t>
      </w:r>
      <w:bookmarkEnd w:id="354"/>
      <w:bookmarkEnd w:id="355"/>
      <w:bookmarkEnd w:id="356"/>
      <w:bookmarkEnd w:id="357"/>
      <w:bookmarkEnd w:id="358"/>
    </w:p>
    <w:bookmarkStart w:id="359" w:name="_Toc193777187" w:displacedByCustomXml="next"/>
    <w:bookmarkStart w:id="360" w:name="_Toc151974510" w:displacedByCustomXml="next"/>
    <w:bookmarkStart w:id="361" w:name="_Ref468264674" w:displacedByCustomXml="next"/>
    <w:bookmarkStart w:id="362" w:name="_Toc311717647" w:displacedByCustomXml="next"/>
    <w:bookmarkStart w:id="363" w:name="_Toc277684624" w:displacedByCustomXml="next"/>
    <w:bookmarkStart w:id="364" w:name="_Toc193777185" w:displacedByCustomXml="next"/>
    <w:bookmarkStart w:id="365" w:name="_Toc151974513" w:displacedByCustomXml="next"/>
    <w:sdt>
      <w:sdtPr>
        <w:rPr>
          <w:rFonts w:ascii="Gill Sans MT" w:eastAsia="Times New Roman" w:hAnsi="Gill Sans MT" w:cstheme="minorBidi"/>
          <w:b w:val="0"/>
          <w:bCs w:val="0"/>
          <w:caps w:val="0"/>
          <w:spacing w:val="0"/>
          <w:sz w:val="22"/>
          <w:szCs w:val="24"/>
        </w:rPr>
        <w:id w:val="1136372141"/>
        <w:docPartObj>
          <w:docPartGallery w:val="Table of Contents"/>
          <w:docPartUnique/>
        </w:docPartObj>
      </w:sdtPr>
      <w:sdtEndPr>
        <w:rPr>
          <w:rFonts w:asciiTheme="minorHAnsi" w:eastAsiaTheme="minorEastAsia" w:hAnsiTheme="minorHAnsi"/>
          <w:noProof/>
          <w:szCs w:val="22"/>
        </w:rPr>
      </w:sdtEndPr>
      <w:sdtContent>
        <w:p w14:paraId="52D4197D" w14:textId="0965CFB3" w:rsidR="00D74364" w:rsidRPr="001C46C1" w:rsidRDefault="00D74364" w:rsidP="006D6732">
          <w:pPr>
            <w:pStyle w:val="TOCHeading"/>
          </w:pPr>
          <w:r w:rsidRPr="001C46C1">
            <w:t>Contents</w:t>
          </w:r>
        </w:p>
        <w:p w14:paraId="18420897" w14:textId="13F12FFC" w:rsidR="00FF759B" w:rsidRDefault="00D74364">
          <w:pPr>
            <w:pStyle w:val="TOC1"/>
            <w:tabs>
              <w:tab w:val="right" w:leader="dot" w:pos="8296"/>
            </w:tabs>
            <w:rPr>
              <w:rFonts w:asciiTheme="minorHAnsi" w:eastAsiaTheme="minorEastAsia" w:hAnsiTheme="minorHAnsi" w:cstheme="minorBidi"/>
              <w:bCs w:val="0"/>
              <w:caps w:val="0"/>
              <w:noProof/>
              <w:sz w:val="22"/>
              <w:szCs w:val="22"/>
              <w:lang w:val="en-GB" w:eastAsia="en-GB"/>
            </w:rPr>
          </w:pPr>
          <w:r>
            <w:rPr>
              <w:b w:val="0"/>
              <w:noProof/>
            </w:rPr>
            <w:fldChar w:fldCharType="begin"/>
          </w:r>
          <w:r>
            <w:rPr>
              <w:b w:val="0"/>
              <w:noProof/>
            </w:rPr>
            <w:instrText xml:space="preserve"> TOC \o "1-3" \h \z \u </w:instrText>
          </w:r>
          <w:r>
            <w:rPr>
              <w:b w:val="0"/>
              <w:noProof/>
            </w:rPr>
            <w:fldChar w:fldCharType="separate"/>
          </w:r>
          <w:hyperlink w:anchor="_Toc1041123" w:history="1">
            <w:r w:rsidR="00FF759B" w:rsidRPr="00F83F9F">
              <w:rPr>
                <w:rStyle w:val="Hyperlink"/>
                <w:noProof/>
              </w:rPr>
              <w:t>The Magistrates Court of Tasmania</w:t>
            </w:r>
            <w:r w:rsidR="00FF759B">
              <w:rPr>
                <w:noProof/>
                <w:webHidden/>
              </w:rPr>
              <w:tab/>
            </w:r>
            <w:r w:rsidR="00FF759B">
              <w:rPr>
                <w:noProof/>
                <w:webHidden/>
              </w:rPr>
              <w:fldChar w:fldCharType="begin"/>
            </w:r>
            <w:r w:rsidR="00FF759B">
              <w:rPr>
                <w:noProof/>
                <w:webHidden/>
              </w:rPr>
              <w:instrText xml:space="preserve"> PAGEREF _Toc1041123 \h </w:instrText>
            </w:r>
            <w:r w:rsidR="00FF759B">
              <w:rPr>
                <w:noProof/>
                <w:webHidden/>
              </w:rPr>
            </w:r>
            <w:r w:rsidR="00FF759B">
              <w:rPr>
                <w:noProof/>
                <w:webHidden/>
              </w:rPr>
              <w:fldChar w:fldCharType="separate"/>
            </w:r>
            <w:r w:rsidR="00FF759B">
              <w:rPr>
                <w:noProof/>
                <w:webHidden/>
              </w:rPr>
              <w:t>1</w:t>
            </w:r>
            <w:r w:rsidR="00FF759B">
              <w:rPr>
                <w:noProof/>
                <w:webHidden/>
              </w:rPr>
              <w:fldChar w:fldCharType="end"/>
            </w:r>
          </w:hyperlink>
        </w:p>
        <w:p w14:paraId="38504673" w14:textId="65E0A8A7"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24" w:history="1">
            <w:r w:rsidR="00FF759B" w:rsidRPr="00F83F9F">
              <w:rPr>
                <w:rStyle w:val="Hyperlink"/>
                <w:noProof/>
              </w:rPr>
              <w:t>Annual Report 2017-2018</w:t>
            </w:r>
            <w:r w:rsidR="00FF759B">
              <w:rPr>
                <w:noProof/>
                <w:webHidden/>
              </w:rPr>
              <w:tab/>
            </w:r>
            <w:r w:rsidR="00FF759B">
              <w:rPr>
                <w:noProof/>
                <w:webHidden/>
              </w:rPr>
              <w:fldChar w:fldCharType="begin"/>
            </w:r>
            <w:r w:rsidR="00FF759B">
              <w:rPr>
                <w:noProof/>
                <w:webHidden/>
              </w:rPr>
              <w:instrText xml:space="preserve"> PAGEREF _Toc1041124 \h </w:instrText>
            </w:r>
            <w:r w:rsidR="00FF759B">
              <w:rPr>
                <w:noProof/>
                <w:webHidden/>
              </w:rPr>
            </w:r>
            <w:r w:rsidR="00FF759B">
              <w:rPr>
                <w:noProof/>
                <w:webHidden/>
              </w:rPr>
              <w:fldChar w:fldCharType="separate"/>
            </w:r>
            <w:r w:rsidR="00FF759B">
              <w:rPr>
                <w:noProof/>
                <w:webHidden/>
              </w:rPr>
              <w:t>1</w:t>
            </w:r>
            <w:r w:rsidR="00FF759B">
              <w:rPr>
                <w:noProof/>
                <w:webHidden/>
              </w:rPr>
              <w:fldChar w:fldCharType="end"/>
            </w:r>
          </w:hyperlink>
        </w:p>
        <w:p w14:paraId="7AAB6917" w14:textId="16F5AAFA"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25" w:history="1">
            <w:r w:rsidR="00FF759B" w:rsidRPr="00F83F9F">
              <w:rPr>
                <w:rStyle w:val="Hyperlink"/>
                <w:noProof/>
              </w:rPr>
              <w:t>Table of Contents</w:t>
            </w:r>
            <w:r w:rsidR="00FF759B">
              <w:rPr>
                <w:noProof/>
                <w:webHidden/>
              </w:rPr>
              <w:tab/>
            </w:r>
            <w:r w:rsidR="00FF759B">
              <w:rPr>
                <w:noProof/>
                <w:webHidden/>
              </w:rPr>
              <w:fldChar w:fldCharType="begin"/>
            </w:r>
            <w:r w:rsidR="00FF759B">
              <w:rPr>
                <w:noProof/>
                <w:webHidden/>
              </w:rPr>
              <w:instrText xml:space="preserve"> PAGEREF _Toc1041125 \h </w:instrText>
            </w:r>
            <w:r w:rsidR="00FF759B">
              <w:rPr>
                <w:noProof/>
                <w:webHidden/>
              </w:rPr>
            </w:r>
            <w:r w:rsidR="00FF759B">
              <w:rPr>
                <w:noProof/>
                <w:webHidden/>
              </w:rPr>
              <w:fldChar w:fldCharType="separate"/>
            </w:r>
            <w:r w:rsidR="00FF759B">
              <w:rPr>
                <w:noProof/>
                <w:webHidden/>
              </w:rPr>
              <w:t>1</w:t>
            </w:r>
            <w:r w:rsidR="00FF759B">
              <w:rPr>
                <w:noProof/>
                <w:webHidden/>
              </w:rPr>
              <w:fldChar w:fldCharType="end"/>
            </w:r>
          </w:hyperlink>
        </w:p>
        <w:p w14:paraId="1CEB83DB" w14:textId="143106D1"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26" w:history="1">
            <w:r w:rsidR="00FF759B" w:rsidRPr="00F83F9F">
              <w:rPr>
                <w:rStyle w:val="Hyperlink"/>
                <w:noProof/>
              </w:rPr>
              <w:t>Aim of the Court</w:t>
            </w:r>
            <w:r w:rsidR="00FF759B">
              <w:rPr>
                <w:noProof/>
                <w:webHidden/>
              </w:rPr>
              <w:tab/>
            </w:r>
            <w:r w:rsidR="00FF759B">
              <w:rPr>
                <w:noProof/>
                <w:webHidden/>
              </w:rPr>
              <w:fldChar w:fldCharType="begin"/>
            </w:r>
            <w:r w:rsidR="00FF759B">
              <w:rPr>
                <w:noProof/>
                <w:webHidden/>
              </w:rPr>
              <w:instrText xml:space="preserve"> PAGEREF _Toc1041126 \h </w:instrText>
            </w:r>
            <w:r w:rsidR="00FF759B">
              <w:rPr>
                <w:noProof/>
                <w:webHidden/>
              </w:rPr>
            </w:r>
            <w:r w:rsidR="00FF759B">
              <w:rPr>
                <w:noProof/>
                <w:webHidden/>
              </w:rPr>
              <w:fldChar w:fldCharType="separate"/>
            </w:r>
            <w:r w:rsidR="00FF759B">
              <w:rPr>
                <w:noProof/>
                <w:webHidden/>
              </w:rPr>
              <w:t>4</w:t>
            </w:r>
            <w:r w:rsidR="00FF759B">
              <w:rPr>
                <w:noProof/>
                <w:webHidden/>
              </w:rPr>
              <w:fldChar w:fldCharType="end"/>
            </w:r>
          </w:hyperlink>
        </w:p>
        <w:p w14:paraId="122E1CA3" w14:textId="698E40E2"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27" w:history="1">
            <w:r w:rsidR="00FF759B" w:rsidRPr="00F83F9F">
              <w:rPr>
                <w:rStyle w:val="Hyperlink"/>
                <w:noProof/>
              </w:rPr>
              <w:t>Purpose</w:t>
            </w:r>
            <w:r w:rsidR="00FF759B">
              <w:rPr>
                <w:noProof/>
                <w:webHidden/>
              </w:rPr>
              <w:tab/>
            </w:r>
            <w:r w:rsidR="00FF759B">
              <w:rPr>
                <w:noProof/>
                <w:webHidden/>
              </w:rPr>
              <w:fldChar w:fldCharType="begin"/>
            </w:r>
            <w:r w:rsidR="00FF759B">
              <w:rPr>
                <w:noProof/>
                <w:webHidden/>
              </w:rPr>
              <w:instrText xml:space="preserve"> PAGEREF _Toc1041127 \h </w:instrText>
            </w:r>
            <w:r w:rsidR="00FF759B">
              <w:rPr>
                <w:noProof/>
                <w:webHidden/>
              </w:rPr>
            </w:r>
            <w:r w:rsidR="00FF759B">
              <w:rPr>
                <w:noProof/>
                <w:webHidden/>
              </w:rPr>
              <w:fldChar w:fldCharType="separate"/>
            </w:r>
            <w:r w:rsidR="00FF759B">
              <w:rPr>
                <w:noProof/>
                <w:webHidden/>
              </w:rPr>
              <w:t>4</w:t>
            </w:r>
            <w:r w:rsidR="00FF759B">
              <w:rPr>
                <w:noProof/>
                <w:webHidden/>
              </w:rPr>
              <w:fldChar w:fldCharType="end"/>
            </w:r>
          </w:hyperlink>
        </w:p>
        <w:p w14:paraId="0E0D55E9" w14:textId="708FCE5C"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28" w:history="1">
            <w:r w:rsidR="00FF759B" w:rsidRPr="00F83F9F">
              <w:rPr>
                <w:rStyle w:val="Hyperlink"/>
                <w:noProof/>
              </w:rPr>
              <w:t>Values</w:t>
            </w:r>
            <w:r w:rsidR="00FF759B">
              <w:rPr>
                <w:noProof/>
                <w:webHidden/>
              </w:rPr>
              <w:tab/>
            </w:r>
            <w:r w:rsidR="00FF759B">
              <w:rPr>
                <w:noProof/>
                <w:webHidden/>
              </w:rPr>
              <w:fldChar w:fldCharType="begin"/>
            </w:r>
            <w:r w:rsidR="00FF759B">
              <w:rPr>
                <w:noProof/>
                <w:webHidden/>
              </w:rPr>
              <w:instrText xml:space="preserve"> PAGEREF _Toc1041128 \h </w:instrText>
            </w:r>
            <w:r w:rsidR="00FF759B">
              <w:rPr>
                <w:noProof/>
                <w:webHidden/>
              </w:rPr>
            </w:r>
            <w:r w:rsidR="00FF759B">
              <w:rPr>
                <w:noProof/>
                <w:webHidden/>
              </w:rPr>
              <w:fldChar w:fldCharType="separate"/>
            </w:r>
            <w:r w:rsidR="00FF759B">
              <w:rPr>
                <w:noProof/>
                <w:webHidden/>
              </w:rPr>
              <w:t>4</w:t>
            </w:r>
            <w:r w:rsidR="00FF759B">
              <w:rPr>
                <w:noProof/>
                <w:webHidden/>
              </w:rPr>
              <w:fldChar w:fldCharType="end"/>
            </w:r>
          </w:hyperlink>
        </w:p>
        <w:p w14:paraId="30A58411" w14:textId="36D0DA21"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29" w:history="1">
            <w:r w:rsidR="00FF759B" w:rsidRPr="00F83F9F">
              <w:rPr>
                <w:rStyle w:val="Hyperlink"/>
                <w:noProof/>
              </w:rPr>
              <w:t>Overview of the Court</w:t>
            </w:r>
            <w:r w:rsidR="00FF759B">
              <w:rPr>
                <w:noProof/>
                <w:webHidden/>
              </w:rPr>
              <w:tab/>
            </w:r>
            <w:r w:rsidR="00FF759B">
              <w:rPr>
                <w:noProof/>
                <w:webHidden/>
              </w:rPr>
              <w:fldChar w:fldCharType="begin"/>
            </w:r>
            <w:r w:rsidR="00FF759B">
              <w:rPr>
                <w:noProof/>
                <w:webHidden/>
              </w:rPr>
              <w:instrText xml:space="preserve"> PAGEREF _Toc1041129 \h </w:instrText>
            </w:r>
            <w:r w:rsidR="00FF759B">
              <w:rPr>
                <w:noProof/>
                <w:webHidden/>
              </w:rPr>
            </w:r>
            <w:r w:rsidR="00FF759B">
              <w:rPr>
                <w:noProof/>
                <w:webHidden/>
              </w:rPr>
              <w:fldChar w:fldCharType="separate"/>
            </w:r>
            <w:r w:rsidR="00FF759B">
              <w:rPr>
                <w:noProof/>
                <w:webHidden/>
              </w:rPr>
              <w:t>4</w:t>
            </w:r>
            <w:r w:rsidR="00FF759B">
              <w:rPr>
                <w:noProof/>
                <w:webHidden/>
              </w:rPr>
              <w:fldChar w:fldCharType="end"/>
            </w:r>
          </w:hyperlink>
        </w:p>
        <w:p w14:paraId="58C85166" w14:textId="03C39FF7"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30" w:history="1">
            <w:r w:rsidR="00FF759B" w:rsidRPr="00F83F9F">
              <w:rPr>
                <w:rStyle w:val="Hyperlink"/>
                <w:noProof/>
              </w:rPr>
              <w:t>Acknowledgments</w:t>
            </w:r>
            <w:r w:rsidR="00FF759B">
              <w:rPr>
                <w:noProof/>
                <w:webHidden/>
              </w:rPr>
              <w:tab/>
            </w:r>
            <w:r w:rsidR="00FF759B">
              <w:rPr>
                <w:noProof/>
                <w:webHidden/>
              </w:rPr>
              <w:fldChar w:fldCharType="begin"/>
            </w:r>
            <w:r w:rsidR="00FF759B">
              <w:rPr>
                <w:noProof/>
                <w:webHidden/>
              </w:rPr>
              <w:instrText xml:space="preserve"> PAGEREF _Toc1041130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17E78C00" w14:textId="4A5A48F4"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31" w:history="1">
            <w:r w:rsidR="00FF759B" w:rsidRPr="00F83F9F">
              <w:rPr>
                <w:rStyle w:val="Hyperlink"/>
                <w:noProof/>
              </w:rPr>
              <w:t>Court Locations</w:t>
            </w:r>
            <w:r w:rsidR="00FF759B">
              <w:rPr>
                <w:noProof/>
                <w:webHidden/>
              </w:rPr>
              <w:tab/>
            </w:r>
            <w:r w:rsidR="00FF759B">
              <w:rPr>
                <w:noProof/>
                <w:webHidden/>
              </w:rPr>
              <w:fldChar w:fldCharType="begin"/>
            </w:r>
            <w:r w:rsidR="00FF759B">
              <w:rPr>
                <w:noProof/>
                <w:webHidden/>
              </w:rPr>
              <w:instrText xml:space="preserve"> PAGEREF _Toc1041131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28F29C97" w14:textId="31D4E4BA"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32" w:history="1">
            <w:r w:rsidR="00FF759B" w:rsidRPr="00F83F9F">
              <w:rPr>
                <w:rStyle w:val="Hyperlink"/>
                <w:noProof/>
              </w:rPr>
              <w:t>Personalia</w:t>
            </w:r>
            <w:r w:rsidR="00FF759B">
              <w:rPr>
                <w:noProof/>
                <w:webHidden/>
              </w:rPr>
              <w:tab/>
            </w:r>
            <w:r w:rsidR="00FF759B">
              <w:rPr>
                <w:noProof/>
                <w:webHidden/>
              </w:rPr>
              <w:fldChar w:fldCharType="begin"/>
            </w:r>
            <w:r w:rsidR="00FF759B">
              <w:rPr>
                <w:noProof/>
                <w:webHidden/>
              </w:rPr>
              <w:instrText xml:space="preserve"> PAGEREF _Toc1041132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7E6E165B" w14:textId="5216D056"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33" w:history="1">
            <w:r w:rsidR="00FF759B" w:rsidRPr="00F83F9F">
              <w:rPr>
                <w:rStyle w:val="Hyperlink"/>
                <w:noProof/>
              </w:rPr>
              <w:t>Court Staff</w:t>
            </w:r>
            <w:r w:rsidR="00FF759B">
              <w:rPr>
                <w:noProof/>
                <w:webHidden/>
              </w:rPr>
              <w:tab/>
            </w:r>
            <w:r w:rsidR="00FF759B">
              <w:rPr>
                <w:noProof/>
                <w:webHidden/>
              </w:rPr>
              <w:fldChar w:fldCharType="begin"/>
            </w:r>
            <w:r w:rsidR="00FF759B">
              <w:rPr>
                <w:noProof/>
                <w:webHidden/>
              </w:rPr>
              <w:instrText xml:space="preserve"> PAGEREF _Toc1041133 \h </w:instrText>
            </w:r>
            <w:r w:rsidR="00FF759B">
              <w:rPr>
                <w:noProof/>
                <w:webHidden/>
              </w:rPr>
            </w:r>
            <w:r w:rsidR="00FF759B">
              <w:rPr>
                <w:noProof/>
                <w:webHidden/>
              </w:rPr>
              <w:fldChar w:fldCharType="separate"/>
            </w:r>
            <w:r w:rsidR="00FF759B">
              <w:rPr>
                <w:noProof/>
                <w:webHidden/>
              </w:rPr>
              <w:t>6</w:t>
            </w:r>
            <w:r w:rsidR="00FF759B">
              <w:rPr>
                <w:noProof/>
                <w:webHidden/>
              </w:rPr>
              <w:fldChar w:fldCharType="end"/>
            </w:r>
          </w:hyperlink>
        </w:p>
        <w:p w14:paraId="605CA887" w14:textId="0B6D2D3C"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34" w:history="1">
            <w:r w:rsidR="00FF759B" w:rsidRPr="00F83F9F">
              <w:rPr>
                <w:rStyle w:val="Hyperlink"/>
                <w:noProof/>
              </w:rPr>
              <w:t>Bench Justices</w:t>
            </w:r>
            <w:r w:rsidR="00FF759B">
              <w:rPr>
                <w:noProof/>
                <w:webHidden/>
              </w:rPr>
              <w:tab/>
            </w:r>
            <w:r w:rsidR="00FF759B">
              <w:rPr>
                <w:noProof/>
                <w:webHidden/>
              </w:rPr>
              <w:fldChar w:fldCharType="begin"/>
            </w:r>
            <w:r w:rsidR="00FF759B">
              <w:rPr>
                <w:noProof/>
                <w:webHidden/>
              </w:rPr>
              <w:instrText xml:space="preserve"> PAGEREF _Toc1041134 \h </w:instrText>
            </w:r>
            <w:r w:rsidR="00FF759B">
              <w:rPr>
                <w:noProof/>
                <w:webHidden/>
              </w:rPr>
            </w:r>
            <w:r w:rsidR="00FF759B">
              <w:rPr>
                <w:noProof/>
                <w:webHidden/>
              </w:rPr>
              <w:fldChar w:fldCharType="separate"/>
            </w:r>
            <w:r w:rsidR="00FF759B">
              <w:rPr>
                <w:noProof/>
                <w:webHidden/>
              </w:rPr>
              <w:t>6</w:t>
            </w:r>
            <w:r w:rsidR="00FF759B">
              <w:rPr>
                <w:noProof/>
                <w:webHidden/>
              </w:rPr>
              <w:fldChar w:fldCharType="end"/>
            </w:r>
          </w:hyperlink>
        </w:p>
        <w:p w14:paraId="5DBA2C77" w14:textId="549AA375"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35" w:history="1">
            <w:r w:rsidR="00FF759B" w:rsidRPr="00F83F9F">
              <w:rPr>
                <w:rStyle w:val="Hyperlink"/>
                <w:noProof/>
              </w:rPr>
              <w:t>The Court’s National Involvement</w:t>
            </w:r>
            <w:r w:rsidR="00FF759B">
              <w:rPr>
                <w:noProof/>
                <w:webHidden/>
              </w:rPr>
              <w:tab/>
            </w:r>
            <w:r w:rsidR="00FF759B">
              <w:rPr>
                <w:noProof/>
                <w:webHidden/>
              </w:rPr>
              <w:fldChar w:fldCharType="begin"/>
            </w:r>
            <w:r w:rsidR="00FF759B">
              <w:rPr>
                <w:noProof/>
                <w:webHidden/>
              </w:rPr>
              <w:instrText xml:space="preserve"> PAGEREF _Toc1041135 \h </w:instrText>
            </w:r>
            <w:r w:rsidR="00FF759B">
              <w:rPr>
                <w:noProof/>
                <w:webHidden/>
              </w:rPr>
            </w:r>
            <w:r w:rsidR="00FF759B">
              <w:rPr>
                <w:noProof/>
                <w:webHidden/>
              </w:rPr>
              <w:fldChar w:fldCharType="separate"/>
            </w:r>
            <w:r w:rsidR="00FF759B">
              <w:rPr>
                <w:noProof/>
                <w:webHidden/>
              </w:rPr>
              <w:t>7</w:t>
            </w:r>
            <w:r w:rsidR="00FF759B">
              <w:rPr>
                <w:noProof/>
                <w:webHidden/>
              </w:rPr>
              <w:fldChar w:fldCharType="end"/>
            </w:r>
          </w:hyperlink>
        </w:p>
        <w:p w14:paraId="4A48C0E0" w14:textId="2F2EF100"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36" w:history="1">
            <w:r w:rsidR="00FF759B" w:rsidRPr="00F83F9F">
              <w:rPr>
                <w:rStyle w:val="Hyperlink"/>
                <w:noProof/>
              </w:rPr>
              <w:t>Professional Development</w:t>
            </w:r>
            <w:r w:rsidR="00FF759B">
              <w:rPr>
                <w:noProof/>
                <w:webHidden/>
              </w:rPr>
              <w:tab/>
            </w:r>
            <w:r w:rsidR="00FF759B">
              <w:rPr>
                <w:noProof/>
                <w:webHidden/>
              </w:rPr>
              <w:fldChar w:fldCharType="begin"/>
            </w:r>
            <w:r w:rsidR="00FF759B">
              <w:rPr>
                <w:noProof/>
                <w:webHidden/>
              </w:rPr>
              <w:instrText xml:space="preserve"> PAGEREF _Toc1041136 \h </w:instrText>
            </w:r>
            <w:r w:rsidR="00FF759B">
              <w:rPr>
                <w:noProof/>
                <w:webHidden/>
              </w:rPr>
            </w:r>
            <w:r w:rsidR="00FF759B">
              <w:rPr>
                <w:noProof/>
                <w:webHidden/>
              </w:rPr>
              <w:fldChar w:fldCharType="separate"/>
            </w:r>
            <w:r w:rsidR="00FF759B">
              <w:rPr>
                <w:noProof/>
                <w:webHidden/>
              </w:rPr>
              <w:t>7</w:t>
            </w:r>
            <w:r w:rsidR="00FF759B">
              <w:rPr>
                <w:noProof/>
                <w:webHidden/>
              </w:rPr>
              <w:fldChar w:fldCharType="end"/>
            </w:r>
          </w:hyperlink>
        </w:p>
        <w:p w14:paraId="641C1D93" w14:textId="6E320648"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37" w:history="1">
            <w:r w:rsidR="00FF759B" w:rsidRPr="00F83F9F">
              <w:rPr>
                <w:rStyle w:val="Hyperlink"/>
                <w:noProof/>
              </w:rPr>
              <w:t>Magistrates Court Review</w:t>
            </w:r>
            <w:r w:rsidR="00FF759B">
              <w:rPr>
                <w:noProof/>
                <w:webHidden/>
              </w:rPr>
              <w:tab/>
            </w:r>
            <w:r w:rsidR="00FF759B">
              <w:rPr>
                <w:noProof/>
                <w:webHidden/>
              </w:rPr>
              <w:fldChar w:fldCharType="begin"/>
            </w:r>
            <w:r w:rsidR="00FF759B">
              <w:rPr>
                <w:noProof/>
                <w:webHidden/>
              </w:rPr>
              <w:instrText xml:space="preserve"> PAGEREF _Toc1041137 \h </w:instrText>
            </w:r>
            <w:r w:rsidR="00FF759B">
              <w:rPr>
                <w:noProof/>
                <w:webHidden/>
              </w:rPr>
            </w:r>
            <w:r w:rsidR="00FF759B">
              <w:rPr>
                <w:noProof/>
                <w:webHidden/>
              </w:rPr>
              <w:fldChar w:fldCharType="separate"/>
            </w:r>
            <w:r w:rsidR="00FF759B">
              <w:rPr>
                <w:noProof/>
                <w:webHidden/>
              </w:rPr>
              <w:t>8</w:t>
            </w:r>
            <w:r w:rsidR="00FF759B">
              <w:rPr>
                <w:noProof/>
                <w:webHidden/>
              </w:rPr>
              <w:fldChar w:fldCharType="end"/>
            </w:r>
          </w:hyperlink>
        </w:p>
        <w:p w14:paraId="25A78631" w14:textId="2FFB4D17"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38" w:history="1">
            <w:r w:rsidR="00FF759B" w:rsidRPr="00F83F9F">
              <w:rPr>
                <w:rStyle w:val="Hyperlink"/>
                <w:noProof/>
              </w:rPr>
              <w:t>Legislative Changes</w:t>
            </w:r>
            <w:r w:rsidR="00FF759B">
              <w:rPr>
                <w:noProof/>
                <w:webHidden/>
              </w:rPr>
              <w:tab/>
            </w:r>
            <w:r w:rsidR="00FF759B">
              <w:rPr>
                <w:noProof/>
                <w:webHidden/>
              </w:rPr>
              <w:fldChar w:fldCharType="begin"/>
            </w:r>
            <w:r w:rsidR="00FF759B">
              <w:rPr>
                <w:noProof/>
                <w:webHidden/>
              </w:rPr>
              <w:instrText xml:space="preserve"> PAGEREF _Toc1041138 \h </w:instrText>
            </w:r>
            <w:r w:rsidR="00FF759B">
              <w:rPr>
                <w:noProof/>
                <w:webHidden/>
              </w:rPr>
            </w:r>
            <w:r w:rsidR="00FF759B">
              <w:rPr>
                <w:noProof/>
                <w:webHidden/>
              </w:rPr>
              <w:fldChar w:fldCharType="separate"/>
            </w:r>
            <w:r w:rsidR="00FF759B">
              <w:rPr>
                <w:noProof/>
                <w:webHidden/>
              </w:rPr>
              <w:t>10</w:t>
            </w:r>
            <w:r w:rsidR="00FF759B">
              <w:rPr>
                <w:noProof/>
                <w:webHidden/>
              </w:rPr>
              <w:fldChar w:fldCharType="end"/>
            </w:r>
          </w:hyperlink>
        </w:p>
        <w:p w14:paraId="26D3CDF5" w14:textId="7DEDF153"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39" w:history="1">
            <w:r w:rsidR="00FF759B" w:rsidRPr="00F83F9F">
              <w:rPr>
                <w:rStyle w:val="Hyperlink"/>
                <w:noProof/>
              </w:rPr>
              <w:t>Criminal and General Division Legislation</w:t>
            </w:r>
            <w:r w:rsidR="00FF759B">
              <w:rPr>
                <w:noProof/>
                <w:webHidden/>
              </w:rPr>
              <w:tab/>
            </w:r>
            <w:r w:rsidR="00FF759B">
              <w:rPr>
                <w:noProof/>
                <w:webHidden/>
              </w:rPr>
              <w:fldChar w:fldCharType="begin"/>
            </w:r>
            <w:r w:rsidR="00FF759B">
              <w:rPr>
                <w:noProof/>
                <w:webHidden/>
              </w:rPr>
              <w:instrText xml:space="preserve"> PAGEREF _Toc1041139 \h </w:instrText>
            </w:r>
            <w:r w:rsidR="00FF759B">
              <w:rPr>
                <w:noProof/>
                <w:webHidden/>
              </w:rPr>
            </w:r>
            <w:r w:rsidR="00FF759B">
              <w:rPr>
                <w:noProof/>
                <w:webHidden/>
              </w:rPr>
              <w:fldChar w:fldCharType="separate"/>
            </w:r>
            <w:r w:rsidR="00FF759B">
              <w:rPr>
                <w:noProof/>
                <w:webHidden/>
              </w:rPr>
              <w:t>10</w:t>
            </w:r>
            <w:r w:rsidR="00FF759B">
              <w:rPr>
                <w:noProof/>
                <w:webHidden/>
              </w:rPr>
              <w:fldChar w:fldCharType="end"/>
            </w:r>
          </w:hyperlink>
        </w:p>
        <w:p w14:paraId="269106C6" w14:textId="579C6C6F"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40" w:history="1">
            <w:r w:rsidR="00FF759B" w:rsidRPr="00F83F9F">
              <w:rPr>
                <w:rStyle w:val="Hyperlink"/>
                <w:noProof/>
              </w:rPr>
              <w:t>National Domestic Violence Orders Recognition Scheme</w:t>
            </w:r>
            <w:r w:rsidR="00FF759B">
              <w:rPr>
                <w:noProof/>
                <w:webHidden/>
              </w:rPr>
              <w:tab/>
            </w:r>
            <w:r w:rsidR="00FF759B">
              <w:rPr>
                <w:noProof/>
                <w:webHidden/>
              </w:rPr>
              <w:fldChar w:fldCharType="begin"/>
            </w:r>
            <w:r w:rsidR="00FF759B">
              <w:rPr>
                <w:noProof/>
                <w:webHidden/>
              </w:rPr>
              <w:instrText xml:space="preserve"> PAGEREF _Toc1041140 \h </w:instrText>
            </w:r>
            <w:r w:rsidR="00FF759B">
              <w:rPr>
                <w:noProof/>
                <w:webHidden/>
              </w:rPr>
            </w:r>
            <w:r w:rsidR="00FF759B">
              <w:rPr>
                <w:noProof/>
                <w:webHidden/>
              </w:rPr>
              <w:fldChar w:fldCharType="separate"/>
            </w:r>
            <w:r w:rsidR="00FF759B">
              <w:rPr>
                <w:noProof/>
                <w:webHidden/>
              </w:rPr>
              <w:t>11</w:t>
            </w:r>
            <w:r w:rsidR="00FF759B">
              <w:rPr>
                <w:noProof/>
                <w:webHidden/>
              </w:rPr>
              <w:fldChar w:fldCharType="end"/>
            </w:r>
          </w:hyperlink>
        </w:p>
        <w:p w14:paraId="24BD9A72" w14:textId="77C904E3"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41" w:history="1">
            <w:r w:rsidR="00FF759B" w:rsidRPr="00F83F9F">
              <w:rPr>
                <w:rStyle w:val="Hyperlink"/>
                <w:noProof/>
              </w:rPr>
              <w:t>Caseload</w:t>
            </w:r>
            <w:r w:rsidR="00FF759B">
              <w:rPr>
                <w:noProof/>
                <w:webHidden/>
              </w:rPr>
              <w:tab/>
            </w:r>
            <w:r w:rsidR="00FF759B">
              <w:rPr>
                <w:noProof/>
                <w:webHidden/>
              </w:rPr>
              <w:fldChar w:fldCharType="begin"/>
            </w:r>
            <w:r w:rsidR="00FF759B">
              <w:rPr>
                <w:noProof/>
                <w:webHidden/>
              </w:rPr>
              <w:instrText xml:space="preserve"> PAGEREF _Toc1041141 \h </w:instrText>
            </w:r>
            <w:r w:rsidR="00FF759B">
              <w:rPr>
                <w:noProof/>
                <w:webHidden/>
              </w:rPr>
            </w:r>
            <w:r w:rsidR="00FF759B">
              <w:rPr>
                <w:noProof/>
                <w:webHidden/>
              </w:rPr>
              <w:fldChar w:fldCharType="separate"/>
            </w:r>
            <w:r w:rsidR="00FF759B">
              <w:rPr>
                <w:noProof/>
                <w:webHidden/>
              </w:rPr>
              <w:t>12</w:t>
            </w:r>
            <w:r w:rsidR="00FF759B">
              <w:rPr>
                <w:noProof/>
                <w:webHidden/>
              </w:rPr>
              <w:fldChar w:fldCharType="end"/>
            </w:r>
          </w:hyperlink>
        </w:p>
        <w:p w14:paraId="18DAC9F4" w14:textId="78D30315"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42" w:history="1">
            <w:r w:rsidR="00FF759B" w:rsidRPr="00F83F9F">
              <w:rPr>
                <w:rStyle w:val="Hyperlink"/>
                <w:noProof/>
              </w:rPr>
              <w:t>Problem-solving Courts</w:t>
            </w:r>
            <w:r w:rsidR="00FF759B">
              <w:rPr>
                <w:noProof/>
                <w:webHidden/>
              </w:rPr>
              <w:tab/>
            </w:r>
            <w:r w:rsidR="00FF759B">
              <w:rPr>
                <w:noProof/>
                <w:webHidden/>
              </w:rPr>
              <w:fldChar w:fldCharType="begin"/>
            </w:r>
            <w:r w:rsidR="00FF759B">
              <w:rPr>
                <w:noProof/>
                <w:webHidden/>
              </w:rPr>
              <w:instrText xml:space="preserve"> PAGEREF _Toc1041142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1C825482" w14:textId="2A399FA0"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43" w:history="1">
            <w:r w:rsidR="00FF759B" w:rsidRPr="00F83F9F">
              <w:rPr>
                <w:rStyle w:val="Hyperlink"/>
                <w:noProof/>
              </w:rPr>
              <w:t>Court Mandated Drug Diversion Program</w:t>
            </w:r>
            <w:r w:rsidR="00FF759B">
              <w:rPr>
                <w:noProof/>
                <w:webHidden/>
              </w:rPr>
              <w:tab/>
            </w:r>
            <w:r w:rsidR="00FF759B">
              <w:rPr>
                <w:noProof/>
                <w:webHidden/>
              </w:rPr>
              <w:fldChar w:fldCharType="begin"/>
            </w:r>
            <w:r w:rsidR="00FF759B">
              <w:rPr>
                <w:noProof/>
                <w:webHidden/>
              </w:rPr>
              <w:instrText xml:space="preserve"> PAGEREF _Toc1041143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4EF0C1EA" w14:textId="6340DB8F"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44" w:history="1">
            <w:r w:rsidR="00FF759B" w:rsidRPr="00F83F9F">
              <w:rPr>
                <w:rStyle w:val="Hyperlink"/>
                <w:noProof/>
              </w:rPr>
              <w:t>Diversion List</w:t>
            </w:r>
            <w:r w:rsidR="00FF759B">
              <w:rPr>
                <w:noProof/>
                <w:webHidden/>
              </w:rPr>
              <w:tab/>
            </w:r>
            <w:r w:rsidR="00FF759B">
              <w:rPr>
                <w:noProof/>
                <w:webHidden/>
              </w:rPr>
              <w:fldChar w:fldCharType="begin"/>
            </w:r>
            <w:r w:rsidR="00FF759B">
              <w:rPr>
                <w:noProof/>
                <w:webHidden/>
              </w:rPr>
              <w:instrText xml:space="preserve"> PAGEREF _Toc1041144 \h </w:instrText>
            </w:r>
            <w:r w:rsidR="00FF759B">
              <w:rPr>
                <w:noProof/>
                <w:webHidden/>
              </w:rPr>
            </w:r>
            <w:r w:rsidR="00FF759B">
              <w:rPr>
                <w:noProof/>
                <w:webHidden/>
              </w:rPr>
              <w:fldChar w:fldCharType="separate"/>
            </w:r>
            <w:r w:rsidR="00FF759B">
              <w:rPr>
                <w:noProof/>
                <w:webHidden/>
              </w:rPr>
              <w:t>14</w:t>
            </w:r>
            <w:r w:rsidR="00FF759B">
              <w:rPr>
                <w:noProof/>
                <w:webHidden/>
              </w:rPr>
              <w:fldChar w:fldCharType="end"/>
            </w:r>
          </w:hyperlink>
        </w:p>
        <w:p w14:paraId="054BFAD0" w14:textId="10CDA2D6"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45" w:history="1">
            <w:r w:rsidR="00FF759B" w:rsidRPr="00F83F9F">
              <w:rPr>
                <w:rStyle w:val="Hyperlink"/>
                <w:noProof/>
              </w:rPr>
              <w:t>Family Violence Lists</w:t>
            </w:r>
            <w:r w:rsidR="00FF759B">
              <w:rPr>
                <w:noProof/>
                <w:webHidden/>
              </w:rPr>
              <w:tab/>
            </w:r>
            <w:r w:rsidR="00FF759B">
              <w:rPr>
                <w:noProof/>
                <w:webHidden/>
              </w:rPr>
              <w:fldChar w:fldCharType="begin"/>
            </w:r>
            <w:r w:rsidR="00FF759B">
              <w:rPr>
                <w:noProof/>
                <w:webHidden/>
              </w:rPr>
              <w:instrText xml:space="preserve"> PAGEREF _Toc1041145 \h </w:instrText>
            </w:r>
            <w:r w:rsidR="00FF759B">
              <w:rPr>
                <w:noProof/>
                <w:webHidden/>
              </w:rPr>
            </w:r>
            <w:r w:rsidR="00FF759B">
              <w:rPr>
                <w:noProof/>
                <w:webHidden/>
              </w:rPr>
              <w:fldChar w:fldCharType="separate"/>
            </w:r>
            <w:r w:rsidR="00FF759B">
              <w:rPr>
                <w:noProof/>
                <w:webHidden/>
              </w:rPr>
              <w:t>14</w:t>
            </w:r>
            <w:r w:rsidR="00FF759B">
              <w:rPr>
                <w:noProof/>
                <w:webHidden/>
              </w:rPr>
              <w:fldChar w:fldCharType="end"/>
            </w:r>
          </w:hyperlink>
        </w:p>
        <w:p w14:paraId="4EE1B802" w14:textId="41BA4384"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46" w:history="1">
            <w:r w:rsidR="00FF759B" w:rsidRPr="00F83F9F">
              <w:rPr>
                <w:rStyle w:val="Hyperlink"/>
                <w:noProof/>
              </w:rPr>
              <w:t>Contest Mention System</w:t>
            </w:r>
            <w:r w:rsidR="00FF759B">
              <w:rPr>
                <w:noProof/>
                <w:webHidden/>
              </w:rPr>
              <w:tab/>
            </w:r>
            <w:r w:rsidR="00FF759B">
              <w:rPr>
                <w:noProof/>
                <w:webHidden/>
              </w:rPr>
              <w:fldChar w:fldCharType="begin"/>
            </w:r>
            <w:r w:rsidR="00FF759B">
              <w:rPr>
                <w:noProof/>
                <w:webHidden/>
              </w:rPr>
              <w:instrText xml:space="preserve"> PAGEREF _Toc1041146 \h </w:instrText>
            </w:r>
            <w:r w:rsidR="00FF759B">
              <w:rPr>
                <w:noProof/>
                <w:webHidden/>
              </w:rPr>
            </w:r>
            <w:r w:rsidR="00FF759B">
              <w:rPr>
                <w:noProof/>
                <w:webHidden/>
              </w:rPr>
              <w:fldChar w:fldCharType="separate"/>
            </w:r>
            <w:r w:rsidR="00FF759B">
              <w:rPr>
                <w:noProof/>
                <w:webHidden/>
              </w:rPr>
              <w:t>14</w:t>
            </w:r>
            <w:r w:rsidR="00FF759B">
              <w:rPr>
                <w:noProof/>
                <w:webHidden/>
              </w:rPr>
              <w:fldChar w:fldCharType="end"/>
            </w:r>
          </w:hyperlink>
        </w:p>
        <w:p w14:paraId="445CF247" w14:textId="2E81D7E1"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47" w:history="1">
            <w:r w:rsidR="00FF759B" w:rsidRPr="00F83F9F">
              <w:rPr>
                <w:rStyle w:val="Hyperlink"/>
                <w:noProof/>
              </w:rPr>
              <w:t>Youth Justice Court</w:t>
            </w:r>
            <w:r w:rsidR="00FF759B">
              <w:rPr>
                <w:noProof/>
                <w:webHidden/>
              </w:rPr>
              <w:tab/>
            </w:r>
            <w:r w:rsidR="00FF759B">
              <w:rPr>
                <w:noProof/>
                <w:webHidden/>
              </w:rPr>
              <w:fldChar w:fldCharType="begin"/>
            </w:r>
            <w:r w:rsidR="00FF759B">
              <w:rPr>
                <w:noProof/>
                <w:webHidden/>
              </w:rPr>
              <w:instrText xml:space="preserve"> PAGEREF _Toc1041147 \h </w:instrText>
            </w:r>
            <w:r w:rsidR="00FF759B">
              <w:rPr>
                <w:noProof/>
                <w:webHidden/>
              </w:rPr>
            </w:r>
            <w:r w:rsidR="00FF759B">
              <w:rPr>
                <w:noProof/>
                <w:webHidden/>
              </w:rPr>
              <w:fldChar w:fldCharType="separate"/>
            </w:r>
            <w:r w:rsidR="00FF759B">
              <w:rPr>
                <w:noProof/>
                <w:webHidden/>
              </w:rPr>
              <w:t>14</w:t>
            </w:r>
            <w:r w:rsidR="00FF759B">
              <w:rPr>
                <w:noProof/>
                <w:webHidden/>
              </w:rPr>
              <w:fldChar w:fldCharType="end"/>
            </w:r>
          </w:hyperlink>
        </w:p>
        <w:p w14:paraId="3CC7678F" w14:textId="33B69968"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48" w:history="1">
            <w:r w:rsidR="00FF759B" w:rsidRPr="00F83F9F">
              <w:rPr>
                <w:rStyle w:val="Hyperlink"/>
                <w:noProof/>
              </w:rPr>
              <w:t>Court User Groups</w:t>
            </w:r>
            <w:r w:rsidR="00FF759B">
              <w:rPr>
                <w:noProof/>
                <w:webHidden/>
              </w:rPr>
              <w:tab/>
            </w:r>
            <w:r w:rsidR="00FF759B">
              <w:rPr>
                <w:noProof/>
                <w:webHidden/>
              </w:rPr>
              <w:fldChar w:fldCharType="begin"/>
            </w:r>
            <w:r w:rsidR="00FF759B">
              <w:rPr>
                <w:noProof/>
                <w:webHidden/>
              </w:rPr>
              <w:instrText xml:space="preserve"> PAGEREF _Toc1041148 \h </w:instrText>
            </w:r>
            <w:r w:rsidR="00FF759B">
              <w:rPr>
                <w:noProof/>
                <w:webHidden/>
              </w:rPr>
            </w:r>
            <w:r w:rsidR="00FF759B">
              <w:rPr>
                <w:noProof/>
                <w:webHidden/>
              </w:rPr>
              <w:fldChar w:fldCharType="separate"/>
            </w:r>
            <w:r w:rsidR="00FF759B">
              <w:rPr>
                <w:noProof/>
                <w:webHidden/>
              </w:rPr>
              <w:t>16</w:t>
            </w:r>
            <w:r w:rsidR="00FF759B">
              <w:rPr>
                <w:noProof/>
                <w:webHidden/>
              </w:rPr>
              <w:fldChar w:fldCharType="end"/>
            </w:r>
          </w:hyperlink>
        </w:p>
        <w:p w14:paraId="48DCA3A7" w14:textId="6F439691"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49" w:history="1">
            <w:r w:rsidR="00FF759B" w:rsidRPr="00F83F9F">
              <w:rPr>
                <w:rStyle w:val="Hyperlink"/>
                <w:noProof/>
              </w:rPr>
              <w:t>Information Technology</w:t>
            </w:r>
            <w:r w:rsidR="00FF759B">
              <w:rPr>
                <w:noProof/>
                <w:webHidden/>
              </w:rPr>
              <w:tab/>
            </w:r>
            <w:r w:rsidR="00FF759B">
              <w:rPr>
                <w:noProof/>
                <w:webHidden/>
              </w:rPr>
              <w:fldChar w:fldCharType="begin"/>
            </w:r>
            <w:r w:rsidR="00FF759B">
              <w:rPr>
                <w:noProof/>
                <w:webHidden/>
              </w:rPr>
              <w:instrText xml:space="preserve"> PAGEREF _Toc1041149 \h </w:instrText>
            </w:r>
            <w:r w:rsidR="00FF759B">
              <w:rPr>
                <w:noProof/>
                <w:webHidden/>
              </w:rPr>
            </w:r>
            <w:r w:rsidR="00FF759B">
              <w:rPr>
                <w:noProof/>
                <w:webHidden/>
              </w:rPr>
              <w:fldChar w:fldCharType="separate"/>
            </w:r>
            <w:r w:rsidR="00FF759B">
              <w:rPr>
                <w:noProof/>
                <w:webHidden/>
              </w:rPr>
              <w:t>17</w:t>
            </w:r>
            <w:r w:rsidR="00FF759B">
              <w:rPr>
                <w:noProof/>
                <w:webHidden/>
              </w:rPr>
              <w:fldChar w:fldCharType="end"/>
            </w:r>
          </w:hyperlink>
        </w:p>
        <w:p w14:paraId="537F1B2D" w14:textId="29B174B2"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50" w:history="1">
            <w:r w:rsidR="00FF759B" w:rsidRPr="00F83F9F">
              <w:rPr>
                <w:rStyle w:val="Hyperlink"/>
                <w:noProof/>
              </w:rPr>
              <w:t>Justice Connect</w:t>
            </w:r>
            <w:r w:rsidR="00FF759B">
              <w:rPr>
                <w:noProof/>
                <w:webHidden/>
              </w:rPr>
              <w:tab/>
            </w:r>
            <w:r w:rsidR="00FF759B">
              <w:rPr>
                <w:noProof/>
                <w:webHidden/>
              </w:rPr>
              <w:fldChar w:fldCharType="begin"/>
            </w:r>
            <w:r w:rsidR="00FF759B">
              <w:rPr>
                <w:noProof/>
                <w:webHidden/>
              </w:rPr>
              <w:instrText xml:space="preserve"> PAGEREF _Toc1041150 \h </w:instrText>
            </w:r>
            <w:r w:rsidR="00FF759B">
              <w:rPr>
                <w:noProof/>
                <w:webHidden/>
              </w:rPr>
            </w:r>
            <w:r w:rsidR="00FF759B">
              <w:rPr>
                <w:noProof/>
                <w:webHidden/>
              </w:rPr>
              <w:fldChar w:fldCharType="separate"/>
            </w:r>
            <w:r w:rsidR="00FF759B">
              <w:rPr>
                <w:noProof/>
                <w:webHidden/>
              </w:rPr>
              <w:t>17</w:t>
            </w:r>
            <w:r w:rsidR="00FF759B">
              <w:rPr>
                <w:noProof/>
                <w:webHidden/>
              </w:rPr>
              <w:fldChar w:fldCharType="end"/>
            </w:r>
          </w:hyperlink>
        </w:p>
        <w:p w14:paraId="4E428190" w14:textId="470FB8CC"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51" w:history="1">
            <w:r w:rsidR="00FF759B" w:rsidRPr="00F83F9F">
              <w:rPr>
                <w:rStyle w:val="Hyperlink"/>
                <w:noProof/>
              </w:rPr>
              <w:t>Video Conferencing</w:t>
            </w:r>
            <w:r w:rsidR="00FF759B">
              <w:rPr>
                <w:noProof/>
                <w:webHidden/>
              </w:rPr>
              <w:tab/>
            </w:r>
            <w:r w:rsidR="00FF759B">
              <w:rPr>
                <w:noProof/>
                <w:webHidden/>
              </w:rPr>
              <w:fldChar w:fldCharType="begin"/>
            </w:r>
            <w:r w:rsidR="00FF759B">
              <w:rPr>
                <w:noProof/>
                <w:webHidden/>
              </w:rPr>
              <w:instrText xml:space="preserve"> PAGEREF _Toc1041151 \h </w:instrText>
            </w:r>
            <w:r w:rsidR="00FF759B">
              <w:rPr>
                <w:noProof/>
                <w:webHidden/>
              </w:rPr>
            </w:r>
            <w:r w:rsidR="00FF759B">
              <w:rPr>
                <w:noProof/>
                <w:webHidden/>
              </w:rPr>
              <w:fldChar w:fldCharType="separate"/>
            </w:r>
            <w:r w:rsidR="00FF759B">
              <w:rPr>
                <w:noProof/>
                <w:webHidden/>
              </w:rPr>
              <w:t>17</w:t>
            </w:r>
            <w:r w:rsidR="00FF759B">
              <w:rPr>
                <w:noProof/>
                <w:webHidden/>
              </w:rPr>
              <w:fldChar w:fldCharType="end"/>
            </w:r>
          </w:hyperlink>
        </w:p>
        <w:p w14:paraId="68714096" w14:textId="7A33A901"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52" w:history="1">
            <w:r w:rsidR="00FF759B" w:rsidRPr="00F83F9F">
              <w:rPr>
                <w:rStyle w:val="Hyperlink"/>
                <w:noProof/>
              </w:rPr>
              <w:t>Burnie Court Complex Redevelopment</w:t>
            </w:r>
            <w:r w:rsidR="00FF759B">
              <w:rPr>
                <w:noProof/>
                <w:webHidden/>
              </w:rPr>
              <w:tab/>
            </w:r>
            <w:r w:rsidR="00FF759B">
              <w:rPr>
                <w:noProof/>
                <w:webHidden/>
              </w:rPr>
              <w:fldChar w:fldCharType="begin"/>
            </w:r>
            <w:r w:rsidR="00FF759B">
              <w:rPr>
                <w:noProof/>
                <w:webHidden/>
              </w:rPr>
              <w:instrText xml:space="preserve"> PAGEREF _Toc1041152 \h </w:instrText>
            </w:r>
            <w:r w:rsidR="00FF759B">
              <w:rPr>
                <w:noProof/>
                <w:webHidden/>
              </w:rPr>
            </w:r>
            <w:r w:rsidR="00FF759B">
              <w:rPr>
                <w:noProof/>
                <w:webHidden/>
              </w:rPr>
              <w:fldChar w:fldCharType="separate"/>
            </w:r>
            <w:r w:rsidR="00FF759B">
              <w:rPr>
                <w:noProof/>
                <w:webHidden/>
              </w:rPr>
              <w:t>18</w:t>
            </w:r>
            <w:r w:rsidR="00FF759B">
              <w:rPr>
                <w:noProof/>
                <w:webHidden/>
              </w:rPr>
              <w:fldChar w:fldCharType="end"/>
            </w:r>
          </w:hyperlink>
        </w:p>
        <w:p w14:paraId="5BC79B13" w14:textId="2250DF4E"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53" w:history="1">
            <w:r w:rsidR="00FF759B" w:rsidRPr="00F83F9F">
              <w:rPr>
                <w:rStyle w:val="Hyperlink"/>
                <w:noProof/>
              </w:rPr>
              <w:t>Legal Education Initiatives and Community Involvement</w:t>
            </w:r>
            <w:r w:rsidR="00FF759B">
              <w:rPr>
                <w:noProof/>
                <w:webHidden/>
              </w:rPr>
              <w:tab/>
            </w:r>
            <w:r w:rsidR="00FF759B">
              <w:rPr>
                <w:noProof/>
                <w:webHidden/>
              </w:rPr>
              <w:fldChar w:fldCharType="begin"/>
            </w:r>
            <w:r w:rsidR="00FF759B">
              <w:rPr>
                <w:noProof/>
                <w:webHidden/>
              </w:rPr>
              <w:instrText xml:space="preserve"> PAGEREF _Toc1041153 \h </w:instrText>
            </w:r>
            <w:r w:rsidR="00FF759B">
              <w:rPr>
                <w:noProof/>
                <w:webHidden/>
              </w:rPr>
            </w:r>
            <w:r w:rsidR="00FF759B">
              <w:rPr>
                <w:noProof/>
                <w:webHidden/>
              </w:rPr>
              <w:fldChar w:fldCharType="separate"/>
            </w:r>
            <w:r w:rsidR="00FF759B">
              <w:rPr>
                <w:noProof/>
                <w:webHidden/>
              </w:rPr>
              <w:t>19</w:t>
            </w:r>
            <w:r w:rsidR="00FF759B">
              <w:rPr>
                <w:noProof/>
                <w:webHidden/>
              </w:rPr>
              <w:fldChar w:fldCharType="end"/>
            </w:r>
          </w:hyperlink>
        </w:p>
        <w:p w14:paraId="139506EA" w14:textId="7C03D27D"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54" w:history="1">
            <w:r w:rsidR="00FF759B" w:rsidRPr="00F83F9F">
              <w:rPr>
                <w:rStyle w:val="Hyperlink"/>
                <w:noProof/>
              </w:rPr>
              <w:t>Legal Practice Course</w:t>
            </w:r>
            <w:r w:rsidR="00FF759B">
              <w:rPr>
                <w:noProof/>
                <w:webHidden/>
              </w:rPr>
              <w:tab/>
            </w:r>
            <w:r w:rsidR="00FF759B">
              <w:rPr>
                <w:noProof/>
                <w:webHidden/>
              </w:rPr>
              <w:fldChar w:fldCharType="begin"/>
            </w:r>
            <w:r w:rsidR="00FF759B">
              <w:rPr>
                <w:noProof/>
                <w:webHidden/>
              </w:rPr>
              <w:instrText xml:space="preserve"> PAGEREF _Toc1041154 \h </w:instrText>
            </w:r>
            <w:r w:rsidR="00FF759B">
              <w:rPr>
                <w:noProof/>
                <w:webHidden/>
              </w:rPr>
            </w:r>
            <w:r w:rsidR="00FF759B">
              <w:rPr>
                <w:noProof/>
                <w:webHidden/>
              </w:rPr>
              <w:fldChar w:fldCharType="separate"/>
            </w:r>
            <w:r w:rsidR="00FF759B">
              <w:rPr>
                <w:noProof/>
                <w:webHidden/>
              </w:rPr>
              <w:t>19</w:t>
            </w:r>
            <w:r w:rsidR="00FF759B">
              <w:rPr>
                <w:noProof/>
                <w:webHidden/>
              </w:rPr>
              <w:fldChar w:fldCharType="end"/>
            </w:r>
          </w:hyperlink>
        </w:p>
        <w:p w14:paraId="5736FEC5" w14:textId="7E9217BB"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55" w:history="1">
            <w:r w:rsidR="00FF759B" w:rsidRPr="00F83F9F">
              <w:rPr>
                <w:rStyle w:val="Hyperlink"/>
                <w:noProof/>
              </w:rPr>
              <w:t>CourtWatch</w:t>
            </w:r>
            <w:r w:rsidR="00FF759B">
              <w:rPr>
                <w:noProof/>
                <w:webHidden/>
              </w:rPr>
              <w:tab/>
            </w:r>
            <w:r w:rsidR="00FF759B">
              <w:rPr>
                <w:noProof/>
                <w:webHidden/>
              </w:rPr>
              <w:fldChar w:fldCharType="begin"/>
            </w:r>
            <w:r w:rsidR="00FF759B">
              <w:rPr>
                <w:noProof/>
                <w:webHidden/>
              </w:rPr>
              <w:instrText xml:space="preserve"> PAGEREF _Toc1041155 \h </w:instrText>
            </w:r>
            <w:r w:rsidR="00FF759B">
              <w:rPr>
                <w:noProof/>
                <w:webHidden/>
              </w:rPr>
            </w:r>
            <w:r w:rsidR="00FF759B">
              <w:rPr>
                <w:noProof/>
                <w:webHidden/>
              </w:rPr>
              <w:fldChar w:fldCharType="separate"/>
            </w:r>
            <w:r w:rsidR="00FF759B">
              <w:rPr>
                <w:noProof/>
                <w:webHidden/>
              </w:rPr>
              <w:t>19</w:t>
            </w:r>
            <w:r w:rsidR="00FF759B">
              <w:rPr>
                <w:noProof/>
                <w:webHidden/>
              </w:rPr>
              <w:fldChar w:fldCharType="end"/>
            </w:r>
          </w:hyperlink>
        </w:p>
        <w:p w14:paraId="73D8BB82" w14:textId="279588E1"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56" w:history="1">
            <w:r w:rsidR="00FF759B" w:rsidRPr="00F83F9F">
              <w:rPr>
                <w:rStyle w:val="Hyperlink"/>
                <w:noProof/>
              </w:rPr>
              <w:t>Legal Education</w:t>
            </w:r>
            <w:r w:rsidR="00FF759B">
              <w:rPr>
                <w:noProof/>
                <w:webHidden/>
              </w:rPr>
              <w:tab/>
            </w:r>
            <w:r w:rsidR="00FF759B">
              <w:rPr>
                <w:noProof/>
                <w:webHidden/>
              </w:rPr>
              <w:fldChar w:fldCharType="begin"/>
            </w:r>
            <w:r w:rsidR="00FF759B">
              <w:rPr>
                <w:noProof/>
                <w:webHidden/>
              </w:rPr>
              <w:instrText xml:space="preserve"> PAGEREF _Toc1041156 \h </w:instrText>
            </w:r>
            <w:r w:rsidR="00FF759B">
              <w:rPr>
                <w:noProof/>
                <w:webHidden/>
              </w:rPr>
            </w:r>
            <w:r w:rsidR="00FF759B">
              <w:rPr>
                <w:noProof/>
                <w:webHidden/>
              </w:rPr>
              <w:fldChar w:fldCharType="separate"/>
            </w:r>
            <w:r w:rsidR="00FF759B">
              <w:rPr>
                <w:noProof/>
                <w:webHidden/>
              </w:rPr>
              <w:t>19</w:t>
            </w:r>
            <w:r w:rsidR="00FF759B">
              <w:rPr>
                <w:noProof/>
                <w:webHidden/>
              </w:rPr>
              <w:fldChar w:fldCharType="end"/>
            </w:r>
          </w:hyperlink>
        </w:p>
        <w:p w14:paraId="5C9E524D" w14:textId="5E06C36E"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57" w:history="1">
            <w:r w:rsidR="00FF759B" w:rsidRPr="00F83F9F">
              <w:rPr>
                <w:rStyle w:val="Hyperlink"/>
                <w:noProof/>
              </w:rPr>
              <w:t>Community Events</w:t>
            </w:r>
            <w:r w:rsidR="00FF759B">
              <w:rPr>
                <w:noProof/>
                <w:webHidden/>
              </w:rPr>
              <w:tab/>
            </w:r>
            <w:r w:rsidR="00FF759B">
              <w:rPr>
                <w:noProof/>
                <w:webHidden/>
              </w:rPr>
              <w:fldChar w:fldCharType="begin"/>
            </w:r>
            <w:r w:rsidR="00FF759B">
              <w:rPr>
                <w:noProof/>
                <w:webHidden/>
              </w:rPr>
              <w:instrText xml:space="preserve"> PAGEREF _Toc1041157 \h </w:instrText>
            </w:r>
            <w:r w:rsidR="00FF759B">
              <w:rPr>
                <w:noProof/>
                <w:webHidden/>
              </w:rPr>
            </w:r>
            <w:r w:rsidR="00FF759B">
              <w:rPr>
                <w:noProof/>
                <w:webHidden/>
              </w:rPr>
              <w:fldChar w:fldCharType="separate"/>
            </w:r>
            <w:r w:rsidR="00FF759B">
              <w:rPr>
                <w:noProof/>
                <w:webHidden/>
              </w:rPr>
              <w:t>20</w:t>
            </w:r>
            <w:r w:rsidR="00FF759B">
              <w:rPr>
                <w:noProof/>
                <w:webHidden/>
              </w:rPr>
              <w:fldChar w:fldCharType="end"/>
            </w:r>
          </w:hyperlink>
        </w:p>
        <w:p w14:paraId="40C8395A" w14:textId="0835DF2F"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58" w:history="1">
            <w:r w:rsidR="00FF759B" w:rsidRPr="00F83F9F">
              <w:rPr>
                <w:rStyle w:val="Hyperlink"/>
                <w:noProof/>
              </w:rPr>
              <w:t>Access to Justice</w:t>
            </w:r>
            <w:r w:rsidR="00FF759B">
              <w:rPr>
                <w:noProof/>
                <w:webHidden/>
              </w:rPr>
              <w:tab/>
            </w:r>
            <w:r w:rsidR="00FF759B">
              <w:rPr>
                <w:noProof/>
                <w:webHidden/>
              </w:rPr>
              <w:fldChar w:fldCharType="begin"/>
            </w:r>
            <w:r w:rsidR="00FF759B">
              <w:rPr>
                <w:noProof/>
                <w:webHidden/>
              </w:rPr>
              <w:instrText xml:space="preserve"> PAGEREF _Toc1041158 \h </w:instrText>
            </w:r>
            <w:r w:rsidR="00FF759B">
              <w:rPr>
                <w:noProof/>
                <w:webHidden/>
              </w:rPr>
            </w:r>
            <w:r w:rsidR="00FF759B">
              <w:rPr>
                <w:noProof/>
                <w:webHidden/>
              </w:rPr>
              <w:fldChar w:fldCharType="separate"/>
            </w:r>
            <w:r w:rsidR="00FF759B">
              <w:rPr>
                <w:noProof/>
                <w:webHidden/>
              </w:rPr>
              <w:t>21</w:t>
            </w:r>
            <w:r w:rsidR="00FF759B">
              <w:rPr>
                <w:noProof/>
                <w:webHidden/>
              </w:rPr>
              <w:fldChar w:fldCharType="end"/>
            </w:r>
          </w:hyperlink>
        </w:p>
        <w:p w14:paraId="5C4D0251" w14:textId="5DBA3F0C"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59" w:history="1">
            <w:r w:rsidR="00FF759B" w:rsidRPr="00F83F9F">
              <w:rPr>
                <w:rStyle w:val="Hyperlink"/>
                <w:noProof/>
              </w:rPr>
              <w:t>Disability Access</w:t>
            </w:r>
            <w:r w:rsidR="00FF759B">
              <w:rPr>
                <w:noProof/>
                <w:webHidden/>
              </w:rPr>
              <w:tab/>
            </w:r>
            <w:r w:rsidR="00FF759B">
              <w:rPr>
                <w:noProof/>
                <w:webHidden/>
              </w:rPr>
              <w:fldChar w:fldCharType="begin"/>
            </w:r>
            <w:r w:rsidR="00FF759B">
              <w:rPr>
                <w:noProof/>
                <w:webHidden/>
              </w:rPr>
              <w:instrText xml:space="preserve"> PAGEREF _Toc1041159 \h </w:instrText>
            </w:r>
            <w:r w:rsidR="00FF759B">
              <w:rPr>
                <w:noProof/>
                <w:webHidden/>
              </w:rPr>
            </w:r>
            <w:r w:rsidR="00FF759B">
              <w:rPr>
                <w:noProof/>
                <w:webHidden/>
              </w:rPr>
              <w:fldChar w:fldCharType="separate"/>
            </w:r>
            <w:r w:rsidR="00FF759B">
              <w:rPr>
                <w:noProof/>
                <w:webHidden/>
              </w:rPr>
              <w:t>21</w:t>
            </w:r>
            <w:r w:rsidR="00FF759B">
              <w:rPr>
                <w:noProof/>
                <w:webHidden/>
              </w:rPr>
              <w:fldChar w:fldCharType="end"/>
            </w:r>
          </w:hyperlink>
        </w:p>
        <w:p w14:paraId="115EC85A" w14:textId="06E8A27B"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60" w:history="1">
            <w:r w:rsidR="00FF759B" w:rsidRPr="00F83F9F">
              <w:rPr>
                <w:rStyle w:val="Hyperlink"/>
                <w:noProof/>
              </w:rPr>
              <w:t>Interpreters</w:t>
            </w:r>
            <w:r w:rsidR="00FF759B">
              <w:rPr>
                <w:noProof/>
                <w:webHidden/>
              </w:rPr>
              <w:tab/>
            </w:r>
            <w:r w:rsidR="00FF759B">
              <w:rPr>
                <w:noProof/>
                <w:webHidden/>
              </w:rPr>
              <w:fldChar w:fldCharType="begin"/>
            </w:r>
            <w:r w:rsidR="00FF759B">
              <w:rPr>
                <w:noProof/>
                <w:webHidden/>
              </w:rPr>
              <w:instrText xml:space="preserve"> PAGEREF _Toc1041160 \h </w:instrText>
            </w:r>
            <w:r w:rsidR="00FF759B">
              <w:rPr>
                <w:noProof/>
                <w:webHidden/>
              </w:rPr>
            </w:r>
            <w:r w:rsidR="00FF759B">
              <w:rPr>
                <w:noProof/>
                <w:webHidden/>
              </w:rPr>
              <w:fldChar w:fldCharType="separate"/>
            </w:r>
            <w:r w:rsidR="00FF759B">
              <w:rPr>
                <w:noProof/>
                <w:webHidden/>
              </w:rPr>
              <w:t>21</w:t>
            </w:r>
            <w:r w:rsidR="00FF759B">
              <w:rPr>
                <w:noProof/>
                <w:webHidden/>
              </w:rPr>
              <w:fldChar w:fldCharType="end"/>
            </w:r>
          </w:hyperlink>
        </w:p>
        <w:p w14:paraId="7C38DFE3" w14:textId="78A7E400"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61" w:history="1">
            <w:r w:rsidR="00FF759B" w:rsidRPr="00F83F9F">
              <w:rPr>
                <w:rStyle w:val="Hyperlink"/>
                <w:noProof/>
              </w:rPr>
              <w:t>Court Support Services</w:t>
            </w:r>
            <w:r w:rsidR="00FF759B">
              <w:rPr>
                <w:noProof/>
                <w:webHidden/>
              </w:rPr>
              <w:tab/>
            </w:r>
            <w:r w:rsidR="00FF759B">
              <w:rPr>
                <w:noProof/>
                <w:webHidden/>
              </w:rPr>
              <w:fldChar w:fldCharType="begin"/>
            </w:r>
            <w:r w:rsidR="00FF759B">
              <w:rPr>
                <w:noProof/>
                <w:webHidden/>
              </w:rPr>
              <w:instrText xml:space="preserve"> PAGEREF _Toc1041161 \h </w:instrText>
            </w:r>
            <w:r w:rsidR="00FF759B">
              <w:rPr>
                <w:noProof/>
                <w:webHidden/>
              </w:rPr>
            </w:r>
            <w:r w:rsidR="00FF759B">
              <w:rPr>
                <w:noProof/>
                <w:webHidden/>
              </w:rPr>
              <w:fldChar w:fldCharType="separate"/>
            </w:r>
            <w:r w:rsidR="00FF759B">
              <w:rPr>
                <w:noProof/>
                <w:webHidden/>
              </w:rPr>
              <w:t>22</w:t>
            </w:r>
            <w:r w:rsidR="00FF759B">
              <w:rPr>
                <w:noProof/>
                <w:webHidden/>
              </w:rPr>
              <w:fldChar w:fldCharType="end"/>
            </w:r>
          </w:hyperlink>
        </w:p>
        <w:p w14:paraId="2CF1F456" w14:textId="01489E0B"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62" w:history="1">
            <w:r w:rsidR="00FF759B" w:rsidRPr="00F83F9F">
              <w:rPr>
                <w:rStyle w:val="Hyperlink"/>
                <w:noProof/>
              </w:rPr>
              <w:t>Witness Assistance Service</w:t>
            </w:r>
            <w:r w:rsidR="00FF759B">
              <w:rPr>
                <w:noProof/>
                <w:webHidden/>
              </w:rPr>
              <w:tab/>
            </w:r>
            <w:r w:rsidR="00FF759B">
              <w:rPr>
                <w:noProof/>
                <w:webHidden/>
              </w:rPr>
              <w:fldChar w:fldCharType="begin"/>
            </w:r>
            <w:r w:rsidR="00FF759B">
              <w:rPr>
                <w:noProof/>
                <w:webHidden/>
              </w:rPr>
              <w:instrText xml:space="preserve"> PAGEREF _Toc1041162 \h </w:instrText>
            </w:r>
            <w:r w:rsidR="00FF759B">
              <w:rPr>
                <w:noProof/>
                <w:webHidden/>
              </w:rPr>
            </w:r>
            <w:r w:rsidR="00FF759B">
              <w:rPr>
                <w:noProof/>
                <w:webHidden/>
              </w:rPr>
              <w:fldChar w:fldCharType="separate"/>
            </w:r>
            <w:r w:rsidR="00FF759B">
              <w:rPr>
                <w:noProof/>
                <w:webHidden/>
              </w:rPr>
              <w:t>22</w:t>
            </w:r>
            <w:r w:rsidR="00FF759B">
              <w:rPr>
                <w:noProof/>
                <w:webHidden/>
              </w:rPr>
              <w:fldChar w:fldCharType="end"/>
            </w:r>
          </w:hyperlink>
        </w:p>
        <w:p w14:paraId="59375E3C" w14:textId="53BBCDD8"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63" w:history="1">
            <w:r w:rsidR="00FF759B" w:rsidRPr="00F83F9F">
              <w:rPr>
                <w:rStyle w:val="Hyperlink"/>
                <w:noProof/>
              </w:rPr>
              <w:t>Salvation Army - Court and Prison Chaplaincy</w:t>
            </w:r>
            <w:r w:rsidR="00FF759B">
              <w:rPr>
                <w:noProof/>
                <w:webHidden/>
              </w:rPr>
              <w:tab/>
            </w:r>
            <w:r w:rsidR="00FF759B">
              <w:rPr>
                <w:noProof/>
                <w:webHidden/>
              </w:rPr>
              <w:fldChar w:fldCharType="begin"/>
            </w:r>
            <w:r w:rsidR="00FF759B">
              <w:rPr>
                <w:noProof/>
                <w:webHidden/>
              </w:rPr>
              <w:instrText xml:space="preserve"> PAGEREF _Toc1041163 \h </w:instrText>
            </w:r>
            <w:r w:rsidR="00FF759B">
              <w:rPr>
                <w:noProof/>
                <w:webHidden/>
              </w:rPr>
            </w:r>
            <w:r w:rsidR="00FF759B">
              <w:rPr>
                <w:noProof/>
                <w:webHidden/>
              </w:rPr>
              <w:fldChar w:fldCharType="separate"/>
            </w:r>
            <w:r w:rsidR="00FF759B">
              <w:rPr>
                <w:noProof/>
                <w:webHidden/>
              </w:rPr>
              <w:t>22</w:t>
            </w:r>
            <w:r w:rsidR="00FF759B">
              <w:rPr>
                <w:noProof/>
                <w:webHidden/>
              </w:rPr>
              <w:fldChar w:fldCharType="end"/>
            </w:r>
          </w:hyperlink>
        </w:p>
        <w:p w14:paraId="3C26F937" w14:textId="74B65451"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64" w:history="1">
            <w:r w:rsidR="00FF759B" w:rsidRPr="00F83F9F">
              <w:rPr>
                <w:rStyle w:val="Hyperlink"/>
                <w:noProof/>
              </w:rPr>
              <w:t>Save the Children</w:t>
            </w:r>
            <w:r w:rsidR="00FF759B">
              <w:rPr>
                <w:noProof/>
                <w:webHidden/>
              </w:rPr>
              <w:tab/>
            </w:r>
            <w:r w:rsidR="00FF759B">
              <w:rPr>
                <w:noProof/>
                <w:webHidden/>
              </w:rPr>
              <w:fldChar w:fldCharType="begin"/>
            </w:r>
            <w:r w:rsidR="00FF759B">
              <w:rPr>
                <w:noProof/>
                <w:webHidden/>
              </w:rPr>
              <w:instrText xml:space="preserve"> PAGEREF _Toc1041164 \h </w:instrText>
            </w:r>
            <w:r w:rsidR="00FF759B">
              <w:rPr>
                <w:noProof/>
                <w:webHidden/>
              </w:rPr>
            </w:r>
            <w:r w:rsidR="00FF759B">
              <w:rPr>
                <w:noProof/>
                <w:webHidden/>
              </w:rPr>
              <w:fldChar w:fldCharType="separate"/>
            </w:r>
            <w:r w:rsidR="00FF759B">
              <w:rPr>
                <w:noProof/>
                <w:webHidden/>
              </w:rPr>
              <w:t>22</w:t>
            </w:r>
            <w:r w:rsidR="00FF759B">
              <w:rPr>
                <w:noProof/>
                <w:webHidden/>
              </w:rPr>
              <w:fldChar w:fldCharType="end"/>
            </w:r>
          </w:hyperlink>
        </w:p>
        <w:p w14:paraId="3E338F84" w14:textId="185EA4FD"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65" w:history="1">
            <w:r w:rsidR="00FF759B" w:rsidRPr="00F83F9F">
              <w:rPr>
                <w:rStyle w:val="Hyperlink"/>
                <w:noProof/>
              </w:rPr>
              <w:t>Baptcare and Mission Australia</w:t>
            </w:r>
            <w:r w:rsidR="00FF759B">
              <w:rPr>
                <w:noProof/>
                <w:webHidden/>
              </w:rPr>
              <w:tab/>
            </w:r>
            <w:r w:rsidR="00FF759B">
              <w:rPr>
                <w:noProof/>
                <w:webHidden/>
              </w:rPr>
              <w:fldChar w:fldCharType="begin"/>
            </w:r>
            <w:r w:rsidR="00FF759B">
              <w:rPr>
                <w:noProof/>
                <w:webHidden/>
              </w:rPr>
              <w:instrText xml:space="preserve"> PAGEREF _Toc1041165 \h </w:instrText>
            </w:r>
            <w:r w:rsidR="00FF759B">
              <w:rPr>
                <w:noProof/>
                <w:webHidden/>
              </w:rPr>
            </w:r>
            <w:r w:rsidR="00FF759B">
              <w:rPr>
                <w:noProof/>
                <w:webHidden/>
              </w:rPr>
              <w:fldChar w:fldCharType="separate"/>
            </w:r>
            <w:r w:rsidR="00FF759B">
              <w:rPr>
                <w:noProof/>
                <w:webHidden/>
              </w:rPr>
              <w:t>23</w:t>
            </w:r>
            <w:r w:rsidR="00FF759B">
              <w:rPr>
                <w:noProof/>
                <w:webHidden/>
              </w:rPr>
              <w:fldChar w:fldCharType="end"/>
            </w:r>
          </w:hyperlink>
        </w:p>
        <w:p w14:paraId="5B15A14E" w14:textId="4C85CCFE"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66" w:history="1">
            <w:r w:rsidR="00FF759B" w:rsidRPr="00F83F9F">
              <w:rPr>
                <w:rStyle w:val="Hyperlink"/>
                <w:noProof/>
              </w:rPr>
              <w:t>Community Legal Services</w:t>
            </w:r>
            <w:r w:rsidR="00FF759B">
              <w:rPr>
                <w:noProof/>
                <w:webHidden/>
              </w:rPr>
              <w:tab/>
            </w:r>
            <w:r w:rsidR="00FF759B">
              <w:rPr>
                <w:noProof/>
                <w:webHidden/>
              </w:rPr>
              <w:fldChar w:fldCharType="begin"/>
            </w:r>
            <w:r w:rsidR="00FF759B">
              <w:rPr>
                <w:noProof/>
                <w:webHidden/>
              </w:rPr>
              <w:instrText xml:space="preserve"> PAGEREF _Toc1041166 \h </w:instrText>
            </w:r>
            <w:r w:rsidR="00FF759B">
              <w:rPr>
                <w:noProof/>
                <w:webHidden/>
              </w:rPr>
            </w:r>
            <w:r w:rsidR="00FF759B">
              <w:rPr>
                <w:noProof/>
                <w:webHidden/>
              </w:rPr>
              <w:fldChar w:fldCharType="separate"/>
            </w:r>
            <w:r w:rsidR="00FF759B">
              <w:rPr>
                <w:noProof/>
                <w:webHidden/>
              </w:rPr>
              <w:t>23</w:t>
            </w:r>
            <w:r w:rsidR="00FF759B">
              <w:rPr>
                <w:noProof/>
                <w:webHidden/>
              </w:rPr>
              <w:fldChar w:fldCharType="end"/>
            </w:r>
          </w:hyperlink>
        </w:p>
        <w:p w14:paraId="67DA0BD2" w14:textId="7753E42A"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67" w:history="1">
            <w:r w:rsidR="00FF759B" w:rsidRPr="00F83F9F">
              <w:rPr>
                <w:rStyle w:val="Hyperlink"/>
                <w:noProof/>
              </w:rPr>
              <w:t>Coronial Division</w:t>
            </w:r>
            <w:r w:rsidR="00FF759B">
              <w:rPr>
                <w:noProof/>
                <w:webHidden/>
              </w:rPr>
              <w:tab/>
            </w:r>
            <w:r w:rsidR="00FF759B">
              <w:rPr>
                <w:noProof/>
                <w:webHidden/>
              </w:rPr>
              <w:fldChar w:fldCharType="begin"/>
            </w:r>
            <w:r w:rsidR="00FF759B">
              <w:rPr>
                <w:noProof/>
                <w:webHidden/>
              </w:rPr>
              <w:instrText xml:space="preserve"> PAGEREF _Toc1041167 \h </w:instrText>
            </w:r>
            <w:r w:rsidR="00FF759B">
              <w:rPr>
                <w:noProof/>
                <w:webHidden/>
              </w:rPr>
            </w:r>
            <w:r w:rsidR="00FF759B">
              <w:rPr>
                <w:noProof/>
                <w:webHidden/>
              </w:rPr>
              <w:fldChar w:fldCharType="separate"/>
            </w:r>
            <w:r w:rsidR="00FF759B">
              <w:rPr>
                <w:noProof/>
                <w:webHidden/>
              </w:rPr>
              <w:t>24</w:t>
            </w:r>
            <w:r w:rsidR="00FF759B">
              <w:rPr>
                <w:noProof/>
                <w:webHidden/>
              </w:rPr>
              <w:fldChar w:fldCharType="end"/>
            </w:r>
          </w:hyperlink>
        </w:p>
        <w:p w14:paraId="33045301" w14:textId="2043876D"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68" w:history="1">
            <w:r w:rsidR="00FF759B" w:rsidRPr="00F83F9F">
              <w:rPr>
                <w:rStyle w:val="Hyperlink"/>
                <w:noProof/>
              </w:rPr>
              <w:t>Tasmanian Suicide Register</w:t>
            </w:r>
            <w:r w:rsidR="00FF759B">
              <w:rPr>
                <w:noProof/>
                <w:webHidden/>
              </w:rPr>
              <w:tab/>
            </w:r>
            <w:r w:rsidR="00FF759B">
              <w:rPr>
                <w:noProof/>
                <w:webHidden/>
              </w:rPr>
              <w:fldChar w:fldCharType="begin"/>
            </w:r>
            <w:r w:rsidR="00FF759B">
              <w:rPr>
                <w:noProof/>
                <w:webHidden/>
              </w:rPr>
              <w:instrText xml:space="preserve"> PAGEREF _Toc1041168 \h </w:instrText>
            </w:r>
            <w:r w:rsidR="00FF759B">
              <w:rPr>
                <w:noProof/>
                <w:webHidden/>
              </w:rPr>
            </w:r>
            <w:r w:rsidR="00FF759B">
              <w:rPr>
                <w:noProof/>
                <w:webHidden/>
              </w:rPr>
              <w:fldChar w:fldCharType="separate"/>
            </w:r>
            <w:r w:rsidR="00FF759B">
              <w:rPr>
                <w:noProof/>
                <w:webHidden/>
              </w:rPr>
              <w:t>24</w:t>
            </w:r>
            <w:r w:rsidR="00FF759B">
              <w:rPr>
                <w:noProof/>
                <w:webHidden/>
              </w:rPr>
              <w:fldChar w:fldCharType="end"/>
            </w:r>
          </w:hyperlink>
        </w:p>
        <w:p w14:paraId="47F10D6D" w14:textId="4BC12FD0"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69" w:history="1">
            <w:r w:rsidR="00FF759B" w:rsidRPr="00F83F9F">
              <w:rPr>
                <w:rStyle w:val="Hyperlink"/>
                <w:noProof/>
              </w:rPr>
              <w:t>Tasmanian Multiple Fatality Response Plan (Associate Plan)</w:t>
            </w:r>
            <w:r w:rsidR="00FF759B">
              <w:rPr>
                <w:noProof/>
                <w:webHidden/>
              </w:rPr>
              <w:tab/>
            </w:r>
            <w:r w:rsidR="00FF759B">
              <w:rPr>
                <w:noProof/>
                <w:webHidden/>
              </w:rPr>
              <w:fldChar w:fldCharType="begin"/>
            </w:r>
            <w:r w:rsidR="00FF759B">
              <w:rPr>
                <w:noProof/>
                <w:webHidden/>
              </w:rPr>
              <w:instrText xml:space="preserve"> PAGEREF _Toc1041169 \h </w:instrText>
            </w:r>
            <w:r w:rsidR="00FF759B">
              <w:rPr>
                <w:noProof/>
                <w:webHidden/>
              </w:rPr>
            </w:r>
            <w:r w:rsidR="00FF759B">
              <w:rPr>
                <w:noProof/>
                <w:webHidden/>
              </w:rPr>
              <w:fldChar w:fldCharType="separate"/>
            </w:r>
            <w:r w:rsidR="00FF759B">
              <w:rPr>
                <w:noProof/>
                <w:webHidden/>
              </w:rPr>
              <w:t>25</w:t>
            </w:r>
            <w:r w:rsidR="00FF759B">
              <w:rPr>
                <w:noProof/>
                <w:webHidden/>
              </w:rPr>
              <w:fldChar w:fldCharType="end"/>
            </w:r>
          </w:hyperlink>
        </w:p>
        <w:p w14:paraId="059CF40E" w14:textId="55E7D042"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70" w:history="1">
            <w:r w:rsidR="00FF759B" w:rsidRPr="00F83F9F">
              <w:rPr>
                <w:rStyle w:val="Hyperlink"/>
                <w:noProof/>
              </w:rPr>
              <w:t>Tasmanian Overdose Deaths Register</w:t>
            </w:r>
            <w:r w:rsidR="00FF759B">
              <w:rPr>
                <w:noProof/>
                <w:webHidden/>
              </w:rPr>
              <w:tab/>
            </w:r>
            <w:r w:rsidR="00FF759B">
              <w:rPr>
                <w:noProof/>
                <w:webHidden/>
              </w:rPr>
              <w:fldChar w:fldCharType="begin"/>
            </w:r>
            <w:r w:rsidR="00FF759B">
              <w:rPr>
                <w:noProof/>
                <w:webHidden/>
              </w:rPr>
              <w:instrText xml:space="preserve"> PAGEREF _Toc1041170 \h </w:instrText>
            </w:r>
            <w:r w:rsidR="00FF759B">
              <w:rPr>
                <w:noProof/>
                <w:webHidden/>
              </w:rPr>
            </w:r>
            <w:r w:rsidR="00FF759B">
              <w:rPr>
                <w:noProof/>
                <w:webHidden/>
              </w:rPr>
              <w:fldChar w:fldCharType="separate"/>
            </w:r>
            <w:r w:rsidR="00FF759B">
              <w:rPr>
                <w:noProof/>
                <w:webHidden/>
              </w:rPr>
              <w:t>25</w:t>
            </w:r>
            <w:r w:rsidR="00FF759B">
              <w:rPr>
                <w:noProof/>
                <w:webHidden/>
              </w:rPr>
              <w:fldChar w:fldCharType="end"/>
            </w:r>
          </w:hyperlink>
        </w:p>
        <w:p w14:paraId="714B6E50" w14:textId="221BB87C"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71" w:history="1">
            <w:r w:rsidR="00FF759B" w:rsidRPr="00F83F9F">
              <w:rPr>
                <w:rStyle w:val="Hyperlink"/>
                <w:noProof/>
              </w:rPr>
              <w:t>Deaths in Custody</w:t>
            </w:r>
            <w:r w:rsidR="00FF759B">
              <w:rPr>
                <w:noProof/>
                <w:webHidden/>
              </w:rPr>
              <w:tab/>
            </w:r>
            <w:r w:rsidR="00FF759B">
              <w:rPr>
                <w:noProof/>
                <w:webHidden/>
              </w:rPr>
              <w:fldChar w:fldCharType="begin"/>
            </w:r>
            <w:r w:rsidR="00FF759B">
              <w:rPr>
                <w:noProof/>
                <w:webHidden/>
              </w:rPr>
              <w:instrText xml:space="preserve"> PAGEREF _Toc1041171 \h </w:instrText>
            </w:r>
            <w:r w:rsidR="00FF759B">
              <w:rPr>
                <w:noProof/>
                <w:webHidden/>
              </w:rPr>
            </w:r>
            <w:r w:rsidR="00FF759B">
              <w:rPr>
                <w:noProof/>
                <w:webHidden/>
              </w:rPr>
              <w:fldChar w:fldCharType="separate"/>
            </w:r>
            <w:r w:rsidR="00FF759B">
              <w:rPr>
                <w:noProof/>
                <w:webHidden/>
              </w:rPr>
              <w:t>26</w:t>
            </w:r>
            <w:r w:rsidR="00FF759B">
              <w:rPr>
                <w:noProof/>
                <w:webHidden/>
              </w:rPr>
              <w:fldChar w:fldCharType="end"/>
            </w:r>
          </w:hyperlink>
        </w:p>
        <w:p w14:paraId="75D3D9DC" w14:textId="09E16D81"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72" w:history="1">
            <w:r w:rsidR="00FF759B" w:rsidRPr="00F83F9F">
              <w:rPr>
                <w:rStyle w:val="Hyperlink"/>
                <w:noProof/>
              </w:rPr>
              <w:t>Deaths in Care</w:t>
            </w:r>
            <w:r w:rsidR="00FF759B">
              <w:rPr>
                <w:noProof/>
                <w:webHidden/>
              </w:rPr>
              <w:tab/>
            </w:r>
            <w:r w:rsidR="00FF759B">
              <w:rPr>
                <w:noProof/>
                <w:webHidden/>
              </w:rPr>
              <w:fldChar w:fldCharType="begin"/>
            </w:r>
            <w:r w:rsidR="00FF759B">
              <w:rPr>
                <w:noProof/>
                <w:webHidden/>
              </w:rPr>
              <w:instrText xml:space="preserve"> PAGEREF _Toc1041172 \h </w:instrText>
            </w:r>
            <w:r w:rsidR="00FF759B">
              <w:rPr>
                <w:noProof/>
                <w:webHidden/>
              </w:rPr>
            </w:r>
            <w:r w:rsidR="00FF759B">
              <w:rPr>
                <w:noProof/>
                <w:webHidden/>
              </w:rPr>
              <w:fldChar w:fldCharType="separate"/>
            </w:r>
            <w:r w:rsidR="00FF759B">
              <w:rPr>
                <w:noProof/>
                <w:webHidden/>
              </w:rPr>
              <w:t>26</w:t>
            </w:r>
            <w:r w:rsidR="00FF759B">
              <w:rPr>
                <w:noProof/>
                <w:webHidden/>
              </w:rPr>
              <w:fldChar w:fldCharType="end"/>
            </w:r>
          </w:hyperlink>
        </w:p>
        <w:p w14:paraId="5B59D537" w14:textId="13926152"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73" w:history="1">
            <w:r w:rsidR="00FF759B" w:rsidRPr="00F83F9F">
              <w:rPr>
                <w:rStyle w:val="Hyperlink"/>
                <w:noProof/>
              </w:rPr>
              <w:t>Other inquests and findings</w:t>
            </w:r>
            <w:r w:rsidR="00FF759B">
              <w:rPr>
                <w:noProof/>
                <w:webHidden/>
              </w:rPr>
              <w:tab/>
            </w:r>
            <w:r w:rsidR="00FF759B">
              <w:rPr>
                <w:noProof/>
                <w:webHidden/>
              </w:rPr>
              <w:fldChar w:fldCharType="begin"/>
            </w:r>
            <w:r w:rsidR="00FF759B">
              <w:rPr>
                <w:noProof/>
                <w:webHidden/>
              </w:rPr>
              <w:instrText xml:space="preserve"> PAGEREF _Toc1041173 \h </w:instrText>
            </w:r>
            <w:r w:rsidR="00FF759B">
              <w:rPr>
                <w:noProof/>
                <w:webHidden/>
              </w:rPr>
            </w:r>
            <w:r w:rsidR="00FF759B">
              <w:rPr>
                <w:noProof/>
                <w:webHidden/>
              </w:rPr>
              <w:fldChar w:fldCharType="separate"/>
            </w:r>
            <w:r w:rsidR="00FF759B">
              <w:rPr>
                <w:noProof/>
                <w:webHidden/>
              </w:rPr>
              <w:t>26</w:t>
            </w:r>
            <w:r w:rsidR="00FF759B">
              <w:rPr>
                <w:noProof/>
                <w:webHidden/>
              </w:rPr>
              <w:fldChar w:fldCharType="end"/>
            </w:r>
          </w:hyperlink>
        </w:p>
        <w:p w14:paraId="20558868" w14:textId="68BC08E8"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74" w:history="1">
            <w:r w:rsidR="00FF759B" w:rsidRPr="00F83F9F">
              <w:rPr>
                <w:rStyle w:val="Hyperlink"/>
                <w:noProof/>
              </w:rPr>
              <w:t>Responses to Coronial Recommendations</w:t>
            </w:r>
            <w:r w:rsidR="00FF759B">
              <w:rPr>
                <w:noProof/>
                <w:webHidden/>
              </w:rPr>
              <w:tab/>
            </w:r>
            <w:r w:rsidR="00FF759B">
              <w:rPr>
                <w:noProof/>
                <w:webHidden/>
              </w:rPr>
              <w:fldChar w:fldCharType="begin"/>
            </w:r>
            <w:r w:rsidR="00FF759B">
              <w:rPr>
                <w:noProof/>
                <w:webHidden/>
              </w:rPr>
              <w:instrText xml:space="preserve"> PAGEREF _Toc1041174 \h </w:instrText>
            </w:r>
            <w:r w:rsidR="00FF759B">
              <w:rPr>
                <w:noProof/>
                <w:webHidden/>
              </w:rPr>
            </w:r>
            <w:r w:rsidR="00FF759B">
              <w:rPr>
                <w:noProof/>
                <w:webHidden/>
              </w:rPr>
              <w:fldChar w:fldCharType="separate"/>
            </w:r>
            <w:r w:rsidR="00FF759B">
              <w:rPr>
                <w:noProof/>
                <w:webHidden/>
              </w:rPr>
              <w:t>26</w:t>
            </w:r>
            <w:r w:rsidR="00FF759B">
              <w:rPr>
                <w:noProof/>
                <w:webHidden/>
              </w:rPr>
              <w:fldChar w:fldCharType="end"/>
            </w:r>
          </w:hyperlink>
        </w:p>
        <w:p w14:paraId="0C5EC711" w14:textId="666F602C"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75" w:history="1">
            <w:r w:rsidR="00FF759B" w:rsidRPr="00F83F9F">
              <w:rPr>
                <w:rStyle w:val="Hyperlink"/>
                <w:noProof/>
              </w:rPr>
              <w:t>Coronial Education</w:t>
            </w:r>
            <w:r w:rsidR="00FF759B">
              <w:rPr>
                <w:noProof/>
                <w:webHidden/>
              </w:rPr>
              <w:tab/>
            </w:r>
            <w:r w:rsidR="00FF759B">
              <w:rPr>
                <w:noProof/>
                <w:webHidden/>
              </w:rPr>
              <w:fldChar w:fldCharType="begin"/>
            </w:r>
            <w:r w:rsidR="00FF759B">
              <w:rPr>
                <w:noProof/>
                <w:webHidden/>
              </w:rPr>
              <w:instrText xml:space="preserve"> PAGEREF _Toc1041175 \h </w:instrText>
            </w:r>
            <w:r w:rsidR="00FF759B">
              <w:rPr>
                <w:noProof/>
                <w:webHidden/>
              </w:rPr>
            </w:r>
            <w:r w:rsidR="00FF759B">
              <w:rPr>
                <w:noProof/>
                <w:webHidden/>
              </w:rPr>
              <w:fldChar w:fldCharType="separate"/>
            </w:r>
            <w:r w:rsidR="00FF759B">
              <w:rPr>
                <w:noProof/>
                <w:webHidden/>
              </w:rPr>
              <w:t>27</w:t>
            </w:r>
            <w:r w:rsidR="00FF759B">
              <w:rPr>
                <w:noProof/>
                <w:webHidden/>
              </w:rPr>
              <w:fldChar w:fldCharType="end"/>
            </w:r>
          </w:hyperlink>
        </w:p>
        <w:p w14:paraId="2B077D04" w14:textId="5C20C55E"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76" w:history="1">
            <w:r w:rsidR="00FF759B" w:rsidRPr="00F83F9F">
              <w:rPr>
                <w:rStyle w:val="Hyperlink"/>
                <w:noProof/>
              </w:rPr>
              <w:t>Court Statistics and Performance Indicators</w:t>
            </w:r>
            <w:r w:rsidR="00FF759B">
              <w:rPr>
                <w:noProof/>
                <w:webHidden/>
              </w:rPr>
              <w:tab/>
            </w:r>
            <w:r w:rsidR="00FF759B">
              <w:rPr>
                <w:noProof/>
                <w:webHidden/>
              </w:rPr>
              <w:fldChar w:fldCharType="begin"/>
            </w:r>
            <w:r w:rsidR="00FF759B">
              <w:rPr>
                <w:noProof/>
                <w:webHidden/>
              </w:rPr>
              <w:instrText xml:space="preserve"> PAGEREF _Toc1041176 \h </w:instrText>
            </w:r>
            <w:r w:rsidR="00FF759B">
              <w:rPr>
                <w:noProof/>
                <w:webHidden/>
              </w:rPr>
            </w:r>
            <w:r w:rsidR="00FF759B">
              <w:rPr>
                <w:noProof/>
                <w:webHidden/>
              </w:rPr>
              <w:fldChar w:fldCharType="separate"/>
            </w:r>
            <w:r w:rsidR="00FF759B">
              <w:rPr>
                <w:noProof/>
                <w:webHidden/>
              </w:rPr>
              <w:t>28</w:t>
            </w:r>
            <w:r w:rsidR="00FF759B">
              <w:rPr>
                <w:noProof/>
                <w:webHidden/>
              </w:rPr>
              <w:fldChar w:fldCharType="end"/>
            </w:r>
          </w:hyperlink>
        </w:p>
        <w:p w14:paraId="5953D1E0" w14:textId="1864CFE9"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77" w:history="1">
            <w:r w:rsidR="00FF759B" w:rsidRPr="00F83F9F">
              <w:rPr>
                <w:rStyle w:val="Hyperlink"/>
                <w:rFonts w:cstheme="majorBidi"/>
                <w:noProof/>
                <w:lang w:eastAsia="en-US"/>
              </w:rPr>
              <w:t>1. Caseload</w:t>
            </w:r>
            <w:r w:rsidR="00FF759B">
              <w:rPr>
                <w:noProof/>
                <w:webHidden/>
              </w:rPr>
              <w:tab/>
            </w:r>
            <w:r w:rsidR="00FF759B">
              <w:rPr>
                <w:noProof/>
                <w:webHidden/>
              </w:rPr>
              <w:fldChar w:fldCharType="begin"/>
            </w:r>
            <w:r w:rsidR="00FF759B">
              <w:rPr>
                <w:noProof/>
                <w:webHidden/>
              </w:rPr>
              <w:instrText xml:space="preserve"> PAGEREF _Toc1041177 \h </w:instrText>
            </w:r>
            <w:r w:rsidR="00FF759B">
              <w:rPr>
                <w:noProof/>
                <w:webHidden/>
              </w:rPr>
            </w:r>
            <w:r w:rsidR="00FF759B">
              <w:rPr>
                <w:noProof/>
                <w:webHidden/>
              </w:rPr>
              <w:fldChar w:fldCharType="separate"/>
            </w:r>
            <w:r w:rsidR="00FF759B">
              <w:rPr>
                <w:noProof/>
                <w:webHidden/>
              </w:rPr>
              <w:t>30</w:t>
            </w:r>
            <w:r w:rsidR="00FF759B">
              <w:rPr>
                <w:noProof/>
                <w:webHidden/>
              </w:rPr>
              <w:fldChar w:fldCharType="end"/>
            </w:r>
          </w:hyperlink>
        </w:p>
        <w:p w14:paraId="7FA76CE4" w14:textId="020D1D74"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78" w:history="1">
            <w:r w:rsidR="00FF759B" w:rsidRPr="00F83F9F">
              <w:rPr>
                <w:rStyle w:val="Hyperlink"/>
                <w:rFonts w:eastAsiaTheme="majorEastAsia" w:cstheme="majorBidi"/>
                <w:noProof/>
                <w:lang w:eastAsia="en-US"/>
              </w:rPr>
              <w:t>Table 1: 2017-18 Summary Figures, by Court</w:t>
            </w:r>
            <w:r w:rsidR="00FF759B">
              <w:rPr>
                <w:noProof/>
                <w:webHidden/>
              </w:rPr>
              <w:tab/>
            </w:r>
            <w:r w:rsidR="00FF759B">
              <w:rPr>
                <w:noProof/>
                <w:webHidden/>
              </w:rPr>
              <w:fldChar w:fldCharType="begin"/>
            </w:r>
            <w:r w:rsidR="00FF759B">
              <w:rPr>
                <w:noProof/>
                <w:webHidden/>
              </w:rPr>
              <w:instrText xml:space="preserve"> PAGEREF _Toc1041178 \h </w:instrText>
            </w:r>
            <w:r w:rsidR="00FF759B">
              <w:rPr>
                <w:noProof/>
                <w:webHidden/>
              </w:rPr>
            </w:r>
            <w:r w:rsidR="00FF759B">
              <w:rPr>
                <w:noProof/>
                <w:webHidden/>
              </w:rPr>
              <w:fldChar w:fldCharType="separate"/>
            </w:r>
            <w:r w:rsidR="00FF759B">
              <w:rPr>
                <w:noProof/>
                <w:webHidden/>
              </w:rPr>
              <w:t>30</w:t>
            </w:r>
            <w:r w:rsidR="00FF759B">
              <w:rPr>
                <w:noProof/>
                <w:webHidden/>
              </w:rPr>
              <w:fldChar w:fldCharType="end"/>
            </w:r>
          </w:hyperlink>
        </w:p>
        <w:p w14:paraId="550963F5" w14:textId="02F354DB"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79" w:history="1">
            <w:r w:rsidR="00FF759B" w:rsidRPr="00F83F9F">
              <w:rPr>
                <w:rStyle w:val="Hyperlink"/>
                <w:rFonts w:eastAsiaTheme="majorEastAsia" w:cstheme="majorBidi"/>
                <w:noProof/>
                <w:lang w:eastAsia="en-US"/>
              </w:rPr>
              <w:t>Table 2: 2017-18 Pending Caseload (at 30 June) and Backlog Indicator, by Selected Courts</w:t>
            </w:r>
            <w:r w:rsidR="00FF759B" w:rsidRPr="00F83F9F">
              <w:rPr>
                <w:rStyle w:val="Hyperlink"/>
                <w:rFonts w:eastAsiaTheme="majorEastAsia" w:cstheme="majorBidi"/>
                <w:noProof/>
                <w:vertAlign w:val="superscript"/>
                <w:lang w:eastAsia="en-US"/>
              </w:rPr>
              <w:t>1</w:t>
            </w:r>
            <w:r w:rsidR="00FF759B">
              <w:rPr>
                <w:noProof/>
                <w:webHidden/>
              </w:rPr>
              <w:tab/>
            </w:r>
            <w:r w:rsidR="00FF759B">
              <w:rPr>
                <w:noProof/>
                <w:webHidden/>
              </w:rPr>
              <w:fldChar w:fldCharType="begin"/>
            </w:r>
            <w:r w:rsidR="00FF759B">
              <w:rPr>
                <w:noProof/>
                <w:webHidden/>
              </w:rPr>
              <w:instrText xml:space="preserve"> PAGEREF _Toc1041179 \h </w:instrText>
            </w:r>
            <w:r w:rsidR="00FF759B">
              <w:rPr>
                <w:noProof/>
                <w:webHidden/>
              </w:rPr>
            </w:r>
            <w:r w:rsidR="00FF759B">
              <w:rPr>
                <w:noProof/>
                <w:webHidden/>
              </w:rPr>
              <w:fldChar w:fldCharType="separate"/>
            </w:r>
            <w:r w:rsidR="00FF759B">
              <w:rPr>
                <w:noProof/>
                <w:webHidden/>
              </w:rPr>
              <w:t>31</w:t>
            </w:r>
            <w:r w:rsidR="00FF759B">
              <w:rPr>
                <w:noProof/>
                <w:webHidden/>
              </w:rPr>
              <w:fldChar w:fldCharType="end"/>
            </w:r>
          </w:hyperlink>
        </w:p>
        <w:p w14:paraId="644C9507" w14:textId="539A2E8E"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0" w:history="1">
            <w:r w:rsidR="00FF759B" w:rsidRPr="00F83F9F">
              <w:rPr>
                <w:rStyle w:val="Hyperlink"/>
                <w:rFonts w:eastAsiaTheme="majorEastAsia" w:cstheme="majorBidi"/>
                <w:noProof/>
                <w:lang w:eastAsia="en-US"/>
              </w:rPr>
              <w:t>Table 3: Activity of the Magistrates Court (inc. Youth Justice) in 2017-18, by Listing Type</w:t>
            </w:r>
            <w:r w:rsidR="00FF759B">
              <w:rPr>
                <w:noProof/>
                <w:webHidden/>
              </w:rPr>
              <w:tab/>
            </w:r>
            <w:r w:rsidR="00FF759B">
              <w:rPr>
                <w:noProof/>
                <w:webHidden/>
              </w:rPr>
              <w:fldChar w:fldCharType="begin"/>
            </w:r>
            <w:r w:rsidR="00FF759B">
              <w:rPr>
                <w:noProof/>
                <w:webHidden/>
              </w:rPr>
              <w:instrText xml:space="preserve"> PAGEREF _Toc1041180 \h </w:instrText>
            </w:r>
            <w:r w:rsidR="00FF759B">
              <w:rPr>
                <w:noProof/>
                <w:webHidden/>
              </w:rPr>
            </w:r>
            <w:r w:rsidR="00FF759B">
              <w:rPr>
                <w:noProof/>
                <w:webHidden/>
              </w:rPr>
              <w:fldChar w:fldCharType="separate"/>
            </w:r>
            <w:r w:rsidR="00FF759B">
              <w:rPr>
                <w:noProof/>
                <w:webHidden/>
              </w:rPr>
              <w:t>31</w:t>
            </w:r>
            <w:r w:rsidR="00FF759B">
              <w:rPr>
                <w:noProof/>
                <w:webHidden/>
              </w:rPr>
              <w:fldChar w:fldCharType="end"/>
            </w:r>
          </w:hyperlink>
        </w:p>
        <w:p w14:paraId="68FE2461" w14:textId="2CFFB0B2"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1" w:history="1">
            <w:r w:rsidR="00FF759B" w:rsidRPr="00F83F9F">
              <w:rPr>
                <w:rStyle w:val="Hyperlink"/>
                <w:rFonts w:eastAsiaTheme="majorEastAsia" w:cstheme="majorBidi"/>
                <w:noProof/>
                <w:lang w:eastAsia="en-US"/>
              </w:rPr>
              <w:t>Table 4: Magistrates Court Fines and Fees (inc. Youth Justice Court)</w:t>
            </w:r>
            <w:r w:rsidR="00FF759B">
              <w:rPr>
                <w:noProof/>
                <w:webHidden/>
              </w:rPr>
              <w:tab/>
            </w:r>
            <w:r w:rsidR="00FF759B">
              <w:rPr>
                <w:noProof/>
                <w:webHidden/>
              </w:rPr>
              <w:fldChar w:fldCharType="begin"/>
            </w:r>
            <w:r w:rsidR="00FF759B">
              <w:rPr>
                <w:noProof/>
                <w:webHidden/>
              </w:rPr>
              <w:instrText xml:space="preserve"> PAGEREF _Toc1041181 \h </w:instrText>
            </w:r>
            <w:r w:rsidR="00FF759B">
              <w:rPr>
                <w:noProof/>
                <w:webHidden/>
              </w:rPr>
            </w:r>
            <w:r w:rsidR="00FF759B">
              <w:rPr>
                <w:noProof/>
                <w:webHidden/>
              </w:rPr>
              <w:fldChar w:fldCharType="separate"/>
            </w:r>
            <w:r w:rsidR="00FF759B">
              <w:rPr>
                <w:noProof/>
                <w:webHidden/>
              </w:rPr>
              <w:t>31</w:t>
            </w:r>
            <w:r w:rsidR="00FF759B">
              <w:rPr>
                <w:noProof/>
                <w:webHidden/>
              </w:rPr>
              <w:fldChar w:fldCharType="end"/>
            </w:r>
          </w:hyperlink>
        </w:p>
        <w:p w14:paraId="78C67A39" w14:textId="596681DD"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82" w:history="1">
            <w:r w:rsidR="00FF759B" w:rsidRPr="00F83F9F">
              <w:rPr>
                <w:rStyle w:val="Hyperlink"/>
                <w:rFonts w:cstheme="majorBidi"/>
                <w:noProof/>
                <w:lang w:eastAsia="en-US"/>
              </w:rPr>
              <w:t>2. Court Statistics</w:t>
            </w:r>
            <w:r w:rsidR="00FF759B">
              <w:rPr>
                <w:noProof/>
                <w:webHidden/>
              </w:rPr>
              <w:tab/>
            </w:r>
            <w:r w:rsidR="00FF759B">
              <w:rPr>
                <w:noProof/>
                <w:webHidden/>
              </w:rPr>
              <w:fldChar w:fldCharType="begin"/>
            </w:r>
            <w:r w:rsidR="00FF759B">
              <w:rPr>
                <w:noProof/>
                <w:webHidden/>
              </w:rPr>
              <w:instrText xml:space="preserve"> PAGEREF _Toc1041182 \h </w:instrText>
            </w:r>
            <w:r w:rsidR="00FF759B">
              <w:rPr>
                <w:noProof/>
                <w:webHidden/>
              </w:rPr>
            </w:r>
            <w:r w:rsidR="00FF759B">
              <w:rPr>
                <w:noProof/>
                <w:webHidden/>
              </w:rPr>
              <w:fldChar w:fldCharType="separate"/>
            </w:r>
            <w:r w:rsidR="00FF759B">
              <w:rPr>
                <w:noProof/>
                <w:webHidden/>
              </w:rPr>
              <w:t>32</w:t>
            </w:r>
            <w:r w:rsidR="00FF759B">
              <w:rPr>
                <w:noProof/>
                <w:webHidden/>
              </w:rPr>
              <w:fldChar w:fldCharType="end"/>
            </w:r>
          </w:hyperlink>
        </w:p>
        <w:p w14:paraId="714BC681" w14:textId="6C05FB02"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3" w:history="1">
            <w:r w:rsidR="00FF759B" w:rsidRPr="00F83F9F">
              <w:rPr>
                <w:rStyle w:val="Hyperlink"/>
                <w:rFonts w:eastAsiaTheme="majorEastAsia" w:cstheme="majorBidi"/>
                <w:noProof/>
                <w:lang w:eastAsia="en-US"/>
              </w:rPr>
              <w:t>Table 5: Summary Statistics by Court Level, 2013-14 to 2017-18.</w:t>
            </w:r>
            <w:r w:rsidR="00FF759B">
              <w:rPr>
                <w:noProof/>
                <w:webHidden/>
              </w:rPr>
              <w:tab/>
            </w:r>
            <w:r w:rsidR="00FF759B">
              <w:rPr>
                <w:noProof/>
                <w:webHidden/>
              </w:rPr>
              <w:fldChar w:fldCharType="begin"/>
            </w:r>
            <w:r w:rsidR="00FF759B">
              <w:rPr>
                <w:noProof/>
                <w:webHidden/>
              </w:rPr>
              <w:instrText xml:space="preserve"> PAGEREF _Toc1041183 \h </w:instrText>
            </w:r>
            <w:r w:rsidR="00FF759B">
              <w:rPr>
                <w:noProof/>
                <w:webHidden/>
              </w:rPr>
            </w:r>
            <w:r w:rsidR="00FF759B">
              <w:rPr>
                <w:noProof/>
                <w:webHidden/>
              </w:rPr>
              <w:fldChar w:fldCharType="separate"/>
            </w:r>
            <w:r w:rsidR="00FF759B">
              <w:rPr>
                <w:noProof/>
                <w:webHidden/>
              </w:rPr>
              <w:t>32</w:t>
            </w:r>
            <w:r w:rsidR="00FF759B">
              <w:rPr>
                <w:noProof/>
                <w:webHidden/>
              </w:rPr>
              <w:fldChar w:fldCharType="end"/>
            </w:r>
          </w:hyperlink>
        </w:p>
        <w:p w14:paraId="030B2EFD" w14:textId="1FD29A6C"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4" w:history="1">
            <w:r w:rsidR="00FF759B" w:rsidRPr="00F83F9F">
              <w:rPr>
                <w:rStyle w:val="Hyperlink"/>
                <w:rFonts w:eastAsiaTheme="majorEastAsia" w:cstheme="majorBidi"/>
                <w:noProof/>
                <w:lang w:eastAsia="en-US"/>
              </w:rPr>
              <w:t>Table 6: Family and Domestic Violence Summary Statistics, 2013-14 to 2017-18</w:t>
            </w:r>
            <w:r w:rsidR="00FF759B">
              <w:rPr>
                <w:noProof/>
                <w:webHidden/>
              </w:rPr>
              <w:tab/>
            </w:r>
            <w:r w:rsidR="00FF759B">
              <w:rPr>
                <w:noProof/>
                <w:webHidden/>
              </w:rPr>
              <w:fldChar w:fldCharType="begin"/>
            </w:r>
            <w:r w:rsidR="00FF759B">
              <w:rPr>
                <w:noProof/>
                <w:webHidden/>
              </w:rPr>
              <w:instrText xml:space="preserve"> PAGEREF _Toc1041184 \h </w:instrText>
            </w:r>
            <w:r w:rsidR="00FF759B">
              <w:rPr>
                <w:noProof/>
                <w:webHidden/>
              </w:rPr>
            </w:r>
            <w:r w:rsidR="00FF759B">
              <w:rPr>
                <w:noProof/>
                <w:webHidden/>
              </w:rPr>
              <w:fldChar w:fldCharType="separate"/>
            </w:r>
            <w:r w:rsidR="00FF759B">
              <w:rPr>
                <w:noProof/>
                <w:webHidden/>
              </w:rPr>
              <w:t>33</w:t>
            </w:r>
            <w:r w:rsidR="00FF759B">
              <w:rPr>
                <w:noProof/>
                <w:webHidden/>
              </w:rPr>
              <w:fldChar w:fldCharType="end"/>
            </w:r>
          </w:hyperlink>
        </w:p>
        <w:p w14:paraId="5F165795" w14:textId="3B3CD88A"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5" w:history="1">
            <w:r w:rsidR="00FF759B" w:rsidRPr="00F83F9F">
              <w:rPr>
                <w:rStyle w:val="Hyperlink"/>
                <w:rFonts w:eastAsiaTheme="majorEastAsia" w:cstheme="majorBidi"/>
                <w:noProof/>
                <w:lang w:eastAsia="en-US"/>
              </w:rPr>
              <w:t>Table 7: Child Care and Protection Summary Statistics, 2013-14 to 2017-18</w:t>
            </w:r>
            <w:r w:rsidR="00FF759B">
              <w:rPr>
                <w:noProof/>
                <w:webHidden/>
              </w:rPr>
              <w:tab/>
            </w:r>
            <w:r w:rsidR="00FF759B">
              <w:rPr>
                <w:noProof/>
                <w:webHidden/>
              </w:rPr>
              <w:fldChar w:fldCharType="begin"/>
            </w:r>
            <w:r w:rsidR="00FF759B">
              <w:rPr>
                <w:noProof/>
                <w:webHidden/>
              </w:rPr>
              <w:instrText xml:space="preserve"> PAGEREF _Toc1041185 \h </w:instrText>
            </w:r>
            <w:r w:rsidR="00FF759B">
              <w:rPr>
                <w:noProof/>
                <w:webHidden/>
              </w:rPr>
            </w:r>
            <w:r w:rsidR="00FF759B">
              <w:rPr>
                <w:noProof/>
                <w:webHidden/>
              </w:rPr>
              <w:fldChar w:fldCharType="separate"/>
            </w:r>
            <w:r w:rsidR="00FF759B">
              <w:rPr>
                <w:noProof/>
                <w:webHidden/>
              </w:rPr>
              <w:t>34</w:t>
            </w:r>
            <w:r w:rsidR="00FF759B">
              <w:rPr>
                <w:noProof/>
                <w:webHidden/>
              </w:rPr>
              <w:fldChar w:fldCharType="end"/>
            </w:r>
          </w:hyperlink>
        </w:p>
        <w:p w14:paraId="772AC765" w14:textId="0ADDAFD5"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6" w:history="1">
            <w:r w:rsidR="00FF759B" w:rsidRPr="00F83F9F">
              <w:rPr>
                <w:rStyle w:val="Hyperlink"/>
                <w:rFonts w:eastAsiaTheme="majorEastAsia" w:cstheme="majorBidi"/>
                <w:noProof/>
                <w:lang w:eastAsia="en-US"/>
              </w:rPr>
              <w:t>Table 8: Restraint Order Summary Statistics, 2013-14 to 2017-18</w:t>
            </w:r>
            <w:r w:rsidR="00FF759B">
              <w:rPr>
                <w:noProof/>
                <w:webHidden/>
              </w:rPr>
              <w:tab/>
            </w:r>
            <w:r w:rsidR="00FF759B">
              <w:rPr>
                <w:noProof/>
                <w:webHidden/>
              </w:rPr>
              <w:fldChar w:fldCharType="begin"/>
            </w:r>
            <w:r w:rsidR="00FF759B">
              <w:rPr>
                <w:noProof/>
                <w:webHidden/>
              </w:rPr>
              <w:instrText xml:space="preserve"> PAGEREF _Toc1041186 \h </w:instrText>
            </w:r>
            <w:r w:rsidR="00FF759B">
              <w:rPr>
                <w:noProof/>
                <w:webHidden/>
              </w:rPr>
            </w:r>
            <w:r w:rsidR="00FF759B">
              <w:rPr>
                <w:noProof/>
                <w:webHidden/>
              </w:rPr>
              <w:fldChar w:fldCharType="separate"/>
            </w:r>
            <w:r w:rsidR="00FF759B">
              <w:rPr>
                <w:noProof/>
                <w:webHidden/>
              </w:rPr>
              <w:t>35</w:t>
            </w:r>
            <w:r w:rsidR="00FF759B">
              <w:rPr>
                <w:noProof/>
                <w:webHidden/>
              </w:rPr>
              <w:fldChar w:fldCharType="end"/>
            </w:r>
          </w:hyperlink>
        </w:p>
        <w:p w14:paraId="3F305D7C" w14:textId="128D1CD8"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7" w:history="1">
            <w:r w:rsidR="00FF759B" w:rsidRPr="00F83F9F">
              <w:rPr>
                <w:rStyle w:val="Hyperlink"/>
                <w:rFonts w:eastAsiaTheme="majorEastAsia" w:cstheme="majorBidi"/>
                <w:noProof/>
                <w:lang w:eastAsia="en-US"/>
              </w:rPr>
              <w:t>Table 9: Criminal Matters, by Court Level and Selected Offence Types, 2013-14 to 2017-18</w:t>
            </w:r>
            <w:r w:rsidR="00FF759B">
              <w:rPr>
                <w:noProof/>
                <w:webHidden/>
              </w:rPr>
              <w:tab/>
            </w:r>
            <w:r w:rsidR="00FF759B">
              <w:rPr>
                <w:noProof/>
                <w:webHidden/>
              </w:rPr>
              <w:fldChar w:fldCharType="begin"/>
            </w:r>
            <w:r w:rsidR="00FF759B">
              <w:rPr>
                <w:noProof/>
                <w:webHidden/>
              </w:rPr>
              <w:instrText xml:space="preserve"> PAGEREF _Toc1041187 \h </w:instrText>
            </w:r>
            <w:r w:rsidR="00FF759B">
              <w:rPr>
                <w:noProof/>
                <w:webHidden/>
              </w:rPr>
            </w:r>
            <w:r w:rsidR="00FF759B">
              <w:rPr>
                <w:noProof/>
                <w:webHidden/>
              </w:rPr>
              <w:fldChar w:fldCharType="separate"/>
            </w:r>
            <w:r w:rsidR="00FF759B">
              <w:rPr>
                <w:noProof/>
                <w:webHidden/>
              </w:rPr>
              <w:t>36</w:t>
            </w:r>
            <w:r w:rsidR="00FF759B">
              <w:rPr>
                <w:noProof/>
                <w:webHidden/>
              </w:rPr>
              <w:fldChar w:fldCharType="end"/>
            </w:r>
          </w:hyperlink>
        </w:p>
        <w:p w14:paraId="3D7F3830" w14:textId="60E05F6D"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8" w:history="1">
            <w:r w:rsidR="00FF759B" w:rsidRPr="00F83F9F">
              <w:rPr>
                <w:rStyle w:val="Hyperlink"/>
                <w:rFonts w:eastAsiaTheme="majorEastAsia" w:cstheme="majorBidi"/>
                <w:noProof/>
                <w:lang w:eastAsia="en-US"/>
              </w:rPr>
              <w:t>Table 10: Breaches of Orders and/or Order Conditions, 2013-14 to 2017-18</w:t>
            </w:r>
            <w:r w:rsidR="00FF759B">
              <w:rPr>
                <w:noProof/>
                <w:webHidden/>
              </w:rPr>
              <w:tab/>
            </w:r>
            <w:r w:rsidR="00FF759B">
              <w:rPr>
                <w:noProof/>
                <w:webHidden/>
              </w:rPr>
              <w:fldChar w:fldCharType="begin"/>
            </w:r>
            <w:r w:rsidR="00FF759B">
              <w:rPr>
                <w:noProof/>
                <w:webHidden/>
              </w:rPr>
              <w:instrText xml:space="preserve"> PAGEREF _Toc1041188 \h </w:instrText>
            </w:r>
            <w:r w:rsidR="00FF759B">
              <w:rPr>
                <w:noProof/>
                <w:webHidden/>
              </w:rPr>
            </w:r>
            <w:r w:rsidR="00FF759B">
              <w:rPr>
                <w:noProof/>
                <w:webHidden/>
              </w:rPr>
              <w:fldChar w:fldCharType="separate"/>
            </w:r>
            <w:r w:rsidR="00FF759B">
              <w:rPr>
                <w:noProof/>
                <w:webHidden/>
              </w:rPr>
              <w:t>37</w:t>
            </w:r>
            <w:r w:rsidR="00FF759B">
              <w:rPr>
                <w:noProof/>
                <w:webHidden/>
              </w:rPr>
              <w:fldChar w:fldCharType="end"/>
            </w:r>
          </w:hyperlink>
        </w:p>
        <w:p w14:paraId="549B509E" w14:textId="15F9DC45"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89" w:history="1">
            <w:r w:rsidR="00FF759B" w:rsidRPr="00F83F9F">
              <w:rPr>
                <w:rStyle w:val="Hyperlink"/>
                <w:noProof/>
              </w:rPr>
              <w:t>Coronial Division</w:t>
            </w:r>
            <w:r w:rsidR="00FF759B">
              <w:rPr>
                <w:noProof/>
                <w:webHidden/>
              </w:rPr>
              <w:tab/>
            </w:r>
            <w:r w:rsidR="00FF759B">
              <w:rPr>
                <w:noProof/>
                <w:webHidden/>
              </w:rPr>
              <w:fldChar w:fldCharType="begin"/>
            </w:r>
            <w:r w:rsidR="00FF759B">
              <w:rPr>
                <w:noProof/>
                <w:webHidden/>
              </w:rPr>
              <w:instrText xml:space="preserve"> PAGEREF _Toc1041189 \h </w:instrText>
            </w:r>
            <w:r w:rsidR="00FF759B">
              <w:rPr>
                <w:noProof/>
                <w:webHidden/>
              </w:rPr>
            </w:r>
            <w:r w:rsidR="00FF759B">
              <w:rPr>
                <w:noProof/>
                <w:webHidden/>
              </w:rPr>
              <w:fldChar w:fldCharType="separate"/>
            </w:r>
            <w:r w:rsidR="00FF759B">
              <w:rPr>
                <w:noProof/>
                <w:webHidden/>
              </w:rPr>
              <w:t>38</w:t>
            </w:r>
            <w:r w:rsidR="00FF759B">
              <w:rPr>
                <w:noProof/>
                <w:webHidden/>
              </w:rPr>
              <w:fldChar w:fldCharType="end"/>
            </w:r>
          </w:hyperlink>
        </w:p>
        <w:p w14:paraId="6570ACAA" w14:textId="5B4F11C1"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90" w:history="1">
            <w:r w:rsidR="00FF759B" w:rsidRPr="00F83F9F">
              <w:rPr>
                <w:rStyle w:val="Hyperlink"/>
                <w:rFonts w:eastAsiaTheme="majorEastAsia" w:cstheme="majorBidi"/>
                <w:noProof/>
                <w:lang w:eastAsia="en-US"/>
              </w:rPr>
              <w:t>Table 11: Coronial – Summary of coronial activity 2013-4 to 2017-2018</w:t>
            </w:r>
            <w:r w:rsidR="00FF759B">
              <w:rPr>
                <w:noProof/>
                <w:webHidden/>
              </w:rPr>
              <w:tab/>
            </w:r>
            <w:r w:rsidR="00FF759B">
              <w:rPr>
                <w:noProof/>
                <w:webHidden/>
              </w:rPr>
              <w:fldChar w:fldCharType="begin"/>
            </w:r>
            <w:r w:rsidR="00FF759B">
              <w:rPr>
                <w:noProof/>
                <w:webHidden/>
              </w:rPr>
              <w:instrText xml:space="preserve"> PAGEREF _Toc1041190 \h </w:instrText>
            </w:r>
            <w:r w:rsidR="00FF759B">
              <w:rPr>
                <w:noProof/>
                <w:webHidden/>
              </w:rPr>
            </w:r>
            <w:r w:rsidR="00FF759B">
              <w:rPr>
                <w:noProof/>
                <w:webHidden/>
              </w:rPr>
              <w:fldChar w:fldCharType="separate"/>
            </w:r>
            <w:r w:rsidR="00FF759B">
              <w:rPr>
                <w:noProof/>
                <w:webHidden/>
              </w:rPr>
              <w:t>38</w:t>
            </w:r>
            <w:r w:rsidR="00FF759B">
              <w:rPr>
                <w:noProof/>
                <w:webHidden/>
              </w:rPr>
              <w:fldChar w:fldCharType="end"/>
            </w:r>
          </w:hyperlink>
        </w:p>
        <w:p w14:paraId="2E9CEBD9" w14:textId="744DCDAD"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91" w:history="1">
            <w:r w:rsidR="00FF759B" w:rsidRPr="00F83F9F">
              <w:rPr>
                <w:rStyle w:val="Hyperlink"/>
                <w:rFonts w:eastAsiaTheme="majorEastAsia" w:cstheme="majorBidi"/>
                <w:noProof/>
                <w:lang w:eastAsia="en-US"/>
              </w:rPr>
              <w:t>Table 12: Coronial – Inquests &amp; Investigations Completed 2013 – 2017</w:t>
            </w:r>
            <w:r w:rsidR="00FF759B">
              <w:rPr>
                <w:noProof/>
                <w:webHidden/>
              </w:rPr>
              <w:tab/>
            </w:r>
            <w:r w:rsidR="00FF759B">
              <w:rPr>
                <w:noProof/>
                <w:webHidden/>
              </w:rPr>
              <w:fldChar w:fldCharType="begin"/>
            </w:r>
            <w:r w:rsidR="00FF759B">
              <w:rPr>
                <w:noProof/>
                <w:webHidden/>
              </w:rPr>
              <w:instrText xml:space="preserve"> PAGEREF _Toc1041191 \h </w:instrText>
            </w:r>
            <w:r w:rsidR="00FF759B">
              <w:rPr>
                <w:noProof/>
                <w:webHidden/>
              </w:rPr>
            </w:r>
            <w:r w:rsidR="00FF759B">
              <w:rPr>
                <w:noProof/>
                <w:webHidden/>
              </w:rPr>
              <w:fldChar w:fldCharType="separate"/>
            </w:r>
            <w:r w:rsidR="00FF759B">
              <w:rPr>
                <w:noProof/>
                <w:webHidden/>
              </w:rPr>
              <w:t>38</w:t>
            </w:r>
            <w:r w:rsidR="00FF759B">
              <w:rPr>
                <w:noProof/>
                <w:webHidden/>
              </w:rPr>
              <w:fldChar w:fldCharType="end"/>
            </w:r>
          </w:hyperlink>
        </w:p>
        <w:p w14:paraId="5510A17F" w14:textId="435467A9"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92" w:history="1">
            <w:r w:rsidR="00FF759B" w:rsidRPr="00F83F9F">
              <w:rPr>
                <w:rStyle w:val="Hyperlink"/>
                <w:rFonts w:eastAsiaTheme="majorEastAsia" w:cstheme="majorBidi"/>
                <w:noProof/>
                <w:lang w:eastAsia="en-US"/>
              </w:rPr>
              <w:t>Table 13: Coronial – Motor Vehicle Fatalities –</w:t>
            </w:r>
            <w:r w:rsidR="00FF759B">
              <w:rPr>
                <w:noProof/>
                <w:webHidden/>
              </w:rPr>
              <w:tab/>
            </w:r>
            <w:r w:rsidR="00FF759B">
              <w:rPr>
                <w:noProof/>
                <w:webHidden/>
              </w:rPr>
              <w:fldChar w:fldCharType="begin"/>
            </w:r>
            <w:r w:rsidR="00FF759B">
              <w:rPr>
                <w:noProof/>
                <w:webHidden/>
              </w:rPr>
              <w:instrText xml:space="preserve"> PAGEREF _Toc1041192 \h </w:instrText>
            </w:r>
            <w:r w:rsidR="00FF759B">
              <w:rPr>
                <w:noProof/>
                <w:webHidden/>
              </w:rPr>
            </w:r>
            <w:r w:rsidR="00FF759B">
              <w:rPr>
                <w:noProof/>
                <w:webHidden/>
              </w:rPr>
              <w:fldChar w:fldCharType="separate"/>
            </w:r>
            <w:r w:rsidR="00FF759B">
              <w:rPr>
                <w:noProof/>
                <w:webHidden/>
              </w:rPr>
              <w:t>39</w:t>
            </w:r>
            <w:r w:rsidR="00FF759B">
              <w:rPr>
                <w:noProof/>
                <w:webHidden/>
              </w:rPr>
              <w:fldChar w:fldCharType="end"/>
            </w:r>
          </w:hyperlink>
        </w:p>
        <w:p w14:paraId="7A1071C8" w14:textId="4BD4D75C"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93" w:history="1">
            <w:r w:rsidR="00FF759B" w:rsidRPr="00F83F9F">
              <w:rPr>
                <w:rStyle w:val="Hyperlink"/>
                <w:rFonts w:eastAsiaTheme="majorEastAsia" w:cstheme="majorBidi"/>
                <w:noProof/>
                <w:lang w:eastAsia="en-US"/>
              </w:rPr>
              <w:t>Inquests &amp; Investigations Completed – 2013-14 to 2017-2018</w:t>
            </w:r>
            <w:r w:rsidR="00FF759B">
              <w:rPr>
                <w:noProof/>
                <w:webHidden/>
              </w:rPr>
              <w:tab/>
            </w:r>
            <w:r w:rsidR="00FF759B">
              <w:rPr>
                <w:noProof/>
                <w:webHidden/>
              </w:rPr>
              <w:fldChar w:fldCharType="begin"/>
            </w:r>
            <w:r w:rsidR="00FF759B">
              <w:rPr>
                <w:noProof/>
                <w:webHidden/>
              </w:rPr>
              <w:instrText xml:space="preserve"> PAGEREF _Toc1041193 \h </w:instrText>
            </w:r>
            <w:r w:rsidR="00FF759B">
              <w:rPr>
                <w:noProof/>
                <w:webHidden/>
              </w:rPr>
            </w:r>
            <w:r w:rsidR="00FF759B">
              <w:rPr>
                <w:noProof/>
                <w:webHidden/>
              </w:rPr>
              <w:fldChar w:fldCharType="separate"/>
            </w:r>
            <w:r w:rsidR="00FF759B">
              <w:rPr>
                <w:noProof/>
                <w:webHidden/>
              </w:rPr>
              <w:t>39</w:t>
            </w:r>
            <w:r w:rsidR="00FF759B">
              <w:rPr>
                <w:noProof/>
                <w:webHidden/>
              </w:rPr>
              <w:fldChar w:fldCharType="end"/>
            </w:r>
          </w:hyperlink>
        </w:p>
        <w:p w14:paraId="63E9EE08" w14:textId="444CBCDE"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94" w:history="1">
            <w:r w:rsidR="00FF759B" w:rsidRPr="00F83F9F">
              <w:rPr>
                <w:rStyle w:val="Hyperlink"/>
                <w:rFonts w:eastAsiaTheme="majorEastAsia" w:cstheme="majorBidi"/>
                <w:noProof/>
                <w:lang w:eastAsia="en-US"/>
              </w:rPr>
              <w:t>Table 14: Coronial – Self-Inflicted Deaths - Closed – by method – 2013-14 to 2017-2018</w:t>
            </w:r>
            <w:r w:rsidR="00FF759B">
              <w:rPr>
                <w:noProof/>
                <w:webHidden/>
              </w:rPr>
              <w:tab/>
            </w:r>
            <w:r w:rsidR="00FF759B">
              <w:rPr>
                <w:noProof/>
                <w:webHidden/>
              </w:rPr>
              <w:fldChar w:fldCharType="begin"/>
            </w:r>
            <w:r w:rsidR="00FF759B">
              <w:rPr>
                <w:noProof/>
                <w:webHidden/>
              </w:rPr>
              <w:instrText xml:space="preserve"> PAGEREF _Toc1041194 \h </w:instrText>
            </w:r>
            <w:r w:rsidR="00FF759B">
              <w:rPr>
                <w:noProof/>
                <w:webHidden/>
              </w:rPr>
            </w:r>
            <w:r w:rsidR="00FF759B">
              <w:rPr>
                <w:noProof/>
                <w:webHidden/>
              </w:rPr>
              <w:fldChar w:fldCharType="separate"/>
            </w:r>
            <w:r w:rsidR="00FF759B">
              <w:rPr>
                <w:noProof/>
                <w:webHidden/>
              </w:rPr>
              <w:t>39</w:t>
            </w:r>
            <w:r w:rsidR="00FF759B">
              <w:rPr>
                <w:noProof/>
                <w:webHidden/>
              </w:rPr>
              <w:fldChar w:fldCharType="end"/>
            </w:r>
          </w:hyperlink>
        </w:p>
        <w:p w14:paraId="205D83CC" w14:textId="615554FA"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195" w:history="1">
            <w:r w:rsidR="00FF759B" w:rsidRPr="00F83F9F">
              <w:rPr>
                <w:rStyle w:val="Hyperlink"/>
                <w:rFonts w:cstheme="majorBidi"/>
                <w:noProof/>
                <w:lang w:eastAsia="en-US"/>
              </w:rPr>
              <w:t>3. Performance Indicators</w:t>
            </w:r>
            <w:r w:rsidR="00FF759B">
              <w:rPr>
                <w:noProof/>
                <w:webHidden/>
              </w:rPr>
              <w:tab/>
            </w:r>
            <w:r w:rsidR="00FF759B">
              <w:rPr>
                <w:noProof/>
                <w:webHidden/>
              </w:rPr>
              <w:fldChar w:fldCharType="begin"/>
            </w:r>
            <w:r w:rsidR="00FF759B">
              <w:rPr>
                <w:noProof/>
                <w:webHidden/>
              </w:rPr>
              <w:instrText xml:space="preserve"> PAGEREF _Toc1041195 \h </w:instrText>
            </w:r>
            <w:r w:rsidR="00FF759B">
              <w:rPr>
                <w:noProof/>
                <w:webHidden/>
              </w:rPr>
            </w:r>
            <w:r w:rsidR="00FF759B">
              <w:rPr>
                <w:noProof/>
                <w:webHidden/>
              </w:rPr>
              <w:fldChar w:fldCharType="separate"/>
            </w:r>
            <w:r w:rsidR="00FF759B">
              <w:rPr>
                <w:noProof/>
                <w:webHidden/>
              </w:rPr>
              <w:t>40</w:t>
            </w:r>
            <w:r w:rsidR="00FF759B">
              <w:rPr>
                <w:noProof/>
                <w:webHidden/>
              </w:rPr>
              <w:fldChar w:fldCharType="end"/>
            </w:r>
          </w:hyperlink>
        </w:p>
        <w:p w14:paraId="3E95E940" w14:textId="6D85A79B"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96" w:history="1">
            <w:r w:rsidR="00FF759B" w:rsidRPr="00F83F9F">
              <w:rPr>
                <w:rStyle w:val="Hyperlink"/>
                <w:noProof/>
              </w:rPr>
              <w:t>Backlog Indicator</w:t>
            </w:r>
            <w:r w:rsidR="00FF759B">
              <w:rPr>
                <w:noProof/>
                <w:webHidden/>
              </w:rPr>
              <w:tab/>
            </w:r>
            <w:r w:rsidR="00FF759B">
              <w:rPr>
                <w:noProof/>
                <w:webHidden/>
              </w:rPr>
              <w:fldChar w:fldCharType="begin"/>
            </w:r>
            <w:r w:rsidR="00FF759B">
              <w:rPr>
                <w:noProof/>
                <w:webHidden/>
              </w:rPr>
              <w:instrText xml:space="preserve"> PAGEREF _Toc1041196 \h </w:instrText>
            </w:r>
            <w:r w:rsidR="00FF759B">
              <w:rPr>
                <w:noProof/>
                <w:webHidden/>
              </w:rPr>
            </w:r>
            <w:r w:rsidR="00FF759B">
              <w:rPr>
                <w:noProof/>
                <w:webHidden/>
              </w:rPr>
              <w:fldChar w:fldCharType="separate"/>
            </w:r>
            <w:r w:rsidR="00FF759B">
              <w:rPr>
                <w:noProof/>
                <w:webHidden/>
              </w:rPr>
              <w:t>40</w:t>
            </w:r>
            <w:r w:rsidR="00FF759B">
              <w:rPr>
                <w:noProof/>
                <w:webHidden/>
              </w:rPr>
              <w:fldChar w:fldCharType="end"/>
            </w:r>
          </w:hyperlink>
        </w:p>
        <w:p w14:paraId="18220250" w14:textId="2926CF36"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97" w:history="1">
            <w:r w:rsidR="00FF759B" w:rsidRPr="00F83F9F">
              <w:rPr>
                <w:rStyle w:val="Hyperlink"/>
                <w:rFonts w:eastAsiaTheme="majorEastAsia" w:cstheme="majorBidi"/>
                <w:noProof/>
                <w:lang w:eastAsia="en-US"/>
              </w:rPr>
              <w:t>Table 15: Criminal Pending Caseload (at 30 June) and Backlog Indicator, 2013-14 to 2017-18</w:t>
            </w:r>
            <w:r w:rsidR="00FF759B" w:rsidRPr="00F83F9F">
              <w:rPr>
                <w:rStyle w:val="Hyperlink"/>
                <w:rFonts w:eastAsiaTheme="majorEastAsia" w:cstheme="majorBidi"/>
                <w:b/>
                <w:noProof/>
                <w:vertAlign w:val="superscript"/>
                <w:lang w:eastAsia="en-US"/>
              </w:rPr>
              <w:t>1</w:t>
            </w:r>
            <w:r w:rsidR="00FF759B">
              <w:rPr>
                <w:noProof/>
                <w:webHidden/>
              </w:rPr>
              <w:tab/>
            </w:r>
            <w:r w:rsidR="00FF759B">
              <w:rPr>
                <w:noProof/>
                <w:webHidden/>
              </w:rPr>
              <w:fldChar w:fldCharType="begin"/>
            </w:r>
            <w:r w:rsidR="00FF759B">
              <w:rPr>
                <w:noProof/>
                <w:webHidden/>
              </w:rPr>
              <w:instrText xml:space="preserve"> PAGEREF _Toc1041197 \h </w:instrText>
            </w:r>
            <w:r w:rsidR="00FF759B">
              <w:rPr>
                <w:noProof/>
                <w:webHidden/>
              </w:rPr>
            </w:r>
            <w:r w:rsidR="00FF759B">
              <w:rPr>
                <w:noProof/>
                <w:webHidden/>
              </w:rPr>
              <w:fldChar w:fldCharType="separate"/>
            </w:r>
            <w:r w:rsidR="00FF759B">
              <w:rPr>
                <w:noProof/>
                <w:webHidden/>
              </w:rPr>
              <w:t>40</w:t>
            </w:r>
            <w:r w:rsidR="00FF759B">
              <w:rPr>
                <w:noProof/>
                <w:webHidden/>
              </w:rPr>
              <w:fldChar w:fldCharType="end"/>
            </w:r>
          </w:hyperlink>
        </w:p>
        <w:p w14:paraId="6BBF642B" w14:textId="7135DABA"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198" w:history="1">
            <w:r w:rsidR="00FF759B" w:rsidRPr="00F83F9F">
              <w:rPr>
                <w:rStyle w:val="Hyperlink"/>
                <w:rFonts w:eastAsiaTheme="majorEastAsia" w:cstheme="majorBidi"/>
                <w:noProof/>
                <w:lang w:eastAsia="en-US"/>
              </w:rPr>
              <w:t>Table 16: Civil Pending Caseload (at 30 June) and Backlog Indicator, 2013-14 to 2017-18</w:t>
            </w:r>
            <w:r w:rsidR="00FF759B" w:rsidRPr="00F83F9F">
              <w:rPr>
                <w:rStyle w:val="Hyperlink"/>
                <w:rFonts w:eastAsiaTheme="majorEastAsia" w:cstheme="majorBidi"/>
                <w:b/>
                <w:noProof/>
                <w:vertAlign w:val="superscript"/>
                <w:lang w:eastAsia="en-US"/>
              </w:rPr>
              <w:t>1</w:t>
            </w:r>
            <w:r w:rsidR="00FF759B">
              <w:rPr>
                <w:noProof/>
                <w:webHidden/>
              </w:rPr>
              <w:tab/>
            </w:r>
            <w:r w:rsidR="00FF759B">
              <w:rPr>
                <w:noProof/>
                <w:webHidden/>
              </w:rPr>
              <w:fldChar w:fldCharType="begin"/>
            </w:r>
            <w:r w:rsidR="00FF759B">
              <w:rPr>
                <w:noProof/>
                <w:webHidden/>
              </w:rPr>
              <w:instrText xml:space="preserve"> PAGEREF _Toc1041198 \h </w:instrText>
            </w:r>
            <w:r w:rsidR="00FF759B">
              <w:rPr>
                <w:noProof/>
                <w:webHidden/>
              </w:rPr>
            </w:r>
            <w:r w:rsidR="00FF759B">
              <w:rPr>
                <w:noProof/>
                <w:webHidden/>
              </w:rPr>
              <w:fldChar w:fldCharType="separate"/>
            </w:r>
            <w:r w:rsidR="00FF759B">
              <w:rPr>
                <w:noProof/>
                <w:webHidden/>
              </w:rPr>
              <w:t>41</w:t>
            </w:r>
            <w:r w:rsidR="00FF759B">
              <w:rPr>
                <w:noProof/>
                <w:webHidden/>
              </w:rPr>
              <w:fldChar w:fldCharType="end"/>
            </w:r>
          </w:hyperlink>
        </w:p>
        <w:p w14:paraId="2872ACCD" w14:textId="577E38FB"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199" w:history="1">
            <w:r w:rsidR="00FF759B" w:rsidRPr="00F83F9F">
              <w:rPr>
                <w:rStyle w:val="Hyperlink"/>
                <w:noProof/>
              </w:rPr>
              <w:t>Clearance Rate</w:t>
            </w:r>
            <w:r w:rsidR="00FF759B">
              <w:rPr>
                <w:noProof/>
                <w:webHidden/>
              </w:rPr>
              <w:tab/>
            </w:r>
            <w:r w:rsidR="00FF759B">
              <w:rPr>
                <w:noProof/>
                <w:webHidden/>
              </w:rPr>
              <w:fldChar w:fldCharType="begin"/>
            </w:r>
            <w:r w:rsidR="00FF759B">
              <w:rPr>
                <w:noProof/>
                <w:webHidden/>
              </w:rPr>
              <w:instrText xml:space="preserve"> PAGEREF _Toc1041199 \h </w:instrText>
            </w:r>
            <w:r w:rsidR="00FF759B">
              <w:rPr>
                <w:noProof/>
                <w:webHidden/>
              </w:rPr>
            </w:r>
            <w:r w:rsidR="00FF759B">
              <w:rPr>
                <w:noProof/>
                <w:webHidden/>
              </w:rPr>
              <w:fldChar w:fldCharType="separate"/>
            </w:r>
            <w:r w:rsidR="00FF759B">
              <w:rPr>
                <w:noProof/>
                <w:webHidden/>
              </w:rPr>
              <w:t>41</w:t>
            </w:r>
            <w:r w:rsidR="00FF759B">
              <w:rPr>
                <w:noProof/>
                <w:webHidden/>
              </w:rPr>
              <w:fldChar w:fldCharType="end"/>
            </w:r>
          </w:hyperlink>
        </w:p>
        <w:p w14:paraId="525BEC98" w14:textId="3D82F5ED"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200" w:history="1">
            <w:r w:rsidR="00FF759B" w:rsidRPr="00F83F9F">
              <w:rPr>
                <w:rStyle w:val="Hyperlink"/>
                <w:rFonts w:eastAsiaTheme="majorEastAsia" w:cstheme="majorBidi"/>
                <w:noProof/>
                <w:lang w:eastAsia="en-US"/>
              </w:rPr>
              <w:t>Table 17: Criminal Disposals by Court Level, 2013-14 to 2017-18</w:t>
            </w:r>
            <w:r w:rsidR="00FF759B" w:rsidRPr="00F83F9F">
              <w:rPr>
                <w:rStyle w:val="Hyperlink"/>
                <w:rFonts w:eastAsiaTheme="majorEastAsia" w:cstheme="majorBidi"/>
                <w:b/>
                <w:noProof/>
                <w:vertAlign w:val="superscript"/>
                <w:lang w:eastAsia="en-US"/>
              </w:rPr>
              <w:t>1</w:t>
            </w:r>
            <w:r w:rsidR="00FF759B">
              <w:rPr>
                <w:noProof/>
                <w:webHidden/>
              </w:rPr>
              <w:tab/>
            </w:r>
            <w:r w:rsidR="00FF759B">
              <w:rPr>
                <w:noProof/>
                <w:webHidden/>
              </w:rPr>
              <w:fldChar w:fldCharType="begin"/>
            </w:r>
            <w:r w:rsidR="00FF759B">
              <w:rPr>
                <w:noProof/>
                <w:webHidden/>
              </w:rPr>
              <w:instrText xml:space="preserve"> PAGEREF _Toc1041200 \h </w:instrText>
            </w:r>
            <w:r w:rsidR="00FF759B">
              <w:rPr>
                <w:noProof/>
                <w:webHidden/>
              </w:rPr>
            </w:r>
            <w:r w:rsidR="00FF759B">
              <w:rPr>
                <w:noProof/>
                <w:webHidden/>
              </w:rPr>
              <w:fldChar w:fldCharType="separate"/>
            </w:r>
            <w:r w:rsidR="00FF759B">
              <w:rPr>
                <w:noProof/>
                <w:webHidden/>
              </w:rPr>
              <w:t>42</w:t>
            </w:r>
            <w:r w:rsidR="00FF759B">
              <w:rPr>
                <w:noProof/>
                <w:webHidden/>
              </w:rPr>
              <w:fldChar w:fldCharType="end"/>
            </w:r>
          </w:hyperlink>
        </w:p>
        <w:p w14:paraId="2B905EEF" w14:textId="46466FED"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201" w:history="1">
            <w:r w:rsidR="00FF759B" w:rsidRPr="00F83F9F">
              <w:rPr>
                <w:rStyle w:val="Hyperlink"/>
                <w:rFonts w:eastAsiaTheme="majorEastAsia" w:cstheme="majorBidi"/>
                <w:noProof/>
                <w:lang w:eastAsia="en-US"/>
              </w:rPr>
              <w:t>Table 18: Civil Disposals by Court Level, 2013-14 to 2017-18</w:t>
            </w:r>
            <w:r w:rsidR="00FF759B" w:rsidRPr="00F83F9F">
              <w:rPr>
                <w:rStyle w:val="Hyperlink"/>
                <w:rFonts w:eastAsiaTheme="majorEastAsia" w:cstheme="majorBidi"/>
                <w:b/>
                <w:noProof/>
                <w:vertAlign w:val="superscript"/>
                <w:lang w:eastAsia="en-US"/>
              </w:rPr>
              <w:t>1,2</w:t>
            </w:r>
            <w:r w:rsidR="00FF759B">
              <w:rPr>
                <w:noProof/>
                <w:webHidden/>
              </w:rPr>
              <w:tab/>
            </w:r>
            <w:r w:rsidR="00FF759B">
              <w:rPr>
                <w:noProof/>
                <w:webHidden/>
              </w:rPr>
              <w:fldChar w:fldCharType="begin"/>
            </w:r>
            <w:r w:rsidR="00FF759B">
              <w:rPr>
                <w:noProof/>
                <w:webHidden/>
              </w:rPr>
              <w:instrText xml:space="preserve"> PAGEREF _Toc1041201 \h </w:instrText>
            </w:r>
            <w:r w:rsidR="00FF759B">
              <w:rPr>
                <w:noProof/>
                <w:webHidden/>
              </w:rPr>
            </w:r>
            <w:r w:rsidR="00FF759B">
              <w:rPr>
                <w:noProof/>
                <w:webHidden/>
              </w:rPr>
              <w:fldChar w:fldCharType="separate"/>
            </w:r>
            <w:r w:rsidR="00FF759B">
              <w:rPr>
                <w:noProof/>
                <w:webHidden/>
              </w:rPr>
              <w:t>42</w:t>
            </w:r>
            <w:r w:rsidR="00FF759B">
              <w:rPr>
                <w:noProof/>
                <w:webHidden/>
              </w:rPr>
              <w:fldChar w:fldCharType="end"/>
            </w:r>
          </w:hyperlink>
        </w:p>
        <w:p w14:paraId="5C96B6E3" w14:textId="4B98A028"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202" w:history="1">
            <w:r w:rsidR="00FF759B" w:rsidRPr="00F83F9F">
              <w:rPr>
                <w:rStyle w:val="Hyperlink"/>
                <w:rFonts w:eastAsiaTheme="majorEastAsia" w:cstheme="majorBidi"/>
                <w:noProof/>
                <w:lang w:eastAsia="en-US"/>
              </w:rPr>
              <w:t>Table 19: Criminal and Civil Clearance Rates, by Court</w:t>
            </w:r>
            <w:r w:rsidR="00FF759B">
              <w:rPr>
                <w:noProof/>
                <w:webHidden/>
              </w:rPr>
              <w:tab/>
            </w:r>
            <w:r w:rsidR="00FF759B">
              <w:rPr>
                <w:noProof/>
                <w:webHidden/>
              </w:rPr>
              <w:fldChar w:fldCharType="begin"/>
            </w:r>
            <w:r w:rsidR="00FF759B">
              <w:rPr>
                <w:noProof/>
                <w:webHidden/>
              </w:rPr>
              <w:instrText xml:space="preserve"> PAGEREF _Toc1041202 \h </w:instrText>
            </w:r>
            <w:r w:rsidR="00FF759B">
              <w:rPr>
                <w:noProof/>
                <w:webHidden/>
              </w:rPr>
            </w:r>
            <w:r w:rsidR="00FF759B">
              <w:rPr>
                <w:noProof/>
                <w:webHidden/>
              </w:rPr>
              <w:fldChar w:fldCharType="separate"/>
            </w:r>
            <w:r w:rsidR="00FF759B">
              <w:rPr>
                <w:noProof/>
                <w:webHidden/>
              </w:rPr>
              <w:t>43</w:t>
            </w:r>
            <w:r w:rsidR="00FF759B">
              <w:rPr>
                <w:noProof/>
                <w:webHidden/>
              </w:rPr>
              <w:fldChar w:fldCharType="end"/>
            </w:r>
          </w:hyperlink>
        </w:p>
        <w:p w14:paraId="1CF307EC" w14:textId="57A5662D" w:rsidR="00FF759B" w:rsidRDefault="00A00D95">
          <w:pPr>
            <w:pStyle w:val="TOC2"/>
            <w:tabs>
              <w:tab w:val="right" w:leader="dot" w:pos="8296"/>
            </w:tabs>
            <w:rPr>
              <w:rFonts w:asciiTheme="minorHAnsi" w:eastAsiaTheme="minorEastAsia" w:hAnsiTheme="minorHAnsi" w:cstheme="minorBidi"/>
              <w:smallCaps w:val="0"/>
              <w:noProof/>
              <w:sz w:val="22"/>
              <w:szCs w:val="22"/>
              <w:lang w:val="en-GB" w:eastAsia="en-GB"/>
            </w:rPr>
          </w:pPr>
          <w:hyperlink w:anchor="_Toc1041203" w:history="1">
            <w:r w:rsidR="00FF759B" w:rsidRPr="00F83F9F">
              <w:rPr>
                <w:rStyle w:val="Hyperlink"/>
                <w:noProof/>
              </w:rPr>
              <w:t>Attendance index</w:t>
            </w:r>
            <w:r w:rsidR="00FF759B">
              <w:rPr>
                <w:noProof/>
                <w:webHidden/>
              </w:rPr>
              <w:tab/>
            </w:r>
            <w:r w:rsidR="00FF759B">
              <w:rPr>
                <w:noProof/>
                <w:webHidden/>
              </w:rPr>
              <w:fldChar w:fldCharType="begin"/>
            </w:r>
            <w:r w:rsidR="00FF759B">
              <w:rPr>
                <w:noProof/>
                <w:webHidden/>
              </w:rPr>
              <w:instrText xml:space="preserve"> PAGEREF _Toc1041203 \h </w:instrText>
            </w:r>
            <w:r w:rsidR="00FF759B">
              <w:rPr>
                <w:noProof/>
                <w:webHidden/>
              </w:rPr>
            </w:r>
            <w:r w:rsidR="00FF759B">
              <w:rPr>
                <w:noProof/>
                <w:webHidden/>
              </w:rPr>
              <w:fldChar w:fldCharType="separate"/>
            </w:r>
            <w:r w:rsidR="00FF759B">
              <w:rPr>
                <w:noProof/>
                <w:webHidden/>
              </w:rPr>
              <w:t>43</w:t>
            </w:r>
            <w:r w:rsidR="00FF759B">
              <w:rPr>
                <w:noProof/>
                <w:webHidden/>
              </w:rPr>
              <w:fldChar w:fldCharType="end"/>
            </w:r>
          </w:hyperlink>
        </w:p>
        <w:p w14:paraId="328399F7" w14:textId="755BA68F"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204" w:history="1">
            <w:r w:rsidR="00FF759B" w:rsidRPr="00F83F9F">
              <w:rPr>
                <w:rStyle w:val="Hyperlink"/>
                <w:rFonts w:eastAsiaTheme="majorEastAsia" w:cstheme="majorBidi"/>
                <w:noProof/>
                <w:lang w:eastAsia="en-US"/>
              </w:rPr>
              <w:t>Table 20: Criminal and Civil Attendance Indicator, by Court</w:t>
            </w:r>
            <w:r w:rsidR="00FF759B">
              <w:rPr>
                <w:noProof/>
                <w:webHidden/>
              </w:rPr>
              <w:tab/>
            </w:r>
            <w:r w:rsidR="00FF759B">
              <w:rPr>
                <w:noProof/>
                <w:webHidden/>
              </w:rPr>
              <w:fldChar w:fldCharType="begin"/>
            </w:r>
            <w:r w:rsidR="00FF759B">
              <w:rPr>
                <w:noProof/>
                <w:webHidden/>
              </w:rPr>
              <w:instrText xml:space="preserve"> PAGEREF _Toc1041204 \h </w:instrText>
            </w:r>
            <w:r w:rsidR="00FF759B">
              <w:rPr>
                <w:noProof/>
                <w:webHidden/>
              </w:rPr>
            </w:r>
            <w:r w:rsidR="00FF759B">
              <w:rPr>
                <w:noProof/>
                <w:webHidden/>
              </w:rPr>
              <w:fldChar w:fldCharType="separate"/>
            </w:r>
            <w:r w:rsidR="00FF759B">
              <w:rPr>
                <w:noProof/>
                <w:webHidden/>
              </w:rPr>
              <w:t>43</w:t>
            </w:r>
            <w:r w:rsidR="00FF759B">
              <w:rPr>
                <w:noProof/>
                <w:webHidden/>
              </w:rPr>
              <w:fldChar w:fldCharType="end"/>
            </w:r>
          </w:hyperlink>
        </w:p>
        <w:p w14:paraId="7DB6592A" w14:textId="535B5105" w:rsidR="00FF759B" w:rsidRDefault="00A00D95">
          <w:pPr>
            <w:pStyle w:val="TOC1"/>
            <w:tabs>
              <w:tab w:val="right" w:leader="dot" w:pos="8296"/>
            </w:tabs>
            <w:rPr>
              <w:rFonts w:asciiTheme="minorHAnsi" w:eastAsiaTheme="minorEastAsia" w:hAnsiTheme="minorHAnsi" w:cstheme="minorBidi"/>
              <w:bCs w:val="0"/>
              <w:caps w:val="0"/>
              <w:noProof/>
              <w:sz w:val="22"/>
              <w:szCs w:val="22"/>
              <w:lang w:val="en-GB" w:eastAsia="en-GB"/>
            </w:rPr>
          </w:pPr>
          <w:hyperlink w:anchor="_Toc1041205" w:history="1">
            <w:r w:rsidR="00FF759B" w:rsidRPr="00F83F9F">
              <w:rPr>
                <w:rStyle w:val="Hyperlink"/>
                <w:noProof/>
              </w:rPr>
              <w:t>Court Finances</w:t>
            </w:r>
            <w:r w:rsidR="00FF759B">
              <w:rPr>
                <w:noProof/>
                <w:webHidden/>
              </w:rPr>
              <w:tab/>
            </w:r>
            <w:r w:rsidR="00FF759B">
              <w:rPr>
                <w:noProof/>
                <w:webHidden/>
              </w:rPr>
              <w:fldChar w:fldCharType="begin"/>
            </w:r>
            <w:r w:rsidR="00FF759B">
              <w:rPr>
                <w:noProof/>
                <w:webHidden/>
              </w:rPr>
              <w:instrText xml:space="preserve"> PAGEREF _Toc1041205 \h </w:instrText>
            </w:r>
            <w:r w:rsidR="00FF759B">
              <w:rPr>
                <w:noProof/>
                <w:webHidden/>
              </w:rPr>
            </w:r>
            <w:r w:rsidR="00FF759B">
              <w:rPr>
                <w:noProof/>
                <w:webHidden/>
              </w:rPr>
              <w:fldChar w:fldCharType="separate"/>
            </w:r>
            <w:r w:rsidR="00FF759B">
              <w:rPr>
                <w:noProof/>
                <w:webHidden/>
              </w:rPr>
              <w:t>44</w:t>
            </w:r>
            <w:r w:rsidR="00FF759B">
              <w:rPr>
                <w:noProof/>
                <w:webHidden/>
              </w:rPr>
              <w:fldChar w:fldCharType="end"/>
            </w:r>
          </w:hyperlink>
        </w:p>
        <w:p w14:paraId="5787A88D" w14:textId="08E93E17" w:rsidR="00FF759B" w:rsidRDefault="00A00D95">
          <w:pPr>
            <w:pStyle w:val="TOC3"/>
            <w:tabs>
              <w:tab w:val="right" w:leader="dot" w:pos="8296"/>
            </w:tabs>
            <w:rPr>
              <w:rFonts w:asciiTheme="minorHAnsi" w:hAnsiTheme="minorHAnsi" w:cstheme="minorBidi"/>
              <w:i w:val="0"/>
              <w:iCs w:val="0"/>
              <w:noProof/>
              <w:sz w:val="22"/>
              <w:szCs w:val="22"/>
              <w:lang w:val="en-GB" w:eastAsia="en-GB"/>
            </w:rPr>
          </w:pPr>
          <w:hyperlink w:anchor="_Toc1041206" w:history="1">
            <w:r w:rsidR="00FF759B" w:rsidRPr="00F83F9F">
              <w:rPr>
                <w:rStyle w:val="Hyperlink"/>
                <w:rFonts w:eastAsiaTheme="majorEastAsia" w:cstheme="majorBidi"/>
                <w:noProof/>
                <w:lang w:eastAsia="en-US"/>
              </w:rPr>
              <w:t>Table 21: Magistrates Court Fines and Fees (inc. Youth Justice Co</w:t>
            </w:r>
            <w:r w:rsidR="00FF759B">
              <w:rPr>
                <w:rStyle w:val="Hyperlink"/>
                <w:rFonts w:eastAsiaTheme="majorEastAsia" w:cstheme="majorBidi"/>
                <w:noProof/>
                <w:lang w:eastAsia="en-US"/>
              </w:rPr>
              <w:t>urt), 2013-14 to 2017-18</w:t>
            </w:r>
            <w:r w:rsidR="00FF759B">
              <w:rPr>
                <w:noProof/>
                <w:webHidden/>
              </w:rPr>
              <w:tab/>
            </w:r>
            <w:r w:rsidR="00FF759B">
              <w:rPr>
                <w:noProof/>
                <w:webHidden/>
              </w:rPr>
              <w:fldChar w:fldCharType="begin"/>
            </w:r>
            <w:r w:rsidR="00FF759B">
              <w:rPr>
                <w:noProof/>
                <w:webHidden/>
              </w:rPr>
              <w:instrText xml:space="preserve"> PAGEREF _Toc1041206 \h </w:instrText>
            </w:r>
            <w:r w:rsidR="00FF759B">
              <w:rPr>
                <w:noProof/>
                <w:webHidden/>
              </w:rPr>
            </w:r>
            <w:r w:rsidR="00FF759B">
              <w:rPr>
                <w:noProof/>
                <w:webHidden/>
              </w:rPr>
              <w:fldChar w:fldCharType="separate"/>
            </w:r>
            <w:r w:rsidR="00FF759B">
              <w:rPr>
                <w:noProof/>
                <w:webHidden/>
              </w:rPr>
              <w:t>44</w:t>
            </w:r>
            <w:r w:rsidR="00FF759B">
              <w:rPr>
                <w:noProof/>
                <w:webHidden/>
              </w:rPr>
              <w:fldChar w:fldCharType="end"/>
            </w:r>
          </w:hyperlink>
        </w:p>
        <w:p w14:paraId="2DE2AC93" w14:textId="7F0D80F5" w:rsidR="00D74364" w:rsidRDefault="00D74364">
          <w:r>
            <w:rPr>
              <w:b/>
              <w:bCs/>
              <w:noProof/>
            </w:rPr>
            <w:fldChar w:fldCharType="end"/>
          </w:r>
        </w:p>
      </w:sdtContent>
    </w:sdt>
    <w:p w14:paraId="1F22009A" w14:textId="77777777" w:rsidR="00FD6F91" w:rsidRPr="00847FAE" w:rsidRDefault="00FD6F91" w:rsidP="00FD6F91">
      <w:pPr>
        <w:spacing w:line="259" w:lineRule="auto"/>
        <w:rPr>
          <w:rFonts w:eastAsiaTheme="majorEastAsia" w:cstheme="majorBidi"/>
          <w:sz w:val="28"/>
          <w:szCs w:val="32"/>
          <w:lang w:eastAsia="en-US"/>
        </w:rPr>
      </w:pPr>
      <w:r w:rsidRPr="00847FAE">
        <w:rPr>
          <w:rFonts w:eastAsiaTheme="minorHAnsi"/>
          <w:lang w:eastAsia="en-US"/>
        </w:rPr>
        <w:br w:type="page"/>
      </w:r>
    </w:p>
    <w:p w14:paraId="767DE9E3" w14:textId="55D138EF" w:rsidR="00FD6F91" w:rsidRPr="00847FAE" w:rsidRDefault="00FD6F91" w:rsidP="00FD6F91">
      <w:pPr>
        <w:widowControl w:val="0"/>
        <w:spacing w:before="240"/>
        <w:outlineLvl w:val="0"/>
        <w:rPr>
          <w:rFonts w:eastAsiaTheme="majorEastAsia" w:cstheme="majorBidi"/>
          <w:sz w:val="28"/>
          <w:szCs w:val="32"/>
          <w:lang w:eastAsia="en-US"/>
        </w:rPr>
      </w:pPr>
      <w:bookmarkStart w:id="366" w:name="_Toc529272650"/>
      <w:bookmarkStart w:id="367" w:name="_Toc1041177"/>
      <w:r w:rsidRPr="00847FAE">
        <w:rPr>
          <w:rFonts w:eastAsiaTheme="majorEastAsia" w:cstheme="majorBidi"/>
          <w:sz w:val="28"/>
          <w:szCs w:val="32"/>
          <w:lang w:eastAsia="en-US"/>
        </w:rPr>
        <w:lastRenderedPageBreak/>
        <w:t>1. Caseload</w:t>
      </w:r>
      <w:bookmarkEnd w:id="366"/>
      <w:bookmarkEnd w:id="367"/>
    </w:p>
    <w:p w14:paraId="5782906A" w14:textId="77777777" w:rsidR="00FD6F91" w:rsidRPr="00847FAE" w:rsidRDefault="00FD6F91" w:rsidP="00FD6F91">
      <w:pPr>
        <w:widowControl w:val="0"/>
        <w:shd w:val="clear" w:color="auto" w:fill="FFFFFF" w:themeFill="background1"/>
        <w:spacing w:after="120"/>
        <w:rPr>
          <w:rFonts w:eastAsiaTheme="minorHAnsi"/>
          <w:b/>
          <w:sz w:val="14"/>
          <w:lang w:eastAsia="en-US"/>
        </w:rPr>
      </w:pPr>
    </w:p>
    <w:p w14:paraId="46EB2287" w14:textId="6FD60BF1" w:rsidR="00FD6F91" w:rsidRPr="00847FAE" w:rsidRDefault="00FD6F91" w:rsidP="007175D2">
      <w:pPr>
        <w:keepNext/>
        <w:keepLines/>
        <w:spacing w:before="40"/>
        <w:outlineLvl w:val="1"/>
        <w:rPr>
          <w:rFonts w:eastAsiaTheme="majorEastAsia" w:cstheme="majorBidi"/>
          <w:lang w:eastAsia="en-US"/>
        </w:rPr>
      </w:pPr>
      <w:bookmarkStart w:id="368" w:name="_Toc1041178"/>
      <w:r w:rsidRPr="00847FAE">
        <w:rPr>
          <w:rFonts w:eastAsiaTheme="majorEastAsia" w:cstheme="majorBidi"/>
          <w:lang w:eastAsia="en-US"/>
        </w:rPr>
        <w:t>Table 1: 2017-18 Summary Figures, by Court</w:t>
      </w:r>
      <w:bookmarkEnd w:id="368"/>
      <w:r w:rsidRPr="00847FAE">
        <w:rPr>
          <w:rFonts w:eastAsiaTheme="majorEastAsia" w:cstheme="majorBidi"/>
          <w:lang w:eastAsia="en-US"/>
        </w:rPr>
        <w:t xml:space="preserve"> </w:t>
      </w:r>
    </w:p>
    <w:tbl>
      <w:tblPr>
        <w:tblStyle w:val="TableGrid1"/>
        <w:tblW w:w="8043" w:type="dxa"/>
        <w:tblLayout w:type="fixed"/>
        <w:tblLook w:val="04A0" w:firstRow="1" w:lastRow="0" w:firstColumn="1" w:lastColumn="0" w:noHBand="0" w:noVBand="1"/>
        <w:tblCaption w:val="Table1SummaryFiguresbyCourt"/>
        <w:tblDescription w:val="Tabledescribingthesummaryoffiguresbyeachcourt"/>
      </w:tblPr>
      <w:tblGrid>
        <w:gridCol w:w="850"/>
        <w:gridCol w:w="111"/>
        <w:gridCol w:w="704"/>
        <w:gridCol w:w="461"/>
        <w:gridCol w:w="851"/>
        <w:gridCol w:w="814"/>
        <w:gridCol w:w="461"/>
        <w:gridCol w:w="602"/>
        <w:gridCol w:w="1063"/>
        <w:gridCol w:w="1063"/>
        <w:gridCol w:w="1063"/>
      </w:tblGrid>
      <w:tr w:rsidR="007175D2" w:rsidRPr="00847FAE" w14:paraId="03FC9682" w14:textId="77777777" w:rsidTr="007175D2">
        <w:trPr>
          <w:cantSplit/>
          <w:trHeight w:val="20"/>
          <w:tblHeader/>
        </w:trPr>
        <w:tc>
          <w:tcPr>
            <w:tcW w:w="961" w:type="dxa"/>
            <w:gridSpan w:val="2"/>
            <w:tcBorders>
              <w:top w:val="single" w:sz="4" w:space="0" w:color="auto"/>
              <w:left w:val="nil"/>
              <w:bottom w:val="single" w:sz="4" w:space="0" w:color="auto"/>
              <w:right w:val="nil"/>
            </w:tcBorders>
            <w:noWrap/>
          </w:tcPr>
          <w:p w14:paraId="01506365" w14:textId="77777777" w:rsidR="007175D2" w:rsidRPr="00847FAE" w:rsidRDefault="007175D2" w:rsidP="00FD6F91">
            <w:pPr>
              <w:widowControl w:val="0"/>
              <w:rPr>
                <w:rFonts w:cs="Calibri"/>
                <w:color w:val="000000"/>
                <w:sz w:val="18"/>
                <w:szCs w:val="18"/>
              </w:rPr>
            </w:pPr>
            <w:bookmarkStart w:id="369" w:name="SummaryFiguresbyCourt20172018"/>
          </w:p>
        </w:tc>
        <w:tc>
          <w:tcPr>
            <w:tcW w:w="704" w:type="dxa"/>
            <w:tcBorders>
              <w:top w:val="single" w:sz="4" w:space="0" w:color="auto"/>
              <w:left w:val="nil"/>
              <w:bottom w:val="single" w:sz="4" w:space="0" w:color="auto"/>
              <w:right w:val="nil"/>
            </w:tcBorders>
            <w:noWrap/>
          </w:tcPr>
          <w:p w14:paraId="0401BD5C" w14:textId="77777777" w:rsidR="007175D2" w:rsidRPr="00847FAE" w:rsidRDefault="007175D2" w:rsidP="00FD6F91">
            <w:pPr>
              <w:widowControl w:val="0"/>
              <w:rPr>
                <w:rFonts w:cs="Calibri"/>
                <w:color w:val="000000"/>
                <w:sz w:val="18"/>
                <w:szCs w:val="18"/>
              </w:rPr>
            </w:pPr>
          </w:p>
        </w:tc>
        <w:tc>
          <w:tcPr>
            <w:tcW w:w="2126" w:type="dxa"/>
            <w:gridSpan w:val="3"/>
            <w:tcBorders>
              <w:top w:val="single" w:sz="4" w:space="0" w:color="auto"/>
              <w:left w:val="nil"/>
              <w:bottom w:val="single" w:sz="4" w:space="0" w:color="auto"/>
              <w:right w:val="nil"/>
            </w:tcBorders>
            <w:noWrap/>
          </w:tcPr>
          <w:p w14:paraId="51CA3795" w14:textId="77777777" w:rsidR="007175D2" w:rsidRPr="00847FAE" w:rsidRDefault="007175D2" w:rsidP="00FD6F91">
            <w:pPr>
              <w:widowControl w:val="0"/>
              <w:rPr>
                <w:rFonts w:cs="Calibri"/>
                <w:color w:val="000000"/>
                <w:sz w:val="18"/>
                <w:szCs w:val="18"/>
              </w:rPr>
            </w:pPr>
          </w:p>
        </w:tc>
        <w:tc>
          <w:tcPr>
            <w:tcW w:w="2126" w:type="dxa"/>
            <w:gridSpan w:val="3"/>
            <w:tcBorders>
              <w:top w:val="single" w:sz="4" w:space="0" w:color="auto"/>
              <w:left w:val="nil"/>
              <w:bottom w:val="single" w:sz="4" w:space="0" w:color="auto"/>
              <w:right w:val="nil"/>
            </w:tcBorders>
            <w:noWrap/>
            <w:vAlign w:val="bottom"/>
          </w:tcPr>
          <w:p w14:paraId="55C32734" w14:textId="77777777" w:rsidR="007175D2" w:rsidRPr="00847FAE" w:rsidRDefault="007175D2" w:rsidP="00FD6F91">
            <w:pPr>
              <w:widowControl w:val="0"/>
              <w:jc w:val="center"/>
              <w:rPr>
                <w:rFonts w:cs="Calibri"/>
                <w:bCs/>
                <w:color w:val="000000"/>
                <w:sz w:val="20"/>
                <w:szCs w:val="18"/>
              </w:rPr>
            </w:pPr>
            <w:r w:rsidRPr="00847FAE">
              <w:rPr>
                <w:rFonts w:cs="Calibri"/>
                <w:bCs/>
                <w:color w:val="000000"/>
                <w:sz w:val="20"/>
                <w:szCs w:val="18"/>
              </w:rPr>
              <w:t>Lodgements</w:t>
            </w:r>
          </w:p>
        </w:tc>
        <w:tc>
          <w:tcPr>
            <w:tcW w:w="2126" w:type="dxa"/>
            <w:gridSpan w:val="2"/>
            <w:tcBorders>
              <w:top w:val="single" w:sz="4" w:space="0" w:color="auto"/>
              <w:left w:val="nil"/>
              <w:bottom w:val="single" w:sz="4" w:space="0" w:color="auto"/>
              <w:right w:val="nil"/>
            </w:tcBorders>
            <w:noWrap/>
            <w:vAlign w:val="bottom"/>
          </w:tcPr>
          <w:p w14:paraId="3AC3C8D6" w14:textId="77777777" w:rsidR="007175D2" w:rsidRPr="00847FAE" w:rsidRDefault="007175D2" w:rsidP="00FD6F91">
            <w:pPr>
              <w:widowControl w:val="0"/>
              <w:jc w:val="center"/>
              <w:rPr>
                <w:rFonts w:cs="Calibri"/>
                <w:bCs/>
                <w:color w:val="000000"/>
                <w:sz w:val="20"/>
                <w:szCs w:val="18"/>
              </w:rPr>
            </w:pPr>
            <w:r w:rsidRPr="00847FAE">
              <w:rPr>
                <w:rFonts w:cs="Calibri"/>
                <w:bCs/>
                <w:color w:val="000000"/>
                <w:sz w:val="20"/>
                <w:szCs w:val="18"/>
              </w:rPr>
              <w:t>Finalisations</w:t>
            </w:r>
          </w:p>
        </w:tc>
      </w:tr>
      <w:tr w:rsidR="007175D2" w:rsidRPr="00847FAE" w14:paraId="42B8E2D7" w14:textId="77777777" w:rsidTr="007175D2">
        <w:trPr>
          <w:cantSplit/>
          <w:trHeight w:val="20"/>
        </w:trPr>
        <w:tc>
          <w:tcPr>
            <w:tcW w:w="961" w:type="dxa"/>
            <w:gridSpan w:val="2"/>
            <w:tcBorders>
              <w:top w:val="single" w:sz="4" w:space="0" w:color="auto"/>
              <w:left w:val="nil"/>
              <w:bottom w:val="single" w:sz="4" w:space="0" w:color="auto"/>
              <w:right w:val="nil"/>
            </w:tcBorders>
            <w:noWrap/>
            <w:hideMark/>
          </w:tcPr>
          <w:p w14:paraId="41FE8F99" w14:textId="77777777" w:rsidR="007175D2" w:rsidRPr="00847FAE" w:rsidRDefault="007175D2" w:rsidP="00FD6F91">
            <w:pPr>
              <w:widowControl w:val="0"/>
              <w:rPr>
                <w:rFonts w:cs="Calibri"/>
                <w:color w:val="000000"/>
                <w:sz w:val="18"/>
                <w:szCs w:val="18"/>
              </w:rPr>
            </w:pPr>
            <w:r w:rsidRPr="00847FAE">
              <w:rPr>
                <w:rFonts w:cs="Calibri"/>
                <w:color w:val="000000"/>
                <w:sz w:val="18"/>
                <w:szCs w:val="18"/>
              </w:rPr>
              <w:t> </w:t>
            </w:r>
          </w:p>
        </w:tc>
        <w:tc>
          <w:tcPr>
            <w:tcW w:w="704" w:type="dxa"/>
            <w:tcBorders>
              <w:top w:val="single" w:sz="4" w:space="0" w:color="auto"/>
              <w:left w:val="nil"/>
              <w:bottom w:val="single" w:sz="4" w:space="0" w:color="auto"/>
              <w:right w:val="nil"/>
            </w:tcBorders>
            <w:noWrap/>
            <w:hideMark/>
          </w:tcPr>
          <w:p w14:paraId="5DD7BD6B" w14:textId="77777777" w:rsidR="007175D2" w:rsidRPr="00847FAE" w:rsidRDefault="007175D2" w:rsidP="00FD6F91">
            <w:pPr>
              <w:widowControl w:val="0"/>
              <w:rPr>
                <w:rFonts w:cs="Calibri"/>
                <w:color w:val="000000"/>
                <w:sz w:val="18"/>
                <w:szCs w:val="18"/>
              </w:rPr>
            </w:pPr>
            <w:r w:rsidRPr="00847FAE">
              <w:rPr>
                <w:rFonts w:cs="Calibri"/>
                <w:color w:val="000000"/>
                <w:sz w:val="18"/>
                <w:szCs w:val="18"/>
              </w:rPr>
              <w:t> </w:t>
            </w:r>
          </w:p>
        </w:tc>
        <w:tc>
          <w:tcPr>
            <w:tcW w:w="2126" w:type="dxa"/>
            <w:gridSpan w:val="3"/>
            <w:tcBorders>
              <w:top w:val="single" w:sz="4" w:space="0" w:color="auto"/>
              <w:left w:val="nil"/>
              <w:bottom w:val="single" w:sz="4" w:space="0" w:color="auto"/>
              <w:right w:val="nil"/>
            </w:tcBorders>
            <w:noWrap/>
            <w:hideMark/>
          </w:tcPr>
          <w:p w14:paraId="388A8DBC" w14:textId="77777777" w:rsidR="007175D2" w:rsidRPr="00847FAE" w:rsidRDefault="007175D2" w:rsidP="00FD6F91">
            <w:pPr>
              <w:widowControl w:val="0"/>
              <w:rPr>
                <w:rFonts w:cs="Calibri"/>
                <w:color w:val="000000"/>
                <w:sz w:val="18"/>
                <w:szCs w:val="18"/>
              </w:rPr>
            </w:pPr>
            <w:r w:rsidRPr="00847FAE">
              <w:rPr>
                <w:rFonts w:cs="Calibri"/>
                <w:color w:val="000000"/>
                <w:sz w:val="18"/>
                <w:szCs w:val="18"/>
              </w:rPr>
              <w:t> </w:t>
            </w:r>
          </w:p>
        </w:tc>
        <w:tc>
          <w:tcPr>
            <w:tcW w:w="1063" w:type="dxa"/>
            <w:gridSpan w:val="2"/>
            <w:tcBorders>
              <w:top w:val="single" w:sz="4" w:space="0" w:color="auto"/>
              <w:left w:val="nil"/>
              <w:bottom w:val="single" w:sz="4" w:space="0" w:color="auto"/>
              <w:right w:val="nil"/>
            </w:tcBorders>
            <w:noWrap/>
            <w:vAlign w:val="center"/>
            <w:hideMark/>
          </w:tcPr>
          <w:p w14:paraId="366C334C" w14:textId="77777777" w:rsidR="007175D2" w:rsidRPr="00847FAE" w:rsidRDefault="007175D2" w:rsidP="00FD6F91">
            <w:pPr>
              <w:widowControl w:val="0"/>
              <w:jc w:val="center"/>
              <w:rPr>
                <w:rFonts w:cs="Calibri"/>
                <w:bCs/>
                <w:color w:val="000000"/>
                <w:sz w:val="18"/>
                <w:szCs w:val="18"/>
              </w:rPr>
            </w:pPr>
            <w:r w:rsidRPr="00847FAE">
              <w:rPr>
                <w:rFonts w:cs="Calibri"/>
                <w:bCs/>
                <w:color w:val="000000"/>
                <w:sz w:val="18"/>
                <w:szCs w:val="18"/>
              </w:rPr>
              <w:t>No.</w:t>
            </w:r>
          </w:p>
        </w:tc>
        <w:tc>
          <w:tcPr>
            <w:tcW w:w="1063" w:type="dxa"/>
            <w:tcBorders>
              <w:top w:val="single" w:sz="4" w:space="0" w:color="auto"/>
              <w:left w:val="nil"/>
              <w:bottom w:val="single" w:sz="4" w:space="0" w:color="auto"/>
              <w:right w:val="nil"/>
            </w:tcBorders>
            <w:shd w:val="clear" w:color="auto" w:fill="FFFFFF" w:themeFill="background1"/>
            <w:noWrap/>
            <w:vAlign w:val="center"/>
            <w:hideMark/>
          </w:tcPr>
          <w:p w14:paraId="6FF8C7D1" w14:textId="77777777" w:rsidR="007175D2" w:rsidRPr="00847FAE" w:rsidRDefault="007175D2" w:rsidP="00FD6F91">
            <w:pPr>
              <w:widowControl w:val="0"/>
              <w:jc w:val="center"/>
              <w:rPr>
                <w:rFonts w:cs="Calibri"/>
                <w:bCs/>
                <w:color w:val="000000"/>
                <w:sz w:val="18"/>
                <w:szCs w:val="18"/>
              </w:rPr>
            </w:pPr>
            <w:r w:rsidRPr="00847FAE">
              <w:rPr>
                <w:rFonts w:cs="Calibri"/>
                <w:bCs/>
                <w:color w:val="000000"/>
                <w:sz w:val="18"/>
                <w:szCs w:val="18"/>
              </w:rPr>
              <w:t>change year-on-year</w:t>
            </w:r>
          </w:p>
        </w:tc>
        <w:tc>
          <w:tcPr>
            <w:tcW w:w="1063" w:type="dxa"/>
            <w:tcBorders>
              <w:top w:val="single" w:sz="4" w:space="0" w:color="auto"/>
              <w:left w:val="nil"/>
              <w:bottom w:val="single" w:sz="4" w:space="0" w:color="auto"/>
              <w:right w:val="nil"/>
            </w:tcBorders>
            <w:shd w:val="clear" w:color="auto" w:fill="FFFFFF" w:themeFill="background1"/>
            <w:noWrap/>
            <w:vAlign w:val="center"/>
            <w:hideMark/>
          </w:tcPr>
          <w:p w14:paraId="36169BA1" w14:textId="77777777" w:rsidR="007175D2" w:rsidRPr="00847FAE" w:rsidRDefault="007175D2" w:rsidP="00FD6F91">
            <w:pPr>
              <w:widowControl w:val="0"/>
              <w:jc w:val="center"/>
              <w:rPr>
                <w:rFonts w:cs="Calibri"/>
                <w:bCs/>
                <w:color w:val="000000"/>
                <w:sz w:val="18"/>
                <w:szCs w:val="18"/>
              </w:rPr>
            </w:pPr>
            <w:r w:rsidRPr="00847FAE">
              <w:rPr>
                <w:rFonts w:cs="Calibri"/>
                <w:bCs/>
                <w:color w:val="000000"/>
                <w:sz w:val="18"/>
                <w:szCs w:val="18"/>
              </w:rPr>
              <w:t>No.</w:t>
            </w:r>
          </w:p>
        </w:tc>
        <w:tc>
          <w:tcPr>
            <w:tcW w:w="1063" w:type="dxa"/>
            <w:tcBorders>
              <w:top w:val="single" w:sz="4" w:space="0" w:color="auto"/>
              <w:left w:val="nil"/>
              <w:bottom w:val="single" w:sz="4" w:space="0" w:color="auto"/>
              <w:right w:val="nil"/>
            </w:tcBorders>
            <w:shd w:val="clear" w:color="auto" w:fill="FFFFFF" w:themeFill="background1"/>
            <w:vAlign w:val="center"/>
            <w:hideMark/>
          </w:tcPr>
          <w:p w14:paraId="1C5D4F53" w14:textId="77777777" w:rsidR="007175D2" w:rsidRPr="00847FAE" w:rsidRDefault="007175D2" w:rsidP="00FD6F91">
            <w:pPr>
              <w:widowControl w:val="0"/>
              <w:jc w:val="center"/>
              <w:rPr>
                <w:rFonts w:cs="Calibri"/>
                <w:bCs/>
                <w:color w:val="000000"/>
                <w:sz w:val="18"/>
                <w:szCs w:val="18"/>
              </w:rPr>
            </w:pPr>
            <w:r w:rsidRPr="00847FAE">
              <w:rPr>
                <w:rFonts w:cs="Calibri"/>
                <w:bCs/>
                <w:color w:val="000000"/>
                <w:sz w:val="18"/>
                <w:szCs w:val="18"/>
              </w:rPr>
              <w:t>change year-on-year</w:t>
            </w:r>
          </w:p>
        </w:tc>
      </w:tr>
      <w:tr w:rsidR="007175D2" w:rsidRPr="00847FAE" w14:paraId="71684108" w14:textId="77777777" w:rsidTr="007175D2">
        <w:trPr>
          <w:cantSplit/>
          <w:trHeight w:val="255"/>
        </w:trPr>
        <w:tc>
          <w:tcPr>
            <w:tcW w:w="3791" w:type="dxa"/>
            <w:gridSpan w:val="6"/>
            <w:tcBorders>
              <w:top w:val="nil"/>
              <w:left w:val="nil"/>
              <w:bottom w:val="nil"/>
              <w:right w:val="nil"/>
            </w:tcBorders>
            <w:noWrap/>
            <w:hideMark/>
          </w:tcPr>
          <w:p w14:paraId="6A675743" w14:textId="77777777" w:rsidR="007175D2" w:rsidRPr="00847FAE" w:rsidRDefault="007175D2" w:rsidP="00FD6F91">
            <w:pPr>
              <w:widowControl w:val="0"/>
              <w:rPr>
                <w:rFonts w:cs="Calibri"/>
                <w:iCs/>
                <w:color w:val="000000"/>
                <w:sz w:val="18"/>
                <w:szCs w:val="18"/>
                <w:vertAlign w:val="superscript"/>
              </w:rPr>
            </w:pPr>
            <w:r w:rsidRPr="00847FAE">
              <w:rPr>
                <w:rFonts w:cs="Calibri"/>
                <w:iCs/>
                <w:color w:val="000000"/>
                <w:sz w:val="18"/>
                <w:szCs w:val="18"/>
              </w:rPr>
              <w:t>Criminal complaints</w:t>
            </w:r>
            <w:r w:rsidRPr="00847FAE">
              <w:rPr>
                <w:rFonts w:cs="Calibri"/>
                <w:iCs/>
                <w:color w:val="000000"/>
                <w:sz w:val="18"/>
                <w:szCs w:val="18"/>
                <w:vertAlign w:val="superscript"/>
              </w:rPr>
              <w:t>1</w:t>
            </w:r>
          </w:p>
        </w:tc>
        <w:tc>
          <w:tcPr>
            <w:tcW w:w="1063" w:type="dxa"/>
            <w:gridSpan w:val="2"/>
            <w:tcBorders>
              <w:top w:val="nil"/>
              <w:left w:val="nil"/>
              <w:bottom w:val="nil"/>
              <w:right w:val="nil"/>
            </w:tcBorders>
            <w:noWrap/>
            <w:vAlign w:val="center"/>
          </w:tcPr>
          <w:p w14:paraId="198B9955"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18,187</w:t>
            </w:r>
          </w:p>
        </w:tc>
        <w:tc>
          <w:tcPr>
            <w:tcW w:w="1063" w:type="dxa"/>
            <w:tcBorders>
              <w:top w:val="nil"/>
              <w:left w:val="nil"/>
              <w:bottom w:val="nil"/>
              <w:right w:val="nil"/>
            </w:tcBorders>
            <w:shd w:val="clear" w:color="auto" w:fill="FFFFFF" w:themeFill="background1"/>
            <w:noWrap/>
            <w:vAlign w:val="center"/>
          </w:tcPr>
          <w:p w14:paraId="1B860C40"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0.7%</w:t>
            </w:r>
          </w:p>
        </w:tc>
        <w:tc>
          <w:tcPr>
            <w:tcW w:w="1063" w:type="dxa"/>
            <w:tcBorders>
              <w:top w:val="nil"/>
              <w:left w:val="nil"/>
              <w:bottom w:val="nil"/>
              <w:right w:val="nil"/>
            </w:tcBorders>
            <w:shd w:val="clear" w:color="auto" w:fill="FFFFFF" w:themeFill="background1"/>
            <w:noWrap/>
            <w:vAlign w:val="center"/>
          </w:tcPr>
          <w:p w14:paraId="0090B9D6"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18,047</w:t>
            </w:r>
          </w:p>
        </w:tc>
        <w:tc>
          <w:tcPr>
            <w:tcW w:w="1063" w:type="dxa"/>
            <w:tcBorders>
              <w:top w:val="nil"/>
              <w:left w:val="nil"/>
              <w:bottom w:val="nil"/>
              <w:right w:val="nil"/>
            </w:tcBorders>
            <w:shd w:val="clear" w:color="auto" w:fill="FFFFFF" w:themeFill="background1"/>
            <w:noWrap/>
            <w:vAlign w:val="center"/>
          </w:tcPr>
          <w:p w14:paraId="4B35FE44"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9.9%</w:t>
            </w:r>
          </w:p>
        </w:tc>
      </w:tr>
      <w:tr w:rsidR="007175D2" w:rsidRPr="00847FAE" w14:paraId="3E93B26F" w14:textId="77777777" w:rsidTr="007175D2">
        <w:trPr>
          <w:cantSplit/>
          <w:trHeight w:val="255"/>
        </w:trPr>
        <w:tc>
          <w:tcPr>
            <w:tcW w:w="3791" w:type="dxa"/>
            <w:gridSpan w:val="6"/>
            <w:tcBorders>
              <w:top w:val="nil"/>
              <w:left w:val="nil"/>
              <w:bottom w:val="nil"/>
              <w:right w:val="nil"/>
            </w:tcBorders>
            <w:noWrap/>
          </w:tcPr>
          <w:p w14:paraId="09AF95DC" w14:textId="6A624A41" w:rsidR="007175D2" w:rsidRPr="00847FAE" w:rsidRDefault="007175D2" w:rsidP="00FD6F91">
            <w:pPr>
              <w:widowControl w:val="0"/>
              <w:rPr>
                <w:rFonts w:cs="Calibri"/>
                <w:i/>
                <w:iCs/>
                <w:color w:val="000000"/>
                <w:sz w:val="18"/>
                <w:szCs w:val="18"/>
              </w:rPr>
            </w:pPr>
            <w:r w:rsidRPr="00847FAE">
              <w:rPr>
                <w:rFonts w:cs="Calibri"/>
                <w:i/>
                <w:iCs/>
                <w:color w:val="000000"/>
                <w:sz w:val="18"/>
                <w:szCs w:val="18"/>
              </w:rPr>
              <w:t>Committal Proceedings</w:t>
            </w:r>
          </w:p>
        </w:tc>
        <w:tc>
          <w:tcPr>
            <w:tcW w:w="1063" w:type="dxa"/>
            <w:gridSpan w:val="2"/>
            <w:tcBorders>
              <w:top w:val="nil"/>
              <w:left w:val="nil"/>
              <w:bottom w:val="nil"/>
              <w:right w:val="nil"/>
            </w:tcBorders>
            <w:noWrap/>
            <w:vAlign w:val="center"/>
          </w:tcPr>
          <w:p w14:paraId="3014D59D" w14:textId="77777777" w:rsidR="007175D2" w:rsidRPr="00847FAE" w:rsidRDefault="007175D2" w:rsidP="00FD6F91">
            <w:pPr>
              <w:jc w:val="center"/>
              <w:rPr>
                <w:rFonts w:cs="Calibri"/>
                <w:color w:val="000000"/>
                <w:sz w:val="18"/>
                <w:szCs w:val="18"/>
              </w:rPr>
            </w:pPr>
            <w:r w:rsidRPr="00847FAE">
              <w:rPr>
                <w:rFonts w:cs="Calibri"/>
                <w:color w:val="000000"/>
                <w:sz w:val="18"/>
                <w:szCs w:val="18"/>
              </w:rPr>
              <w:t>na</w:t>
            </w:r>
          </w:p>
        </w:tc>
        <w:tc>
          <w:tcPr>
            <w:tcW w:w="1063" w:type="dxa"/>
            <w:tcBorders>
              <w:top w:val="nil"/>
              <w:left w:val="nil"/>
              <w:bottom w:val="nil"/>
              <w:right w:val="nil"/>
            </w:tcBorders>
            <w:shd w:val="clear" w:color="auto" w:fill="FFFFFF" w:themeFill="background1"/>
            <w:noWrap/>
            <w:vAlign w:val="center"/>
          </w:tcPr>
          <w:p w14:paraId="2A53C6D2" w14:textId="77777777" w:rsidR="007175D2" w:rsidRPr="00847FAE" w:rsidRDefault="007175D2" w:rsidP="00FD6F91">
            <w:pPr>
              <w:jc w:val="center"/>
              <w:rPr>
                <w:rFonts w:cs="Calibri"/>
                <w:color w:val="000000"/>
                <w:sz w:val="18"/>
                <w:szCs w:val="18"/>
              </w:rPr>
            </w:pPr>
            <w:r w:rsidRPr="00847FAE">
              <w:rPr>
                <w:rFonts w:cs="Calibri"/>
                <w:color w:val="000000"/>
                <w:sz w:val="18"/>
                <w:szCs w:val="18"/>
              </w:rPr>
              <w:t>na</w:t>
            </w:r>
          </w:p>
        </w:tc>
        <w:tc>
          <w:tcPr>
            <w:tcW w:w="1063" w:type="dxa"/>
            <w:tcBorders>
              <w:top w:val="nil"/>
              <w:left w:val="nil"/>
              <w:bottom w:val="nil"/>
              <w:right w:val="nil"/>
            </w:tcBorders>
            <w:shd w:val="clear" w:color="auto" w:fill="FFFFFF" w:themeFill="background1"/>
            <w:noWrap/>
            <w:vAlign w:val="center"/>
          </w:tcPr>
          <w:p w14:paraId="6AFF3782" w14:textId="77777777" w:rsidR="007175D2" w:rsidRPr="00847FAE" w:rsidRDefault="007175D2" w:rsidP="00FD6F91">
            <w:pPr>
              <w:jc w:val="center"/>
              <w:rPr>
                <w:rFonts w:cs="Calibri"/>
                <w:color w:val="000000"/>
                <w:sz w:val="18"/>
                <w:szCs w:val="18"/>
              </w:rPr>
            </w:pPr>
            <w:r w:rsidRPr="00847FAE">
              <w:rPr>
                <w:rFonts w:cs="Calibri"/>
                <w:color w:val="000000"/>
                <w:sz w:val="18"/>
                <w:szCs w:val="18"/>
              </w:rPr>
              <w:t>298</w:t>
            </w:r>
          </w:p>
        </w:tc>
        <w:tc>
          <w:tcPr>
            <w:tcW w:w="1063" w:type="dxa"/>
            <w:tcBorders>
              <w:top w:val="nil"/>
              <w:left w:val="nil"/>
              <w:bottom w:val="nil"/>
              <w:right w:val="nil"/>
            </w:tcBorders>
            <w:shd w:val="clear" w:color="auto" w:fill="FFFFFF" w:themeFill="background1"/>
            <w:noWrap/>
            <w:vAlign w:val="center"/>
          </w:tcPr>
          <w:p w14:paraId="5C017288" w14:textId="77777777" w:rsidR="007175D2" w:rsidRPr="00847FAE" w:rsidRDefault="007175D2" w:rsidP="00FD6F91">
            <w:pPr>
              <w:jc w:val="center"/>
              <w:rPr>
                <w:rFonts w:cs="Calibri"/>
                <w:color w:val="000000"/>
                <w:sz w:val="18"/>
                <w:szCs w:val="18"/>
              </w:rPr>
            </w:pPr>
            <w:r w:rsidRPr="00847FAE">
              <w:rPr>
                <w:rFonts w:cs="Calibri"/>
                <w:color w:val="000000"/>
                <w:sz w:val="18"/>
                <w:szCs w:val="18"/>
              </w:rPr>
              <w:t>21.1%</w:t>
            </w:r>
          </w:p>
        </w:tc>
      </w:tr>
      <w:tr w:rsidR="007175D2" w:rsidRPr="00847FAE" w14:paraId="5D520F0A" w14:textId="77777777" w:rsidTr="007175D2">
        <w:trPr>
          <w:cantSplit/>
          <w:trHeight w:val="255"/>
        </w:trPr>
        <w:tc>
          <w:tcPr>
            <w:tcW w:w="3791" w:type="dxa"/>
            <w:gridSpan w:val="6"/>
            <w:tcBorders>
              <w:top w:val="nil"/>
              <w:left w:val="nil"/>
              <w:bottom w:val="nil"/>
              <w:right w:val="nil"/>
            </w:tcBorders>
            <w:noWrap/>
            <w:hideMark/>
          </w:tcPr>
          <w:p w14:paraId="4E2A9B18"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Breaches of orders</w:t>
            </w:r>
            <w:r w:rsidRPr="00847FAE">
              <w:rPr>
                <w:rFonts w:cs="Calibri"/>
                <w:iCs/>
                <w:color w:val="000000"/>
                <w:sz w:val="18"/>
                <w:szCs w:val="18"/>
                <w:vertAlign w:val="superscript"/>
              </w:rPr>
              <w:t>2</w:t>
            </w:r>
          </w:p>
        </w:tc>
        <w:tc>
          <w:tcPr>
            <w:tcW w:w="1063" w:type="dxa"/>
            <w:gridSpan w:val="2"/>
            <w:tcBorders>
              <w:top w:val="nil"/>
              <w:left w:val="nil"/>
              <w:bottom w:val="nil"/>
              <w:right w:val="nil"/>
            </w:tcBorders>
            <w:noWrap/>
            <w:vAlign w:val="center"/>
          </w:tcPr>
          <w:p w14:paraId="538CD184" w14:textId="77777777" w:rsidR="007175D2" w:rsidRPr="00847FAE" w:rsidRDefault="007175D2" w:rsidP="00FD6F91">
            <w:pPr>
              <w:jc w:val="center"/>
              <w:rPr>
                <w:rFonts w:cs="Calibri"/>
                <w:color w:val="000000"/>
                <w:sz w:val="18"/>
                <w:szCs w:val="18"/>
              </w:rPr>
            </w:pPr>
            <w:r w:rsidRPr="00847FAE">
              <w:rPr>
                <w:rFonts w:cs="Calibri"/>
                <w:color w:val="000000"/>
                <w:sz w:val="18"/>
                <w:szCs w:val="18"/>
              </w:rPr>
              <w:t>4,847</w:t>
            </w:r>
          </w:p>
        </w:tc>
        <w:tc>
          <w:tcPr>
            <w:tcW w:w="1063" w:type="dxa"/>
            <w:tcBorders>
              <w:top w:val="nil"/>
              <w:left w:val="nil"/>
              <w:bottom w:val="nil"/>
              <w:right w:val="nil"/>
            </w:tcBorders>
            <w:shd w:val="clear" w:color="auto" w:fill="FFFFFF" w:themeFill="background1"/>
            <w:noWrap/>
            <w:vAlign w:val="center"/>
          </w:tcPr>
          <w:p w14:paraId="5C4EA113" w14:textId="77777777" w:rsidR="007175D2" w:rsidRPr="00847FAE" w:rsidRDefault="007175D2" w:rsidP="00FD6F91">
            <w:pPr>
              <w:jc w:val="center"/>
              <w:rPr>
                <w:rFonts w:cs="Calibri"/>
                <w:color w:val="000000"/>
                <w:sz w:val="18"/>
                <w:szCs w:val="18"/>
              </w:rPr>
            </w:pPr>
            <w:r w:rsidRPr="00847FAE">
              <w:rPr>
                <w:rFonts w:cs="Calibri"/>
                <w:color w:val="000000"/>
                <w:sz w:val="18"/>
                <w:szCs w:val="18"/>
              </w:rPr>
              <w:t>8.5%</w:t>
            </w:r>
          </w:p>
        </w:tc>
        <w:tc>
          <w:tcPr>
            <w:tcW w:w="1063" w:type="dxa"/>
            <w:tcBorders>
              <w:top w:val="nil"/>
              <w:left w:val="nil"/>
              <w:bottom w:val="nil"/>
              <w:right w:val="nil"/>
            </w:tcBorders>
            <w:shd w:val="clear" w:color="auto" w:fill="FFFFFF" w:themeFill="background1"/>
            <w:noWrap/>
            <w:vAlign w:val="center"/>
          </w:tcPr>
          <w:p w14:paraId="4F8633DD" w14:textId="77777777" w:rsidR="007175D2" w:rsidRPr="00847FAE" w:rsidRDefault="007175D2" w:rsidP="00FD6F91">
            <w:pPr>
              <w:jc w:val="center"/>
              <w:rPr>
                <w:rFonts w:cs="Calibri"/>
                <w:color w:val="000000"/>
                <w:sz w:val="18"/>
                <w:szCs w:val="18"/>
              </w:rPr>
            </w:pPr>
            <w:r w:rsidRPr="00847FAE">
              <w:rPr>
                <w:rFonts w:cs="Calibri"/>
                <w:color w:val="000000"/>
                <w:sz w:val="18"/>
                <w:szCs w:val="18"/>
              </w:rPr>
              <w:t>4,403</w:t>
            </w:r>
          </w:p>
        </w:tc>
        <w:tc>
          <w:tcPr>
            <w:tcW w:w="1063" w:type="dxa"/>
            <w:tcBorders>
              <w:top w:val="nil"/>
              <w:left w:val="nil"/>
              <w:bottom w:val="nil"/>
              <w:right w:val="nil"/>
            </w:tcBorders>
            <w:shd w:val="clear" w:color="auto" w:fill="FFFFFF" w:themeFill="background1"/>
            <w:noWrap/>
            <w:vAlign w:val="center"/>
          </w:tcPr>
          <w:p w14:paraId="6A807695" w14:textId="77777777" w:rsidR="007175D2" w:rsidRPr="00847FAE" w:rsidRDefault="007175D2" w:rsidP="00FD6F91">
            <w:pPr>
              <w:jc w:val="center"/>
              <w:rPr>
                <w:rFonts w:cs="Calibri"/>
                <w:color w:val="000000"/>
                <w:sz w:val="18"/>
                <w:szCs w:val="18"/>
              </w:rPr>
            </w:pPr>
            <w:r w:rsidRPr="00847FAE">
              <w:rPr>
                <w:rFonts w:cs="Calibri"/>
                <w:color w:val="000000"/>
                <w:sz w:val="18"/>
                <w:szCs w:val="18"/>
              </w:rPr>
              <w:t>10.2%</w:t>
            </w:r>
          </w:p>
        </w:tc>
      </w:tr>
      <w:tr w:rsidR="007175D2" w:rsidRPr="00847FAE" w14:paraId="0CDF629A" w14:textId="77777777" w:rsidTr="007175D2">
        <w:trPr>
          <w:cantSplit/>
          <w:trHeight w:val="255"/>
        </w:trPr>
        <w:tc>
          <w:tcPr>
            <w:tcW w:w="3791" w:type="dxa"/>
            <w:gridSpan w:val="6"/>
            <w:tcBorders>
              <w:top w:val="nil"/>
              <w:left w:val="nil"/>
              <w:bottom w:val="nil"/>
              <w:right w:val="nil"/>
            </w:tcBorders>
            <w:noWrap/>
          </w:tcPr>
          <w:p w14:paraId="1D65001D"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Other applications</w:t>
            </w:r>
          </w:p>
        </w:tc>
        <w:tc>
          <w:tcPr>
            <w:tcW w:w="1063" w:type="dxa"/>
            <w:gridSpan w:val="2"/>
            <w:tcBorders>
              <w:top w:val="nil"/>
              <w:left w:val="nil"/>
              <w:bottom w:val="nil"/>
              <w:right w:val="nil"/>
            </w:tcBorders>
            <w:noWrap/>
            <w:vAlign w:val="center"/>
          </w:tcPr>
          <w:p w14:paraId="46C20FC2" w14:textId="77777777" w:rsidR="007175D2" w:rsidRPr="00847FAE" w:rsidRDefault="007175D2" w:rsidP="00FD6F91">
            <w:pPr>
              <w:jc w:val="center"/>
              <w:rPr>
                <w:rFonts w:cs="Calibri"/>
                <w:color w:val="000000"/>
                <w:sz w:val="18"/>
                <w:szCs w:val="18"/>
              </w:rPr>
            </w:pPr>
            <w:r w:rsidRPr="00847FAE">
              <w:rPr>
                <w:rFonts w:cs="Calibri"/>
                <w:color w:val="000000"/>
                <w:sz w:val="18"/>
                <w:szCs w:val="18"/>
              </w:rPr>
              <w:t>1,972</w:t>
            </w:r>
          </w:p>
        </w:tc>
        <w:tc>
          <w:tcPr>
            <w:tcW w:w="1063" w:type="dxa"/>
            <w:tcBorders>
              <w:top w:val="nil"/>
              <w:left w:val="nil"/>
              <w:bottom w:val="nil"/>
              <w:right w:val="nil"/>
            </w:tcBorders>
            <w:shd w:val="clear" w:color="auto" w:fill="FFFFFF" w:themeFill="background1"/>
            <w:noWrap/>
            <w:vAlign w:val="center"/>
          </w:tcPr>
          <w:p w14:paraId="1DE35A4C" w14:textId="77777777" w:rsidR="007175D2" w:rsidRPr="00847FAE" w:rsidRDefault="007175D2" w:rsidP="00FD6F91">
            <w:pPr>
              <w:jc w:val="center"/>
              <w:rPr>
                <w:rFonts w:cs="Calibri"/>
                <w:color w:val="000000"/>
                <w:sz w:val="18"/>
                <w:szCs w:val="18"/>
              </w:rPr>
            </w:pPr>
            <w:r w:rsidRPr="00847FAE">
              <w:rPr>
                <w:rFonts w:cs="Calibri"/>
                <w:color w:val="000000"/>
                <w:sz w:val="18"/>
                <w:szCs w:val="18"/>
              </w:rPr>
              <w:t>2.2%</w:t>
            </w:r>
          </w:p>
        </w:tc>
        <w:tc>
          <w:tcPr>
            <w:tcW w:w="1063" w:type="dxa"/>
            <w:tcBorders>
              <w:top w:val="nil"/>
              <w:left w:val="nil"/>
              <w:bottom w:val="nil"/>
              <w:right w:val="nil"/>
            </w:tcBorders>
            <w:shd w:val="clear" w:color="auto" w:fill="FFFFFF" w:themeFill="background1"/>
            <w:noWrap/>
            <w:vAlign w:val="center"/>
          </w:tcPr>
          <w:p w14:paraId="360BE0C3" w14:textId="77777777" w:rsidR="007175D2" w:rsidRPr="00847FAE" w:rsidRDefault="007175D2" w:rsidP="00FD6F91">
            <w:pPr>
              <w:jc w:val="center"/>
              <w:rPr>
                <w:rFonts w:cs="Calibri"/>
                <w:color w:val="000000"/>
                <w:sz w:val="18"/>
                <w:szCs w:val="18"/>
              </w:rPr>
            </w:pPr>
            <w:r w:rsidRPr="00847FAE">
              <w:rPr>
                <w:rFonts w:cs="Calibri"/>
                <w:color w:val="000000"/>
                <w:sz w:val="18"/>
                <w:szCs w:val="18"/>
              </w:rPr>
              <w:t>1,644</w:t>
            </w:r>
          </w:p>
        </w:tc>
        <w:tc>
          <w:tcPr>
            <w:tcW w:w="1063" w:type="dxa"/>
            <w:tcBorders>
              <w:top w:val="nil"/>
              <w:left w:val="nil"/>
              <w:bottom w:val="nil"/>
              <w:right w:val="nil"/>
            </w:tcBorders>
            <w:shd w:val="clear" w:color="auto" w:fill="FFFFFF" w:themeFill="background1"/>
            <w:noWrap/>
            <w:vAlign w:val="center"/>
          </w:tcPr>
          <w:p w14:paraId="00BA79CD" w14:textId="77777777" w:rsidR="007175D2" w:rsidRPr="00847FAE" w:rsidRDefault="007175D2" w:rsidP="00FD6F91">
            <w:pPr>
              <w:jc w:val="center"/>
              <w:rPr>
                <w:rFonts w:cs="Calibri"/>
                <w:color w:val="000000"/>
                <w:sz w:val="18"/>
                <w:szCs w:val="18"/>
              </w:rPr>
            </w:pPr>
            <w:r w:rsidRPr="00847FAE">
              <w:rPr>
                <w:rFonts w:cs="Calibri"/>
                <w:color w:val="000000"/>
                <w:sz w:val="18"/>
                <w:szCs w:val="18"/>
              </w:rPr>
              <w:t>1.0%</w:t>
            </w:r>
          </w:p>
        </w:tc>
      </w:tr>
      <w:tr w:rsidR="007175D2" w:rsidRPr="00847FAE" w14:paraId="38BF3A57" w14:textId="77777777" w:rsidTr="007175D2">
        <w:trPr>
          <w:cantSplit/>
          <w:trHeight w:val="255"/>
        </w:trPr>
        <w:tc>
          <w:tcPr>
            <w:tcW w:w="3791" w:type="dxa"/>
            <w:gridSpan w:val="6"/>
            <w:tcBorders>
              <w:top w:val="nil"/>
              <w:left w:val="nil"/>
              <w:bottom w:val="nil"/>
              <w:right w:val="nil"/>
            </w:tcBorders>
            <w:noWrap/>
          </w:tcPr>
          <w:p w14:paraId="735520DE" w14:textId="77777777" w:rsidR="007175D2" w:rsidRPr="00847FAE" w:rsidRDefault="007175D2" w:rsidP="00FD6F91">
            <w:pPr>
              <w:widowControl w:val="0"/>
              <w:rPr>
                <w:rFonts w:cs="Calibri"/>
                <w:iCs/>
                <w:color w:val="000000"/>
                <w:sz w:val="18"/>
                <w:szCs w:val="18"/>
                <w:vertAlign w:val="superscript"/>
              </w:rPr>
            </w:pPr>
            <w:r w:rsidRPr="00847FAE">
              <w:rPr>
                <w:rFonts w:cs="Calibri"/>
                <w:iCs/>
                <w:color w:val="000000"/>
                <w:sz w:val="18"/>
                <w:szCs w:val="18"/>
              </w:rPr>
              <w:t>Criminal complaints</w:t>
            </w:r>
            <w:r w:rsidRPr="00847FAE">
              <w:rPr>
                <w:rFonts w:cs="Calibri"/>
                <w:iCs/>
                <w:color w:val="000000"/>
                <w:sz w:val="18"/>
                <w:szCs w:val="18"/>
                <w:vertAlign w:val="superscript"/>
              </w:rPr>
              <w:t>1</w:t>
            </w:r>
          </w:p>
        </w:tc>
        <w:tc>
          <w:tcPr>
            <w:tcW w:w="1063" w:type="dxa"/>
            <w:gridSpan w:val="2"/>
            <w:tcBorders>
              <w:top w:val="nil"/>
              <w:left w:val="nil"/>
              <w:bottom w:val="nil"/>
              <w:right w:val="nil"/>
            </w:tcBorders>
            <w:noWrap/>
            <w:vAlign w:val="center"/>
          </w:tcPr>
          <w:p w14:paraId="23DAD5B8"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1,370</w:t>
            </w:r>
          </w:p>
        </w:tc>
        <w:tc>
          <w:tcPr>
            <w:tcW w:w="1063" w:type="dxa"/>
            <w:tcBorders>
              <w:top w:val="nil"/>
              <w:left w:val="nil"/>
              <w:bottom w:val="nil"/>
              <w:right w:val="nil"/>
            </w:tcBorders>
            <w:shd w:val="clear" w:color="auto" w:fill="FFFFFF" w:themeFill="background1"/>
            <w:noWrap/>
            <w:vAlign w:val="center"/>
          </w:tcPr>
          <w:p w14:paraId="1D45AB11"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6.8%</w:t>
            </w:r>
          </w:p>
        </w:tc>
        <w:tc>
          <w:tcPr>
            <w:tcW w:w="1063" w:type="dxa"/>
            <w:tcBorders>
              <w:top w:val="nil"/>
              <w:left w:val="nil"/>
              <w:bottom w:val="nil"/>
              <w:right w:val="nil"/>
            </w:tcBorders>
            <w:shd w:val="clear" w:color="auto" w:fill="FFFFFF" w:themeFill="background1"/>
            <w:noWrap/>
            <w:vAlign w:val="center"/>
          </w:tcPr>
          <w:p w14:paraId="14C07FFF"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1,347</w:t>
            </w:r>
          </w:p>
        </w:tc>
        <w:tc>
          <w:tcPr>
            <w:tcW w:w="1063" w:type="dxa"/>
            <w:tcBorders>
              <w:top w:val="nil"/>
              <w:left w:val="nil"/>
              <w:bottom w:val="nil"/>
              <w:right w:val="nil"/>
            </w:tcBorders>
            <w:shd w:val="clear" w:color="auto" w:fill="FFFFFF" w:themeFill="background1"/>
            <w:noWrap/>
            <w:vAlign w:val="center"/>
          </w:tcPr>
          <w:p w14:paraId="37FB24CA"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21.4%</w:t>
            </w:r>
          </w:p>
        </w:tc>
      </w:tr>
      <w:tr w:rsidR="007175D2" w:rsidRPr="00847FAE" w14:paraId="774BF7B4" w14:textId="77777777" w:rsidTr="007175D2">
        <w:trPr>
          <w:cantSplit/>
          <w:trHeight w:val="255"/>
        </w:trPr>
        <w:tc>
          <w:tcPr>
            <w:tcW w:w="3791" w:type="dxa"/>
            <w:gridSpan w:val="6"/>
            <w:tcBorders>
              <w:top w:val="nil"/>
              <w:left w:val="nil"/>
              <w:bottom w:val="nil"/>
              <w:right w:val="nil"/>
            </w:tcBorders>
            <w:noWrap/>
          </w:tcPr>
          <w:p w14:paraId="4D6D253E" w14:textId="48382DF1" w:rsidR="007175D2" w:rsidRPr="00847FAE" w:rsidRDefault="007175D2" w:rsidP="00FD6F91">
            <w:pPr>
              <w:widowControl w:val="0"/>
              <w:rPr>
                <w:rFonts w:cs="Calibri"/>
                <w:i/>
                <w:iCs/>
                <w:color w:val="000000"/>
                <w:sz w:val="18"/>
                <w:szCs w:val="18"/>
              </w:rPr>
            </w:pPr>
            <w:r w:rsidRPr="00847FAE">
              <w:rPr>
                <w:rFonts w:cs="Calibri"/>
                <w:i/>
                <w:iCs/>
                <w:color w:val="000000"/>
                <w:sz w:val="18"/>
                <w:szCs w:val="18"/>
              </w:rPr>
              <w:t>Committal Proceedings</w:t>
            </w:r>
          </w:p>
        </w:tc>
        <w:tc>
          <w:tcPr>
            <w:tcW w:w="1063" w:type="dxa"/>
            <w:gridSpan w:val="2"/>
            <w:tcBorders>
              <w:top w:val="nil"/>
              <w:left w:val="nil"/>
              <w:bottom w:val="nil"/>
              <w:right w:val="nil"/>
            </w:tcBorders>
            <w:noWrap/>
            <w:vAlign w:val="center"/>
          </w:tcPr>
          <w:p w14:paraId="6F3A86F9" w14:textId="77777777" w:rsidR="007175D2" w:rsidRPr="00847FAE" w:rsidRDefault="007175D2" w:rsidP="00FD6F91">
            <w:pPr>
              <w:jc w:val="center"/>
              <w:rPr>
                <w:rFonts w:cs="Calibri"/>
                <w:color w:val="000000"/>
                <w:sz w:val="18"/>
                <w:szCs w:val="18"/>
              </w:rPr>
            </w:pPr>
            <w:r w:rsidRPr="00847FAE">
              <w:rPr>
                <w:rFonts w:cs="Calibri"/>
                <w:color w:val="000000"/>
                <w:sz w:val="18"/>
                <w:szCs w:val="18"/>
              </w:rPr>
              <w:t>na</w:t>
            </w:r>
          </w:p>
        </w:tc>
        <w:tc>
          <w:tcPr>
            <w:tcW w:w="1063" w:type="dxa"/>
            <w:tcBorders>
              <w:top w:val="nil"/>
              <w:left w:val="nil"/>
              <w:bottom w:val="nil"/>
              <w:right w:val="nil"/>
            </w:tcBorders>
            <w:shd w:val="clear" w:color="auto" w:fill="FFFFFF" w:themeFill="background1"/>
            <w:noWrap/>
            <w:vAlign w:val="center"/>
          </w:tcPr>
          <w:p w14:paraId="3358FB4A" w14:textId="77777777" w:rsidR="007175D2" w:rsidRPr="00847FAE" w:rsidRDefault="007175D2" w:rsidP="00FD6F91">
            <w:pPr>
              <w:jc w:val="center"/>
              <w:rPr>
                <w:rFonts w:cs="Calibri"/>
                <w:color w:val="000000"/>
                <w:sz w:val="18"/>
                <w:szCs w:val="18"/>
              </w:rPr>
            </w:pPr>
            <w:r w:rsidRPr="00847FAE">
              <w:rPr>
                <w:rFonts w:cs="Calibri"/>
                <w:color w:val="000000"/>
                <w:sz w:val="18"/>
                <w:szCs w:val="18"/>
              </w:rPr>
              <w:t>na</w:t>
            </w:r>
          </w:p>
        </w:tc>
        <w:tc>
          <w:tcPr>
            <w:tcW w:w="1063" w:type="dxa"/>
            <w:tcBorders>
              <w:top w:val="nil"/>
              <w:left w:val="nil"/>
              <w:bottom w:val="nil"/>
              <w:right w:val="nil"/>
            </w:tcBorders>
            <w:shd w:val="clear" w:color="auto" w:fill="FFFFFF" w:themeFill="background1"/>
            <w:noWrap/>
            <w:vAlign w:val="center"/>
          </w:tcPr>
          <w:p w14:paraId="77AD1108" w14:textId="77777777" w:rsidR="007175D2" w:rsidRPr="00847FAE" w:rsidRDefault="007175D2" w:rsidP="00FD6F91">
            <w:pPr>
              <w:jc w:val="center"/>
              <w:rPr>
                <w:rFonts w:cs="Calibri"/>
                <w:color w:val="000000"/>
                <w:sz w:val="18"/>
                <w:szCs w:val="18"/>
              </w:rPr>
            </w:pPr>
            <w:r w:rsidRPr="00847FAE">
              <w:rPr>
                <w:rFonts w:cs="Calibri"/>
                <w:color w:val="000000"/>
                <w:sz w:val="18"/>
                <w:szCs w:val="18"/>
              </w:rPr>
              <w:t>12</w:t>
            </w:r>
          </w:p>
        </w:tc>
        <w:tc>
          <w:tcPr>
            <w:tcW w:w="1063" w:type="dxa"/>
            <w:tcBorders>
              <w:top w:val="nil"/>
              <w:left w:val="nil"/>
              <w:bottom w:val="nil"/>
              <w:right w:val="nil"/>
            </w:tcBorders>
            <w:shd w:val="clear" w:color="auto" w:fill="FFFFFF" w:themeFill="background1"/>
            <w:noWrap/>
            <w:vAlign w:val="center"/>
          </w:tcPr>
          <w:p w14:paraId="4573673A" w14:textId="77777777" w:rsidR="007175D2" w:rsidRPr="00847FAE" w:rsidRDefault="007175D2" w:rsidP="00FD6F91">
            <w:pPr>
              <w:jc w:val="center"/>
              <w:rPr>
                <w:rFonts w:cs="Calibri"/>
                <w:color w:val="000000"/>
                <w:sz w:val="18"/>
                <w:szCs w:val="18"/>
              </w:rPr>
            </w:pPr>
            <w:r w:rsidRPr="00847FAE">
              <w:rPr>
                <w:rFonts w:cs="Calibri"/>
                <w:color w:val="000000"/>
                <w:sz w:val="18"/>
                <w:szCs w:val="18"/>
              </w:rPr>
              <w:t>0.0%</w:t>
            </w:r>
          </w:p>
        </w:tc>
      </w:tr>
      <w:tr w:rsidR="007175D2" w:rsidRPr="00847FAE" w14:paraId="68B206C8" w14:textId="77777777" w:rsidTr="007175D2">
        <w:trPr>
          <w:cantSplit/>
          <w:trHeight w:val="255"/>
        </w:trPr>
        <w:tc>
          <w:tcPr>
            <w:tcW w:w="3791" w:type="dxa"/>
            <w:gridSpan w:val="6"/>
            <w:tcBorders>
              <w:top w:val="nil"/>
              <w:left w:val="nil"/>
              <w:bottom w:val="nil"/>
              <w:right w:val="nil"/>
            </w:tcBorders>
            <w:noWrap/>
          </w:tcPr>
          <w:p w14:paraId="71769357"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Breaches of orders</w:t>
            </w:r>
            <w:r w:rsidRPr="00847FAE">
              <w:rPr>
                <w:rFonts w:cs="Calibri"/>
                <w:iCs/>
                <w:color w:val="000000"/>
                <w:sz w:val="18"/>
                <w:szCs w:val="18"/>
                <w:vertAlign w:val="superscript"/>
              </w:rPr>
              <w:t>2</w:t>
            </w:r>
          </w:p>
        </w:tc>
        <w:tc>
          <w:tcPr>
            <w:tcW w:w="1063" w:type="dxa"/>
            <w:gridSpan w:val="2"/>
            <w:tcBorders>
              <w:top w:val="nil"/>
              <w:left w:val="nil"/>
              <w:bottom w:val="nil"/>
              <w:right w:val="nil"/>
            </w:tcBorders>
            <w:noWrap/>
            <w:vAlign w:val="center"/>
          </w:tcPr>
          <w:p w14:paraId="6CFF55C2" w14:textId="77777777" w:rsidR="007175D2" w:rsidRPr="00847FAE" w:rsidRDefault="007175D2" w:rsidP="00FD6F91">
            <w:pPr>
              <w:jc w:val="center"/>
              <w:rPr>
                <w:rFonts w:cs="Calibri"/>
                <w:color w:val="000000"/>
                <w:sz w:val="18"/>
                <w:szCs w:val="18"/>
              </w:rPr>
            </w:pPr>
            <w:r w:rsidRPr="00847FAE">
              <w:rPr>
                <w:rFonts w:cs="Calibri"/>
                <w:color w:val="000000"/>
                <w:sz w:val="18"/>
                <w:szCs w:val="18"/>
              </w:rPr>
              <w:t>199</w:t>
            </w:r>
          </w:p>
        </w:tc>
        <w:tc>
          <w:tcPr>
            <w:tcW w:w="1063" w:type="dxa"/>
            <w:tcBorders>
              <w:top w:val="nil"/>
              <w:left w:val="nil"/>
              <w:bottom w:val="nil"/>
              <w:right w:val="nil"/>
            </w:tcBorders>
            <w:shd w:val="clear" w:color="auto" w:fill="FFFFFF" w:themeFill="background1"/>
            <w:noWrap/>
            <w:vAlign w:val="center"/>
          </w:tcPr>
          <w:p w14:paraId="1A89D5B6" w14:textId="77777777" w:rsidR="007175D2" w:rsidRPr="00847FAE" w:rsidRDefault="007175D2" w:rsidP="00FD6F91">
            <w:pPr>
              <w:jc w:val="center"/>
              <w:rPr>
                <w:rFonts w:cs="Calibri"/>
                <w:color w:val="000000"/>
                <w:sz w:val="18"/>
                <w:szCs w:val="18"/>
              </w:rPr>
            </w:pPr>
            <w:r w:rsidRPr="00847FAE">
              <w:rPr>
                <w:rFonts w:cs="Calibri"/>
                <w:color w:val="000000"/>
                <w:sz w:val="18"/>
                <w:szCs w:val="18"/>
              </w:rPr>
              <w:t>-20.1%</w:t>
            </w:r>
          </w:p>
        </w:tc>
        <w:tc>
          <w:tcPr>
            <w:tcW w:w="1063" w:type="dxa"/>
            <w:tcBorders>
              <w:top w:val="nil"/>
              <w:left w:val="nil"/>
              <w:bottom w:val="nil"/>
              <w:right w:val="nil"/>
            </w:tcBorders>
            <w:shd w:val="clear" w:color="auto" w:fill="FFFFFF" w:themeFill="background1"/>
            <w:noWrap/>
            <w:vAlign w:val="center"/>
          </w:tcPr>
          <w:p w14:paraId="34D85FB0" w14:textId="77777777" w:rsidR="007175D2" w:rsidRPr="00847FAE" w:rsidRDefault="007175D2" w:rsidP="00FD6F91">
            <w:pPr>
              <w:jc w:val="center"/>
              <w:rPr>
                <w:rFonts w:cs="Calibri"/>
                <w:color w:val="000000"/>
                <w:sz w:val="18"/>
                <w:szCs w:val="18"/>
              </w:rPr>
            </w:pPr>
            <w:r w:rsidRPr="00847FAE">
              <w:rPr>
                <w:rFonts w:cs="Calibri"/>
                <w:color w:val="000000"/>
                <w:sz w:val="18"/>
                <w:szCs w:val="18"/>
              </w:rPr>
              <w:t>209</w:t>
            </w:r>
          </w:p>
        </w:tc>
        <w:tc>
          <w:tcPr>
            <w:tcW w:w="1063" w:type="dxa"/>
            <w:tcBorders>
              <w:top w:val="nil"/>
              <w:left w:val="nil"/>
              <w:bottom w:val="nil"/>
              <w:right w:val="nil"/>
            </w:tcBorders>
            <w:shd w:val="clear" w:color="auto" w:fill="FFFFFF" w:themeFill="background1"/>
            <w:noWrap/>
            <w:vAlign w:val="center"/>
          </w:tcPr>
          <w:p w14:paraId="6BDBC218" w14:textId="77777777" w:rsidR="007175D2" w:rsidRPr="00847FAE" w:rsidRDefault="007175D2" w:rsidP="00FD6F91">
            <w:pPr>
              <w:jc w:val="center"/>
              <w:rPr>
                <w:rFonts w:cs="Calibri"/>
                <w:color w:val="000000"/>
                <w:sz w:val="18"/>
                <w:szCs w:val="18"/>
              </w:rPr>
            </w:pPr>
            <w:r w:rsidRPr="00847FAE">
              <w:rPr>
                <w:rFonts w:cs="Calibri"/>
                <w:color w:val="000000"/>
                <w:sz w:val="18"/>
                <w:szCs w:val="18"/>
              </w:rPr>
              <w:t>-10.7%</w:t>
            </w:r>
          </w:p>
        </w:tc>
      </w:tr>
      <w:tr w:rsidR="007175D2" w:rsidRPr="00847FAE" w14:paraId="26913FBE" w14:textId="77777777" w:rsidTr="007175D2">
        <w:trPr>
          <w:cantSplit/>
          <w:trHeight w:val="255"/>
        </w:trPr>
        <w:tc>
          <w:tcPr>
            <w:tcW w:w="3791" w:type="dxa"/>
            <w:gridSpan w:val="6"/>
            <w:tcBorders>
              <w:top w:val="nil"/>
              <w:left w:val="nil"/>
              <w:bottom w:val="single" w:sz="4" w:space="0" w:color="auto"/>
              <w:right w:val="nil"/>
            </w:tcBorders>
            <w:noWrap/>
          </w:tcPr>
          <w:p w14:paraId="732581C0"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Other applications</w:t>
            </w:r>
          </w:p>
        </w:tc>
        <w:tc>
          <w:tcPr>
            <w:tcW w:w="1063" w:type="dxa"/>
            <w:gridSpan w:val="2"/>
            <w:tcBorders>
              <w:top w:val="nil"/>
              <w:left w:val="nil"/>
              <w:bottom w:val="single" w:sz="4" w:space="0" w:color="auto"/>
              <w:right w:val="nil"/>
            </w:tcBorders>
            <w:noWrap/>
            <w:vAlign w:val="center"/>
          </w:tcPr>
          <w:p w14:paraId="00EFA342" w14:textId="77777777" w:rsidR="007175D2" w:rsidRPr="00847FAE" w:rsidRDefault="007175D2" w:rsidP="00FD6F91">
            <w:pPr>
              <w:jc w:val="center"/>
              <w:rPr>
                <w:rFonts w:cs="Calibri"/>
                <w:color w:val="000000"/>
                <w:sz w:val="18"/>
                <w:szCs w:val="18"/>
              </w:rPr>
            </w:pPr>
            <w:r w:rsidRPr="00847FAE">
              <w:rPr>
                <w:rFonts w:cs="Calibri"/>
                <w:color w:val="000000"/>
                <w:sz w:val="18"/>
                <w:szCs w:val="18"/>
              </w:rPr>
              <w:t>116</w:t>
            </w:r>
          </w:p>
        </w:tc>
        <w:tc>
          <w:tcPr>
            <w:tcW w:w="1063" w:type="dxa"/>
            <w:tcBorders>
              <w:top w:val="nil"/>
              <w:left w:val="nil"/>
              <w:bottom w:val="single" w:sz="4" w:space="0" w:color="auto"/>
              <w:right w:val="nil"/>
            </w:tcBorders>
            <w:shd w:val="clear" w:color="auto" w:fill="FFFFFF" w:themeFill="background1"/>
            <w:noWrap/>
            <w:vAlign w:val="center"/>
          </w:tcPr>
          <w:p w14:paraId="0456BBE0" w14:textId="77777777" w:rsidR="007175D2" w:rsidRPr="00847FAE" w:rsidRDefault="007175D2" w:rsidP="00FD6F91">
            <w:pPr>
              <w:jc w:val="center"/>
              <w:rPr>
                <w:rFonts w:cs="Calibri"/>
                <w:color w:val="000000"/>
                <w:sz w:val="18"/>
                <w:szCs w:val="18"/>
              </w:rPr>
            </w:pPr>
            <w:r w:rsidRPr="00847FAE">
              <w:rPr>
                <w:rFonts w:cs="Calibri"/>
                <w:color w:val="000000"/>
                <w:sz w:val="18"/>
                <w:szCs w:val="18"/>
              </w:rPr>
              <w:t>18.4%</w:t>
            </w:r>
          </w:p>
        </w:tc>
        <w:tc>
          <w:tcPr>
            <w:tcW w:w="1063" w:type="dxa"/>
            <w:tcBorders>
              <w:top w:val="nil"/>
              <w:left w:val="nil"/>
              <w:bottom w:val="single" w:sz="4" w:space="0" w:color="auto"/>
              <w:right w:val="nil"/>
            </w:tcBorders>
            <w:shd w:val="clear" w:color="auto" w:fill="FFFFFF" w:themeFill="background1"/>
            <w:noWrap/>
            <w:vAlign w:val="center"/>
          </w:tcPr>
          <w:p w14:paraId="0E7229E4" w14:textId="77777777" w:rsidR="007175D2" w:rsidRPr="00847FAE" w:rsidRDefault="007175D2" w:rsidP="00FD6F91">
            <w:pPr>
              <w:jc w:val="center"/>
              <w:rPr>
                <w:rFonts w:cs="Calibri"/>
                <w:color w:val="000000"/>
                <w:sz w:val="18"/>
                <w:szCs w:val="18"/>
              </w:rPr>
            </w:pPr>
            <w:r w:rsidRPr="00847FAE">
              <w:rPr>
                <w:rFonts w:cs="Calibri"/>
                <w:color w:val="000000"/>
                <w:sz w:val="18"/>
                <w:szCs w:val="18"/>
              </w:rPr>
              <w:t>88</w:t>
            </w:r>
          </w:p>
        </w:tc>
        <w:tc>
          <w:tcPr>
            <w:tcW w:w="1063" w:type="dxa"/>
            <w:tcBorders>
              <w:top w:val="nil"/>
              <w:left w:val="nil"/>
              <w:bottom w:val="single" w:sz="4" w:space="0" w:color="auto"/>
              <w:right w:val="nil"/>
            </w:tcBorders>
            <w:shd w:val="clear" w:color="auto" w:fill="FFFFFF" w:themeFill="background1"/>
            <w:noWrap/>
            <w:vAlign w:val="center"/>
          </w:tcPr>
          <w:p w14:paraId="4CBDC090" w14:textId="77777777" w:rsidR="007175D2" w:rsidRPr="00847FAE" w:rsidRDefault="007175D2" w:rsidP="00FD6F91">
            <w:pPr>
              <w:jc w:val="center"/>
              <w:rPr>
                <w:rFonts w:cs="Calibri"/>
                <w:color w:val="000000"/>
                <w:sz w:val="18"/>
                <w:szCs w:val="18"/>
              </w:rPr>
            </w:pPr>
            <w:r w:rsidRPr="00847FAE">
              <w:rPr>
                <w:rFonts w:cs="Calibri"/>
                <w:color w:val="000000"/>
                <w:sz w:val="18"/>
                <w:szCs w:val="18"/>
              </w:rPr>
              <w:t>6.0%</w:t>
            </w:r>
          </w:p>
        </w:tc>
      </w:tr>
      <w:tr w:rsidR="007175D2" w:rsidRPr="00847FAE" w14:paraId="16F557E8" w14:textId="77777777" w:rsidTr="007175D2">
        <w:trPr>
          <w:cantSplit/>
          <w:trHeight w:val="255"/>
        </w:trPr>
        <w:tc>
          <w:tcPr>
            <w:tcW w:w="3791" w:type="dxa"/>
            <w:gridSpan w:val="6"/>
            <w:tcBorders>
              <w:top w:val="nil"/>
              <w:left w:val="nil"/>
              <w:bottom w:val="nil"/>
              <w:right w:val="nil"/>
            </w:tcBorders>
            <w:noWrap/>
          </w:tcPr>
          <w:p w14:paraId="5946C1DC"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Civil claims (inc. minor civil, residential tenancy)</w:t>
            </w:r>
            <w:r w:rsidRPr="00847FAE">
              <w:rPr>
                <w:rFonts w:cs="Calibri"/>
                <w:iCs/>
                <w:color w:val="000000"/>
                <w:sz w:val="18"/>
                <w:szCs w:val="18"/>
                <w:vertAlign w:val="superscript"/>
              </w:rPr>
              <w:t>3</w:t>
            </w:r>
            <w:r w:rsidRPr="00847FAE">
              <w:rPr>
                <w:rFonts w:cs="Calibri"/>
                <w:iCs/>
                <w:color w:val="000000"/>
                <w:sz w:val="18"/>
                <w:szCs w:val="18"/>
              </w:rPr>
              <w:t xml:space="preserve"> </w:t>
            </w:r>
          </w:p>
        </w:tc>
        <w:tc>
          <w:tcPr>
            <w:tcW w:w="1063" w:type="dxa"/>
            <w:gridSpan w:val="2"/>
            <w:tcBorders>
              <w:top w:val="nil"/>
              <w:left w:val="nil"/>
              <w:bottom w:val="nil"/>
              <w:right w:val="nil"/>
            </w:tcBorders>
            <w:noWrap/>
            <w:vAlign w:val="center"/>
          </w:tcPr>
          <w:p w14:paraId="0A87F67B" w14:textId="77777777" w:rsidR="007175D2" w:rsidRPr="00847FAE" w:rsidRDefault="007175D2" w:rsidP="00FD6F91">
            <w:pPr>
              <w:jc w:val="center"/>
              <w:rPr>
                <w:rFonts w:cs="Calibri"/>
                <w:sz w:val="18"/>
                <w:szCs w:val="18"/>
              </w:rPr>
            </w:pPr>
            <w:r w:rsidRPr="00847FAE">
              <w:rPr>
                <w:rFonts w:cs="Calibri"/>
                <w:sz w:val="18"/>
                <w:szCs w:val="18"/>
              </w:rPr>
              <w:t>3,756</w:t>
            </w:r>
          </w:p>
        </w:tc>
        <w:tc>
          <w:tcPr>
            <w:tcW w:w="1063" w:type="dxa"/>
            <w:tcBorders>
              <w:top w:val="nil"/>
              <w:left w:val="nil"/>
              <w:bottom w:val="nil"/>
              <w:right w:val="nil"/>
            </w:tcBorders>
            <w:shd w:val="clear" w:color="auto" w:fill="FFFFFF" w:themeFill="background1"/>
            <w:noWrap/>
            <w:vAlign w:val="center"/>
          </w:tcPr>
          <w:p w14:paraId="1D079332" w14:textId="77777777" w:rsidR="007175D2" w:rsidRPr="00847FAE" w:rsidRDefault="007175D2" w:rsidP="00FD6F91">
            <w:pPr>
              <w:jc w:val="center"/>
              <w:rPr>
                <w:rFonts w:cs="Calibri"/>
                <w:sz w:val="18"/>
                <w:szCs w:val="18"/>
              </w:rPr>
            </w:pPr>
            <w:r w:rsidRPr="00847FAE">
              <w:rPr>
                <w:rFonts w:cs="Calibri"/>
                <w:sz w:val="18"/>
                <w:szCs w:val="18"/>
              </w:rPr>
              <w:t>-2.1%</w:t>
            </w:r>
          </w:p>
        </w:tc>
        <w:tc>
          <w:tcPr>
            <w:tcW w:w="1063" w:type="dxa"/>
            <w:tcBorders>
              <w:top w:val="nil"/>
              <w:left w:val="nil"/>
              <w:bottom w:val="nil"/>
              <w:right w:val="nil"/>
            </w:tcBorders>
            <w:shd w:val="clear" w:color="auto" w:fill="FFFFFF" w:themeFill="background1"/>
            <w:noWrap/>
            <w:vAlign w:val="center"/>
          </w:tcPr>
          <w:p w14:paraId="46A695B8" w14:textId="77777777" w:rsidR="007175D2" w:rsidRPr="00847FAE" w:rsidRDefault="007175D2" w:rsidP="00FD6F91">
            <w:pPr>
              <w:jc w:val="center"/>
              <w:rPr>
                <w:rFonts w:cs="Calibri"/>
                <w:color w:val="000000"/>
                <w:sz w:val="18"/>
                <w:szCs w:val="18"/>
              </w:rPr>
            </w:pPr>
            <w:r w:rsidRPr="00847FAE">
              <w:rPr>
                <w:rFonts w:cs="Calibri"/>
                <w:color w:val="000000"/>
                <w:sz w:val="18"/>
                <w:szCs w:val="18"/>
              </w:rPr>
              <w:t>3,645</w:t>
            </w:r>
          </w:p>
        </w:tc>
        <w:tc>
          <w:tcPr>
            <w:tcW w:w="1063" w:type="dxa"/>
            <w:tcBorders>
              <w:top w:val="nil"/>
              <w:left w:val="nil"/>
              <w:bottom w:val="nil"/>
              <w:right w:val="nil"/>
            </w:tcBorders>
            <w:shd w:val="clear" w:color="auto" w:fill="FFFFFF" w:themeFill="background1"/>
            <w:noWrap/>
            <w:vAlign w:val="center"/>
          </w:tcPr>
          <w:p w14:paraId="7FCA824A" w14:textId="77777777" w:rsidR="007175D2" w:rsidRPr="00847FAE" w:rsidRDefault="007175D2" w:rsidP="00FD6F91">
            <w:pPr>
              <w:jc w:val="center"/>
              <w:rPr>
                <w:rFonts w:cs="Calibri"/>
                <w:color w:val="000000"/>
                <w:sz w:val="18"/>
                <w:szCs w:val="18"/>
              </w:rPr>
            </w:pPr>
            <w:r w:rsidRPr="00847FAE">
              <w:rPr>
                <w:rFonts w:cs="Calibri"/>
                <w:color w:val="000000"/>
                <w:sz w:val="18"/>
                <w:szCs w:val="18"/>
              </w:rPr>
              <w:t>-9.6%</w:t>
            </w:r>
          </w:p>
        </w:tc>
      </w:tr>
      <w:tr w:rsidR="007175D2" w:rsidRPr="00847FAE" w14:paraId="25D19686" w14:textId="77777777" w:rsidTr="007175D2">
        <w:trPr>
          <w:cantSplit/>
          <w:trHeight w:val="255"/>
        </w:trPr>
        <w:tc>
          <w:tcPr>
            <w:tcW w:w="3791" w:type="dxa"/>
            <w:gridSpan w:val="6"/>
            <w:tcBorders>
              <w:top w:val="nil"/>
              <w:left w:val="nil"/>
              <w:bottom w:val="nil"/>
              <w:right w:val="nil"/>
            </w:tcBorders>
            <w:noWrap/>
          </w:tcPr>
          <w:p w14:paraId="19C5D8F1"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Family violence order applications</w:t>
            </w:r>
          </w:p>
        </w:tc>
        <w:tc>
          <w:tcPr>
            <w:tcW w:w="1063" w:type="dxa"/>
            <w:gridSpan w:val="2"/>
            <w:tcBorders>
              <w:top w:val="nil"/>
              <w:left w:val="nil"/>
              <w:bottom w:val="nil"/>
              <w:right w:val="nil"/>
            </w:tcBorders>
            <w:noWrap/>
            <w:vAlign w:val="center"/>
          </w:tcPr>
          <w:p w14:paraId="56205743" w14:textId="77777777" w:rsidR="007175D2" w:rsidRPr="00847FAE" w:rsidRDefault="007175D2" w:rsidP="00FD6F91">
            <w:pPr>
              <w:jc w:val="center"/>
              <w:rPr>
                <w:rFonts w:cs="Calibri"/>
                <w:sz w:val="18"/>
                <w:szCs w:val="18"/>
              </w:rPr>
            </w:pPr>
            <w:r w:rsidRPr="00847FAE">
              <w:rPr>
                <w:rFonts w:cs="Calibri"/>
                <w:sz w:val="18"/>
                <w:szCs w:val="18"/>
              </w:rPr>
              <w:t>1,172</w:t>
            </w:r>
          </w:p>
        </w:tc>
        <w:tc>
          <w:tcPr>
            <w:tcW w:w="1063" w:type="dxa"/>
            <w:tcBorders>
              <w:top w:val="nil"/>
              <w:left w:val="nil"/>
              <w:bottom w:val="nil"/>
              <w:right w:val="nil"/>
            </w:tcBorders>
            <w:shd w:val="clear" w:color="auto" w:fill="FFFFFF" w:themeFill="background1"/>
            <w:noWrap/>
            <w:vAlign w:val="center"/>
          </w:tcPr>
          <w:p w14:paraId="31C08AA5" w14:textId="7691B715" w:rsidR="007175D2" w:rsidRPr="00847FAE" w:rsidRDefault="007175D2" w:rsidP="0096420A">
            <w:pPr>
              <w:jc w:val="center"/>
              <w:rPr>
                <w:rFonts w:cs="Calibri"/>
                <w:sz w:val="18"/>
                <w:szCs w:val="18"/>
              </w:rPr>
            </w:pPr>
            <w:r w:rsidRPr="00847FAE">
              <w:rPr>
                <w:rFonts w:cs="Calibri"/>
                <w:sz w:val="18"/>
                <w:szCs w:val="18"/>
              </w:rPr>
              <w:t>10.</w:t>
            </w:r>
            <w:r>
              <w:rPr>
                <w:rFonts w:cs="Calibri"/>
                <w:sz w:val="18"/>
                <w:szCs w:val="18"/>
              </w:rPr>
              <w:t>8</w:t>
            </w:r>
            <w:r w:rsidRPr="00847FAE">
              <w:rPr>
                <w:rFonts w:cs="Calibri"/>
                <w:sz w:val="18"/>
                <w:szCs w:val="18"/>
              </w:rPr>
              <w:t>%</w:t>
            </w:r>
          </w:p>
        </w:tc>
        <w:tc>
          <w:tcPr>
            <w:tcW w:w="1063" w:type="dxa"/>
            <w:tcBorders>
              <w:top w:val="nil"/>
              <w:left w:val="nil"/>
              <w:bottom w:val="nil"/>
              <w:right w:val="nil"/>
            </w:tcBorders>
            <w:shd w:val="clear" w:color="auto" w:fill="FFFFFF" w:themeFill="background1"/>
            <w:noWrap/>
            <w:vAlign w:val="center"/>
          </w:tcPr>
          <w:p w14:paraId="4293A599" w14:textId="77777777" w:rsidR="007175D2" w:rsidRPr="00847FAE" w:rsidRDefault="007175D2" w:rsidP="00FD6F91">
            <w:pPr>
              <w:jc w:val="center"/>
              <w:rPr>
                <w:rFonts w:cs="Calibri"/>
                <w:color w:val="000000"/>
                <w:sz w:val="18"/>
                <w:szCs w:val="18"/>
              </w:rPr>
            </w:pPr>
            <w:r w:rsidRPr="00847FAE">
              <w:rPr>
                <w:rFonts w:cs="Calibri"/>
                <w:color w:val="000000"/>
                <w:sz w:val="18"/>
                <w:szCs w:val="18"/>
              </w:rPr>
              <w:t>1,073</w:t>
            </w:r>
          </w:p>
        </w:tc>
        <w:tc>
          <w:tcPr>
            <w:tcW w:w="1063" w:type="dxa"/>
            <w:tcBorders>
              <w:top w:val="nil"/>
              <w:left w:val="nil"/>
              <w:bottom w:val="nil"/>
              <w:right w:val="nil"/>
            </w:tcBorders>
            <w:shd w:val="clear" w:color="auto" w:fill="FFFFFF" w:themeFill="background1"/>
            <w:noWrap/>
            <w:vAlign w:val="center"/>
          </w:tcPr>
          <w:p w14:paraId="3544A743" w14:textId="77777777" w:rsidR="007175D2" w:rsidRPr="00847FAE" w:rsidRDefault="007175D2" w:rsidP="00FD6F91">
            <w:pPr>
              <w:jc w:val="center"/>
              <w:rPr>
                <w:rFonts w:cs="Calibri"/>
                <w:color w:val="000000"/>
                <w:sz w:val="18"/>
                <w:szCs w:val="18"/>
              </w:rPr>
            </w:pPr>
            <w:r w:rsidRPr="00847FAE">
              <w:rPr>
                <w:rFonts w:cs="Calibri"/>
                <w:color w:val="000000"/>
                <w:sz w:val="18"/>
                <w:szCs w:val="18"/>
              </w:rPr>
              <w:t>16.4%</w:t>
            </w:r>
          </w:p>
        </w:tc>
      </w:tr>
      <w:tr w:rsidR="007175D2" w:rsidRPr="00847FAE" w14:paraId="56F12803" w14:textId="77777777" w:rsidTr="007175D2">
        <w:trPr>
          <w:cantSplit/>
          <w:trHeight w:val="255"/>
        </w:trPr>
        <w:tc>
          <w:tcPr>
            <w:tcW w:w="3791" w:type="dxa"/>
            <w:gridSpan w:val="6"/>
            <w:tcBorders>
              <w:top w:val="nil"/>
              <w:left w:val="nil"/>
              <w:bottom w:val="nil"/>
              <w:right w:val="nil"/>
            </w:tcBorders>
            <w:noWrap/>
          </w:tcPr>
          <w:p w14:paraId="2E597747"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Restraint order applications</w:t>
            </w:r>
          </w:p>
        </w:tc>
        <w:tc>
          <w:tcPr>
            <w:tcW w:w="1063" w:type="dxa"/>
            <w:gridSpan w:val="2"/>
            <w:tcBorders>
              <w:top w:val="nil"/>
              <w:left w:val="nil"/>
              <w:bottom w:val="nil"/>
              <w:right w:val="nil"/>
            </w:tcBorders>
            <w:noWrap/>
            <w:vAlign w:val="center"/>
          </w:tcPr>
          <w:p w14:paraId="3941AB72" w14:textId="77777777" w:rsidR="007175D2" w:rsidRPr="00847FAE" w:rsidRDefault="007175D2" w:rsidP="00FD6F91">
            <w:pPr>
              <w:jc w:val="center"/>
              <w:rPr>
                <w:rFonts w:cs="Calibri"/>
                <w:sz w:val="18"/>
                <w:szCs w:val="18"/>
              </w:rPr>
            </w:pPr>
            <w:r w:rsidRPr="00847FAE">
              <w:rPr>
                <w:rFonts w:cs="Calibri"/>
                <w:sz w:val="18"/>
                <w:szCs w:val="18"/>
              </w:rPr>
              <w:t>1,143</w:t>
            </w:r>
          </w:p>
        </w:tc>
        <w:tc>
          <w:tcPr>
            <w:tcW w:w="1063" w:type="dxa"/>
            <w:tcBorders>
              <w:top w:val="nil"/>
              <w:left w:val="nil"/>
              <w:bottom w:val="nil"/>
              <w:right w:val="nil"/>
            </w:tcBorders>
            <w:shd w:val="clear" w:color="auto" w:fill="FFFFFF" w:themeFill="background1"/>
            <w:noWrap/>
            <w:vAlign w:val="center"/>
          </w:tcPr>
          <w:p w14:paraId="275B0749" w14:textId="77777777" w:rsidR="007175D2" w:rsidRPr="00847FAE" w:rsidRDefault="007175D2" w:rsidP="00FD6F91">
            <w:pPr>
              <w:jc w:val="center"/>
              <w:rPr>
                <w:rFonts w:cs="Calibri"/>
                <w:sz w:val="18"/>
                <w:szCs w:val="18"/>
              </w:rPr>
            </w:pPr>
            <w:r w:rsidRPr="00847FAE">
              <w:rPr>
                <w:rFonts w:cs="Calibri"/>
                <w:sz w:val="18"/>
                <w:szCs w:val="18"/>
              </w:rPr>
              <w:t>-8.6%</w:t>
            </w:r>
          </w:p>
        </w:tc>
        <w:tc>
          <w:tcPr>
            <w:tcW w:w="1063" w:type="dxa"/>
            <w:tcBorders>
              <w:top w:val="nil"/>
              <w:left w:val="nil"/>
              <w:bottom w:val="nil"/>
              <w:right w:val="nil"/>
            </w:tcBorders>
            <w:shd w:val="clear" w:color="auto" w:fill="FFFFFF" w:themeFill="background1"/>
            <w:noWrap/>
            <w:vAlign w:val="center"/>
          </w:tcPr>
          <w:p w14:paraId="6A33514F" w14:textId="77777777" w:rsidR="007175D2" w:rsidRPr="00847FAE" w:rsidRDefault="007175D2" w:rsidP="00FD6F91">
            <w:pPr>
              <w:jc w:val="center"/>
              <w:rPr>
                <w:rFonts w:cs="Calibri"/>
                <w:color w:val="000000"/>
                <w:sz w:val="18"/>
                <w:szCs w:val="18"/>
              </w:rPr>
            </w:pPr>
            <w:r w:rsidRPr="00847FAE">
              <w:rPr>
                <w:rFonts w:cs="Calibri"/>
                <w:color w:val="000000"/>
                <w:sz w:val="18"/>
                <w:szCs w:val="18"/>
              </w:rPr>
              <w:t>1,146</w:t>
            </w:r>
          </w:p>
        </w:tc>
        <w:tc>
          <w:tcPr>
            <w:tcW w:w="1063" w:type="dxa"/>
            <w:tcBorders>
              <w:top w:val="nil"/>
              <w:left w:val="nil"/>
              <w:bottom w:val="nil"/>
              <w:right w:val="nil"/>
            </w:tcBorders>
            <w:shd w:val="clear" w:color="auto" w:fill="FFFFFF" w:themeFill="background1"/>
            <w:noWrap/>
            <w:vAlign w:val="center"/>
          </w:tcPr>
          <w:p w14:paraId="4DC34314" w14:textId="77777777" w:rsidR="007175D2" w:rsidRPr="00847FAE" w:rsidRDefault="007175D2" w:rsidP="00FD6F91">
            <w:pPr>
              <w:jc w:val="center"/>
              <w:rPr>
                <w:rFonts w:cs="Calibri"/>
                <w:color w:val="000000"/>
                <w:sz w:val="18"/>
                <w:szCs w:val="18"/>
              </w:rPr>
            </w:pPr>
            <w:r w:rsidRPr="00847FAE">
              <w:rPr>
                <w:rFonts w:cs="Calibri"/>
                <w:color w:val="000000"/>
                <w:sz w:val="18"/>
                <w:szCs w:val="18"/>
              </w:rPr>
              <w:t>3.6%</w:t>
            </w:r>
          </w:p>
        </w:tc>
      </w:tr>
      <w:tr w:rsidR="007175D2" w:rsidRPr="00847FAE" w14:paraId="5581497D" w14:textId="77777777" w:rsidTr="007175D2">
        <w:trPr>
          <w:cantSplit/>
          <w:trHeight w:val="255"/>
        </w:trPr>
        <w:tc>
          <w:tcPr>
            <w:tcW w:w="3791" w:type="dxa"/>
            <w:gridSpan w:val="6"/>
            <w:tcBorders>
              <w:top w:val="nil"/>
              <w:left w:val="nil"/>
              <w:bottom w:val="nil"/>
              <w:right w:val="nil"/>
            </w:tcBorders>
            <w:noWrap/>
          </w:tcPr>
          <w:p w14:paraId="0A2F880A"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Care and protection applications and orders</w:t>
            </w:r>
          </w:p>
        </w:tc>
        <w:tc>
          <w:tcPr>
            <w:tcW w:w="1063" w:type="dxa"/>
            <w:gridSpan w:val="2"/>
            <w:tcBorders>
              <w:top w:val="nil"/>
              <w:left w:val="nil"/>
              <w:bottom w:val="nil"/>
              <w:right w:val="nil"/>
            </w:tcBorders>
            <w:noWrap/>
            <w:vAlign w:val="center"/>
          </w:tcPr>
          <w:p w14:paraId="5C82A6DF" w14:textId="77777777" w:rsidR="007175D2" w:rsidRPr="00847FAE" w:rsidRDefault="007175D2" w:rsidP="00FD6F91">
            <w:pPr>
              <w:jc w:val="center"/>
              <w:rPr>
                <w:rFonts w:cs="Calibri"/>
                <w:sz w:val="18"/>
                <w:szCs w:val="18"/>
              </w:rPr>
            </w:pPr>
            <w:r w:rsidRPr="00847FAE">
              <w:rPr>
                <w:rFonts w:cs="Calibri"/>
                <w:sz w:val="18"/>
                <w:szCs w:val="18"/>
              </w:rPr>
              <w:t>848</w:t>
            </w:r>
          </w:p>
        </w:tc>
        <w:tc>
          <w:tcPr>
            <w:tcW w:w="1063" w:type="dxa"/>
            <w:tcBorders>
              <w:top w:val="nil"/>
              <w:left w:val="nil"/>
              <w:bottom w:val="nil"/>
              <w:right w:val="nil"/>
            </w:tcBorders>
            <w:shd w:val="clear" w:color="auto" w:fill="FFFFFF" w:themeFill="background1"/>
            <w:noWrap/>
            <w:vAlign w:val="center"/>
          </w:tcPr>
          <w:p w14:paraId="1B489E8B" w14:textId="77777777" w:rsidR="007175D2" w:rsidRPr="00847FAE" w:rsidRDefault="007175D2" w:rsidP="00FD6F91">
            <w:pPr>
              <w:jc w:val="center"/>
              <w:rPr>
                <w:rFonts w:cs="Calibri"/>
                <w:sz w:val="18"/>
                <w:szCs w:val="18"/>
              </w:rPr>
            </w:pPr>
            <w:r w:rsidRPr="00847FAE">
              <w:rPr>
                <w:rFonts w:cs="Calibri"/>
                <w:sz w:val="18"/>
                <w:szCs w:val="18"/>
              </w:rPr>
              <w:t>15.3%</w:t>
            </w:r>
          </w:p>
        </w:tc>
        <w:tc>
          <w:tcPr>
            <w:tcW w:w="1063" w:type="dxa"/>
            <w:tcBorders>
              <w:top w:val="nil"/>
              <w:left w:val="nil"/>
              <w:bottom w:val="nil"/>
              <w:right w:val="nil"/>
            </w:tcBorders>
            <w:shd w:val="clear" w:color="auto" w:fill="FFFFFF" w:themeFill="background1"/>
            <w:noWrap/>
            <w:vAlign w:val="center"/>
          </w:tcPr>
          <w:p w14:paraId="4BF6F2B1" w14:textId="77777777" w:rsidR="007175D2" w:rsidRPr="00847FAE" w:rsidRDefault="007175D2" w:rsidP="00FD6F91">
            <w:pPr>
              <w:jc w:val="center"/>
              <w:rPr>
                <w:rFonts w:cs="Calibri"/>
                <w:sz w:val="18"/>
                <w:szCs w:val="18"/>
              </w:rPr>
            </w:pPr>
            <w:r w:rsidRPr="00847FAE">
              <w:rPr>
                <w:rFonts w:cs="Calibri"/>
                <w:sz w:val="18"/>
                <w:szCs w:val="18"/>
              </w:rPr>
              <w:t>758</w:t>
            </w:r>
          </w:p>
        </w:tc>
        <w:tc>
          <w:tcPr>
            <w:tcW w:w="1063" w:type="dxa"/>
            <w:tcBorders>
              <w:top w:val="nil"/>
              <w:left w:val="nil"/>
              <w:bottom w:val="nil"/>
              <w:right w:val="nil"/>
            </w:tcBorders>
            <w:shd w:val="clear" w:color="auto" w:fill="FFFFFF" w:themeFill="background1"/>
            <w:noWrap/>
            <w:vAlign w:val="center"/>
          </w:tcPr>
          <w:p w14:paraId="5BC952FB" w14:textId="77777777" w:rsidR="007175D2" w:rsidRPr="00847FAE" w:rsidRDefault="007175D2" w:rsidP="00FD6F91">
            <w:pPr>
              <w:jc w:val="center"/>
              <w:rPr>
                <w:rFonts w:cs="Calibri"/>
                <w:color w:val="000000"/>
                <w:sz w:val="18"/>
                <w:szCs w:val="18"/>
              </w:rPr>
            </w:pPr>
            <w:r w:rsidRPr="00847FAE">
              <w:rPr>
                <w:rFonts w:cs="Calibri"/>
                <w:color w:val="000000"/>
                <w:sz w:val="18"/>
                <w:szCs w:val="18"/>
              </w:rPr>
              <w:t>23.7%</w:t>
            </w:r>
          </w:p>
        </w:tc>
      </w:tr>
      <w:tr w:rsidR="007175D2" w:rsidRPr="00847FAE" w14:paraId="531DDCE7" w14:textId="77777777" w:rsidTr="007175D2">
        <w:trPr>
          <w:cantSplit/>
          <w:trHeight w:val="255"/>
        </w:trPr>
        <w:tc>
          <w:tcPr>
            <w:tcW w:w="3791" w:type="dxa"/>
            <w:gridSpan w:val="6"/>
            <w:tcBorders>
              <w:top w:val="nil"/>
              <w:left w:val="nil"/>
              <w:bottom w:val="nil"/>
              <w:right w:val="nil"/>
            </w:tcBorders>
            <w:noWrap/>
          </w:tcPr>
          <w:p w14:paraId="5949286D"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Reportable deaths, fires and explosions</w:t>
            </w:r>
          </w:p>
        </w:tc>
        <w:tc>
          <w:tcPr>
            <w:tcW w:w="1063" w:type="dxa"/>
            <w:gridSpan w:val="2"/>
            <w:tcBorders>
              <w:top w:val="nil"/>
              <w:left w:val="nil"/>
              <w:bottom w:val="nil"/>
              <w:right w:val="nil"/>
            </w:tcBorders>
            <w:noWrap/>
            <w:vAlign w:val="center"/>
          </w:tcPr>
          <w:p w14:paraId="66A0C632"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598</w:t>
            </w:r>
          </w:p>
        </w:tc>
        <w:tc>
          <w:tcPr>
            <w:tcW w:w="1063" w:type="dxa"/>
            <w:tcBorders>
              <w:top w:val="nil"/>
              <w:left w:val="nil"/>
              <w:bottom w:val="nil"/>
              <w:right w:val="nil"/>
            </w:tcBorders>
            <w:shd w:val="clear" w:color="auto" w:fill="FFFFFF" w:themeFill="background1"/>
            <w:noWrap/>
            <w:vAlign w:val="center"/>
          </w:tcPr>
          <w:p w14:paraId="40E05BE2"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3.3%</w:t>
            </w:r>
          </w:p>
        </w:tc>
        <w:tc>
          <w:tcPr>
            <w:tcW w:w="1063" w:type="dxa"/>
            <w:tcBorders>
              <w:top w:val="nil"/>
              <w:left w:val="nil"/>
              <w:bottom w:val="nil"/>
              <w:right w:val="nil"/>
            </w:tcBorders>
            <w:shd w:val="clear" w:color="auto" w:fill="FFFFFF" w:themeFill="background1"/>
            <w:noWrap/>
            <w:vAlign w:val="center"/>
          </w:tcPr>
          <w:p w14:paraId="7A31C045"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605</w:t>
            </w:r>
          </w:p>
        </w:tc>
        <w:tc>
          <w:tcPr>
            <w:tcW w:w="1063" w:type="dxa"/>
            <w:tcBorders>
              <w:top w:val="nil"/>
              <w:left w:val="nil"/>
              <w:bottom w:val="nil"/>
              <w:right w:val="nil"/>
            </w:tcBorders>
            <w:shd w:val="clear" w:color="auto" w:fill="FFFFFF" w:themeFill="background1"/>
            <w:noWrap/>
            <w:vAlign w:val="center"/>
          </w:tcPr>
          <w:p w14:paraId="61AA08BB" w14:textId="77777777" w:rsidR="007175D2" w:rsidRPr="00847FAE" w:rsidRDefault="007175D2" w:rsidP="00FD6F91">
            <w:pPr>
              <w:widowControl w:val="0"/>
              <w:jc w:val="center"/>
              <w:rPr>
                <w:rFonts w:cs="Calibri"/>
                <w:iCs/>
                <w:color w:val="000000"/>
                <w:sz w:val="18"/>
                <w:szCs w:val="18"/>
              </w:rPr>
            </w:pPr>
            <w:r w:rsidRPr="00847FAE">
              <w:rPr>
                <w:rFonts w:cs="Calibri"/>
                <w:iCs/>
                <w:color w:val="000000"/>
                <w:sz w:val="18"/>
                <w:szCs w:val="18"/>
              </w:rPr>
              <w:t>4.0%</w:t>
            </w:r>
          </w:p>
        </w:tc>
      </w:tr>
      <w:tr w:rsidR="007175D2" w:rsidRPr="00847FAE" w14:paraId="2D96E3B7" w14:textId="77777777" w:rsidTr="007175D2">
        <w:trPr>
          <w:cantSplit/>
          <w:trHeight w:val="255"/>
        </w:trPr>
        <w:tc>
          <w:tcPr>
            <w:tcW w:w="3791" w:type="dxa"/>
            <w:gridSpan w:val="6"/>
            <w:tcBorders>
              <w:top w:val="nil"/>
              <w:left w:val="nil"/>
              <w:bottom w:val="nil"/>
              <w:right w:val="nil"/>
            </w:tcBorders>
            <w:noWrap/>
          </w:tcPr>
          <w:p w14:paraId="25C4299F"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Administrative Appeals</w:t>
            </w:r>
            <w:r w:rsidRPr="00847FAE">
              <w:rPr>
                <w:rFonts w:cs="Calibri"/>
                <w:iCs/>
                <w:color w:val="000000"/>
                <w:sz w:val="18"/>
                <w:szCs w:val="18"/>
                <w:vertAlign w:val="superscript"/>
              </w:rPr>
              <w:t>3</w:t>
            </w:r>
            <w:r w:rsidRPr="00847FAE">
              <w:rPr>
                <w:rFonts w:cs="Calibri"/>
                <w:iCs/>
                <w:color w:val="000000"/>
                <w:sz w:val="18"/>
                <w:szCs w:val="18"/>
              </w:rPr>
              <w:t xml:space="preserve"> </w:t>
            </w:r>
          </w:p>
        </w:tc>
        <w:tc>
          <w:tcPr>
            <w:tcW w:w="1063" w:type="dxa"/>
            <w:gridSpan w:val="2"/>
            <w:tcBorders>
              <w:top w:val="nil"/>
              <w:left w:val="nil"/>
              <w:bottom w:val="nil"/>
              <w:right w:val="nil"/>
            </w:tcBorders>
            <w:noWrap/>
            <w:vAlign w:val="center"/>
          </w:tcPr>
          <w:p w14:paraId="717D7DFE" w14:textId="77777777" w:rsidR="007175D2" w:rsidRPr="00847FAE" w:rsidRDefault="007175D2" w:rsidP="00FD6F91">
            <w:pPr>
              <w:jc w:val="center"/>
              <w:rPr>
                <w:rFonts w:cs="Calibri"/>
                <w:color w:val="000000"/>
                <w:sz w:val="18"/>
                <w:szCs w:val="18"/>
              </w:rPr>
            </w:pPr>
            <w:r w:rsidRPr="00847FAE">
              <w:rPr>
                <w:rFonts w:cs="Calibri"/>
                <w:color w:val="000000"/>
                <w:sz w:val="18"/>
                <w:szCs w:val="18"/>
              </w:rPr>
              <w:t>36</w:t>
            </w:r>
          </w:p>
        </w:tc>
        <w:tc>
          <w:tcPr>
            <w:tcW w:w="1063" w:type="dxa"/>
            <w:tcBorders>
              <w:top w:val="nil"/>
              <w:left w:val="nil"/>
              <w:bottom w:val="nil"/>
              <w:right w:val="nil"/>
            </w:tcBorders>
            <w:shd w:val="clear" w:color="auto" w:fill="FFFFFF" w:themeFill="background1"/>
            <w:noWrap/>
            <w:vAlign w:val="center"/>
          </w:tcPr>
          <w:p w14:paraId="7657732E" w14:textId="77777777" w:rsidR="007175D2" w:rsidRPr="00847FAE" w:rsidRDefault="007175D2" w:rsidP="00FD6F91">
            <w:pPr>
              <w:jc w:val="center"/>
              <w:rPr>
                <w:rFonts w:cs="Calibri"/>
                <w:sz w:val="18"/>
                <w:szCs w:val="18"/>
              </w:rPr>
            </w:pPr>
            <w:r w:rsidRPr="00847FAE">
              <w:rPr>
                <w:rFonts w:cs="Calibri"/>
                <w:sz w:val="18"/>
                <w:szCs w:val="18"/>
              </w:rPr>
              <w:t>-21.7%</w:t>
            </w:r>
          </w:p>
        </w:tc>
        <w:tc>
          <w:tcPr>
            <w:tcW w:w="1063" w:type="dxa"/>
            <w:tcBorders>
              <w:top w:val="nil"/>
              <w:left w:val="nil"/>
              <w:bottom w:val="nil"/>
              <w:right w:val="nil"/>
            </w:tcBorders>
            <w:shd w:val="clear" w:color="auto" w:fill="FFFFFF" w:themeFill="background1"/>
            <w:noWrap/>
            <w:vAlign w:val="center"/>
          </w:tcPr>
          <w:p w14:paraId="13EA99EF" w14:textId="77777777" w:rsidR="007175D2" w:rsidRPr="00847FAE" w:rsidRDefault="007175D2" w:rsidP="00FD6F91">
            <w:pPr>
              <w:jc w:val="center"/>
              <w:rPr>
                <w:rFonts w:cs="Calibri"/>
                <w:color w:val="000000"/>
                <w:sz w:val="18"/>
                <w:szCs w:val="18"/>
              </w:rPr>
            </w:pPr>
            <w:r w:rsidRPr="00847FAE">
              <w:rPr>
                <w:rFonts w:cs="Calibri"/>
                <w:color w:val="000000"/>
                <w:sz w:val="18"/>
                <w:szCs w:val="18"/>
              </w:rPr>
              <w:t>39</w:t>
            </w:r>
          </w:p>
        </w:tc>
        <w:tc>
          <w:tcPr>
            <w:tcW w:w="1063" w:type="dxa"/>
            <w:tcBorders>
              <w:top w:val="nil"/>
              <w:left w:val="nil"/>
              <w:bottom w:val="nil"/>
              <w:right w:val="nil"/>
            </w:tcBorders>
            <w:shd w:val="clear" w:color="auto" w:fill="FFFFFF" w:themeFill="background1"/>
            <w:noWrap/>
            <w:vAlign w:val="center"/>
          </w:tcPr>
          <w:p w14:paraId="2A2020CB" w14:textId="77777777" w:rsidR="007175D2" w:rsidRPr="00847FAE" w:rsidRDefault="007175D2" w:rsidP="00FD6F91">
            <w:pPr>
              <w:jc w:val="center"/>
              <w:rPr>
                <w:rFonts w:cs="Calibri"/>
                <w:color w:val="000000"/>
                <w:sz w:val="18"/>
                <w:szCs w:val="18"/>
              </w:rPr>
            </w:pPr>
            <w:r w:rsidRPr="00847FAE">
              <w:rPr>
                <w:rFonts w:cs="Calibri"/>
                <w:color w:val="000000"/>
                <w:sz w:val="18"/>
                <w:szCs w:val="18"/>
              </w:rPr>
              <w:t>30.0%</w:t>
            </w:r>
          </w:p>
        </w:tc>
      </w:tr>
      <w:tr w:rsidR="007175D2" w:rsidRPr="00847FAE" w14:paraId="27F479A7" w14:textId="77777777" w:rsidTr="007175D2">
        <w:trPr>
          <w:cantSplit/>
          <w:trHeight w:val="255"/>
        </w:trPr>
        <w:tc>
          <w:tcPr>
            <w:tcW w:w="3791" w:type="dxa"/>
            <w:gridSpan w:val="6"/>
            <w:tcBorders>
              <w:top w:val="nil"/>
              <w:left w:val="nil"/>
              <w:bottom w:val="single" w:sz="4" w:space="0" w:color="auto"/>
              <w:right w:val="nil"/>
            </w:tcBorders>
            <w:noWrap/>
          </w:tcPr>
          <w:p w14:paraId="7CD83661" w14:textId="77777777" w:rsidR="007175D2" w:rsidRPr="00847FAE" w:rsidRDefault="007175D2" w:rsidP="00FD6F91">
            <w:pPr>
              <w:widowControl w:val="0"/>
              <w:rPr>
                <w:rFonts w:cs="Calibri"/>
                <w:iCs/>
                <w:color w:val="000000"/>
                <w:sz w:val="18"/>
                <w:szCs w:val="18"/>
              </w:rPr>
            </w:pPr>
            <w:r w:rsidRPr="00847FAE">
              <w:rPr>
                <w:rFonts w:cs="Calibri"/>
                <w:iCs/>
                <w:color w:val="000000"/>
                <w:sz w:val="18"/>
                <w:szCs w:val="18"/>
              </w:rPr>
              <w:t>Mining Tribunal</w:t>
            </w:r>
            <w:r w:rsidRPr="00847FAE">
              <w:rPr>
                <w:rFonts w:cs="Calibri"/>
                <w:iCs/>
                <w:color w:val="000000"/>
                <w:sz w:val="18"/>
                <w:szCs w:val="18"/>
                <w:vertAlign w:val="superscript"/>
              </w:rPr>
              <w:t>3</w:t>
            </w:r>
          </w:p>
        </w:tc>
        <w:tc>
          <w:tcPr>
            <w:tcW w:w="1063" w:type="dxa"/>
            <w:gridSpan w:val="2"/>
            <w:tcBorders>
              <w:top w:val="nil"/>
              <w:left w:val="nil"/>
              <w:bottom w:val="single" w:sz="4" w:space="0" w:color="auto"/>
              <w:right w:val="nil"/>
            </w:tcBorders>
            <w:noWrap/>
            <w:vAlign w:val="center"/>
          </w:tcPr>
          <w:p w14:paraId="0DAB1277" w14:textId="77777777" w:rsidR="007175D2" w:rsidRPr="00847FAE" w:rsidRDefault="007175D2" w:rsidP="00FD6F91">
            <w:pPr>
              <w:jc w:val="center"/>
              <w:rPr>
                <w:rFonts w:cs="Calibri"/>
                <w:color w:val="000000"/>
                <w:sz w:val="18"/>
                <w:szCs w:val="18"/>
              </w:rPr>
            </w:pPr>
            <w:r w:rsidRPr="00847FAE">
              <w:rPr>
                <w:rFonts w:cs="Calibri"/>
                <w:color w:val="000000"/>
                <w:sz w:val="18"/>
                <w:szCs w:val="18"/>
              </w:rPr>
              <w:t>4</w:t>
            </w:r>
          </w:p>
        </w:tc>
        <w:tc>
          <w:tcPr>
            <w:tcW w:w="1063" w:type="dxa"/>
            <w:tcBorders>
              <w:top w:val="nil"/>
              <w:left w:val="nil"/>
              <w:bottom w:val="single" w:sz="4" w:space="0" w:color="auto"/>
              <w:right w:val="nil"/>
            </w:tcBorders>
            <w:shd w:val="clear" w:color="auto" w:fill="FFFFFF" w:themeFill="background1"/>
            <w:noWrap/>
            <w:vAlign w:val="center"/>
          </w:tcPr>
          <w:p w14:paraId="76F01001" w14:textId="77777777" w:rsidR="007175D2" w:rsidRPr="00847FAE" w:rsidRDefault="007175D2" w:rsidP="00FD6F91">
            <w:pPr>
              <w:jc w:val="center"/>
              <w:rPr>
                <w:rFonts w:cs="Calibri"/>
                <w:sz w:val="18"/>
                <w:szCs w:val="18"/>
              </w:rPr>
            </w:pPr>
            <w:r w:rsidRPr="00847FAE">
              <w:rPr>
                <w:rFonts w:cs="Calibri"/>
                <w:sz w:val="18"/>
                <w:szCs w:val="18"/>
              </w:rPr>
              <w:t>300.0%</w:t>
            </w:r>
          </w:p>
        </w:tc>
        <w:tc>
          <w:tcPr>
            <w:tcW w:w="1063" w:type="dxa"/>
            <w:tcBorders>
              <w:top w:val="nil"/>
              <w:left w:val="nil"/>
              <w:bottom w:val="single" w:sz="4" w:space="0" w:color="auto"/>
              <w:right w:val="nil"/>
            </w:tcBorders>
            <w:shd w:val="clear" w:color="auto" w:fill="FFFFFF" w:themeFill="background1"/>
            <w:noWrap/>
            <w:vAlign w:val="center"/>
          </w:tcPr>
          <w:p w14:paraId="72A30014" w14:textId="77777777" w:rsidR="007175D2" w:rsidRPr="00847FAE" w:rsidRDefault="007175D2" w:rsidP="00FD6F91">
            <w:pPr>
              <w:jc w:val="center"/>
              <w:rPr>
                <w:rFonts w:cs="Calibri"/>
                <w:color w:val="000000"/>
                <w:sz w:val="18"/>
                <w:szCs w:val="18"/>
              </w:rPr>
            </w:pPr>
            <w:r w:rsidRPr="00847FAE">
              <w:rPr>
                <w:rFonts w:cs="Calibri"/>
                <w:color w:val="000000"/>
                <w:sz w:val="18"/>
                <w:szCs w:val="18"/>
              </w:rPr>
              <w:t>1</w:t>
            </w:r>
          </w:p>
        </w:tc>
        <w:tc>
          <w:tcPr>
            <w:tcW w:w="1063" w:type="dxa"/>
            <w:tcBorders>
              <w:top w:val="nil"/>
              <w:left w:val="nil"/>
              <w:bottom w:val="single" w:sz="4" w:space="0" w:color="auto"/>
              <w:right w:val="nil"/>
            </w:tcBorders>
            <w:shd w:val="clear" w:color="auto" w:fill="FFFFFF" w:themeFill="background1"/>
            <w:noWrap/>
            <w:vAlign w:val="center"/>
          </w:tcPr>
          <w:p w14:paraId="7246FA12" w14:textId="77777777" w:rsidR="007175D2" w:rsidRPr="00847FAE" w:rsidRDefault="007175D2" w:rsidP="00FD6F91">
            <w:pPr>
              <w:jc w:val="center"/>
              <w:rPr>
                <w:rFonts w:cs="Calibri"/>
                <w:color w:val="000000"/>
                <w:sz w:val="18"/>
                <w:szCs w:val="18"/>
              </w:rPr>
            </w:pPr>
            <w:r w:rsidRPr="00847FAE">
              <w:rPr>
                <w:rFonts w:cs="Calibri"/>
                <w:color w:val="000000"/>
                <w:sz w:val="18"/>
                <w:szCs w:val="18"/>
              </w:rPr>
              <w:t>0.0%</w:t>
            </w:r>
          </w:p>
        </w:tc>
      </w:tr>
      <w:tr w:rsidR="007175D2" w:rsidRPr="00847FAE" w14:paraId="3DAB8AD9" w14:textId="77777777" w:rsidTr="007175D2">
        <w:trPr>
          <w:gridAfter w:val="4"/>
          <w:wAfter w:w="3791" w:type="dxa"/>
          <w:cantSplit/>
          <w:trHeight w:val="255"/>
        </w:trPr>
        <w:tc>
          <w:tcPr>
            <w:tcW w:w="850" w:type="dxa"/>
            <w:tcBorders>
              <w:top w:val="single" w:sz="4" w:space="0" w:color="auto"/>
              <w:left w:val="nil"/>
              <w:bottom w:val="single" w:sz="4" w:space="0" w:color="auto"/>
              <w:right w:val="nil"/>
            </w:tcBorders>
            <w:shd w:val="clear" w:color="auto" w:fill="D0CECE" w:themeFill="background2" w:themeFillShade="E6"/>
            <w:noWrap/>
            <w:vAlign w:val="center"/>
          </w:tcPr>
          <w:p w14:paraId="39E0B41B" w14:textId="416B47FC" w:rsidR="007175D2" w:rsidRPr="00847FAE" w:rsidRDefault="007175D2" w:rsidP="00FD6F91">
            <w:pPr>
              <w:widowControl w:val="0"/>
              <w:jc w:val="center"/>
              <w:rPr>
                <w:rFonts w:cs="Calibri"/>
                <w:iCs/>
                <w:color w:val="000000"/>
                <w:sz w:val="18"/>
                <w:szCs w:val="18"/>
              </w:rPr>
            </w:pPr>
            <w:r>
              <w:rPr>
                <w:rFonts w:cs="Calibri"/>
                <w:iCs/>
                <w:color w:val="000000"/>
                <w:sz w:val="18"/>
                <w:szCs w:val="18"/>
              </w:rPr>
              <w:t>34,248</w:t>
            </w:r>
          </w:p>
        </w:tc>
        <w:tc>
          <w:tcPr>
            <w:tcW w:w="1276" w:type="dxa"/>
            <w:gridSpan w:val="3"/>
            <w:tcBorders>
              <w:top w:val="single" w:sz="4" w:space="0" w:color="auto"/>
              <w:left w:val="nil"/>
              <w:bottom w:val="single" w:sz="4" w:space="0" w:color="auto"/>
              <w:right w:val="nil"/>
            </w:tcBorders>
            <w:shd w:val="clear" w:color="auto" w:fill="D0CECE" w:themeFill="background2" w:themeFillShade="E6"/>
            <w:noWrap/>
            <w:vAlign w:val="center"/>
          </w:tcPr>
          <w:p w14:paraId="7C6A4F30" w14:textId="77777777" w:rsidR="007175D2" w:rsidRPr="00847FAE" w:rsidRDefault="007175D2" w:rsidP="00FD6F91">
            <w:pPr>
              <w:widowControl w:val="0"/>
              <w:jc w:val="center"/>
              <w:rPr>
                <w:rFonts w:cs="Calibri"/>
                <w:iCs/>
                <w:color w:val="000000"/>
                <w:sz w:val="18"/>
                <w:szCs w:val="18"/>
              </w:rPr>
            </w:pPr>
          </w:p>
        </w:tc>
        <w:tc>
          <w:tcPr>
            <w:tcW w:w="851" w:type="dxa"/>
            <w:tcBorders>
              <w:top w:val="single" w:sz="4" w:space="0" w:color="auto"/>
              <w:left w:val="nil"/>
              <w:bottom w:val="single" w:sz="4" w:space="0" w:color="auto"/>
              <w:right w:val="nil"/>
            </w:tcBorders>
            <w:shd w:val="clear" w:color="auto" w:fill="D0CECE" w:themeFill="background2" w:themeFillShade="E6"/>
            <w:noWrap/>
            <w:vAlign w:val="center"/>
          </w:tcPr>
          <w:p w14:paraId="156CED69" w14:textId="69854469" w:rsidR="007175D2" w:rsidRPr="00847FAE" w:rsidRDefault="007175D2" w:rsidP="00FD6F91">
            <w:pPr>
              <w:widowControl w:val="0"/>
              <w:jc w:val="center"/>
              <w:rPr>
                <w:rFonts w:cs="Calibri"/>
                <w:iCs/>
                <w:color w:val="000000"/>
                <w:sz w:val="18"/>
                <w:szCs w:val="18"/>
              </w:rPr>
            </w:pPr>
            <w:r>
              <w:rPr>
                <w:rFonts w:cs="Calibri"/>
                <w:iCs/>
                <w:color w:val="000000"/>
                <w:sz w:val="18"/>
                <w:szCs w:val="18"/>
              </w:rPr>
              <w:t>33,315</w:t>
            </w:r>
          </w:p>
        </w:tc>
        <w:tc>
          <w:tcPr>
            <w:tcW w:w="1275" w:type="dxa"/>
            <w:gridSpan w:val="2"/>
            <w:tcBorders>
              <w:top w:val="single" w:sz="4" w:space="0" w:color="auto"/>
              <w:left w:val="nil"/>
              <w:bottom w:val="single" w:sz="4" w:space="0" w:color="auto"/>
              <w:right w:val="nil"/>
            </w:tcBorders>
            <w:shd w:val="clear" w:color="auto" w:fill="D0CECE" w:themeFill="background2" w:themeFillShade="E6"/>
            <w:noWrap/>
            <w:vAlign w:val="center"/>
          </w:tcPr>
          <w:p w14:paraId="0EDC8A1F" w14:textId="77777777" w:rsidR="007175D2" w:rsidRPr="00847FAE" w:rsidRDefault="007175D2" w:rsidP="00FD6F91">
            <w:pPr>
              <w:widowControl w:val="0"/>
              <w:jc w:val="center"/>
              <w:rPr>
                <w:rFonts w:cs="Calibri"/>
                <w:iCs/>
                <w:color w:val="000000"/>
                <w:sz w:val="18"/>
                <w:szCs w:val="18"/>
              </w:rPr>
            </w:pPr>
          </w:p>
        </w:tc>
      </w:tr>
      <w:bookmarkEnd w:id="369"/>
    </w:tbl>
    <w:p w14:paraId="41C755C1" w14:textId="77777777" w:rsidR="009F6E47" w:rsidRPr="00847FAE" w:rsidRDefault="009F6E47">
      <w:pPr>
        <w:rPr>
          <w:rFonts w:eastAsiaTheme="majorEastAsia" w:cstheme="majorBidi"/>
          <w:lang w:eastAsia="en-US"/>
        </w:rPr>
      </w:pPr>
      <w:r w:rsidRPr="00847FAE">
        <w:rPr>
          <w:rFonts w:eastAsiaTheme="majorEastAsia" w:cstheme="majorBidi"/>
          <w:lang w:eastAsia="en-US"/>
        </w:rPr>
        <w:br w:type="page"/>
      </w:r>
    </w:p>
    <w:p w14:paraId="0A30766E" w14:textId="4AC815A0" w:rsidR="00FD6F91" w:rsidRPr="00847FAE" w:rsidRDefault="00FD6F91" w:rsidP="00FD6F91">
      <w:pPr>
        <w:keepNext/>
        <w:keepLines/>
        <w:spacing w:before="40"/>
        <w:outlineLvl w:val="2"/>
        <w:rPr>
          <w:rFonts w:eastAsiaTheme="majorEastAsia" w:cstheme="majorBidi"/>
          <w:vertAlign w:val="superscript"/>
          <w:lang w:eastAsia="en-US"/>
        </w:rPr>
      </w:pPr>
      <w:bookmarkStart w:id="370" w:name="_Toc1041179"/>
      <w:r w:rsidRPr="00847FAE">
        <w:rPr>
          <w:rFonts w:eastAsiaTheme="majorEastAsia" w:cstheme="majorBidi"/>
          <w:lang w:eastAsia="en-US"/>
        </w:rPr>
        <w:lastRenderedPageBreak/>
        <w:t>Table 2: 2017-18 Pending Caseload (at 30 June) and Backlog Indicator, by Selected Courts</w:t>
      </w:r>
      <w:r w:rsidRPr="00847FAE">
        <w:rPr>
          <w:rFonts w:eastAsiaTheme="majorEastAsia" w:cstheme="majorBidi"/>
          <w:vertAlign w:val="superscript"/>
          <w:lang w:eastAsia="en-US"/>
        </w:rPr>
        <w:t>1</w:t>
      </w:r>
      <w:bookmarkEnd w:id="370"/>
    </w:p>
    <w:tbl>
      <w:tblPr>
        <w:tblStyle w:val="TableGrid1"/>
        <w:tblW w:w="9214" w:type="dxa"/>
        <w:tblLayout w:type="fixed"/>
        <w:tblCellMar>
          <w:right w:w="0" w:type="dxa"/>
        </w:tblCellMar>
        <w:tblLook w:val="04A0" w:firstRow="1" w:lastRow="0" w:firstColumn="1" w:lastColumn="0" w:noHBand="0" w:noVBand="1"/>
        <w:tblCaption w:val="Table2PendingCaseload2017_2018andBacklogIndicator"/>
        <w:tblDescription w:val="Tabledescribingselectedcourtspendingcaseloadsandbacklogindicators"/>
      </w:tblPr>
      <w:tblGrid>
        <w:gridCol w:w="462"/>
        <w:gridCol w:w="961"/>
        <w:gridCol w:w="704"/>
        <w:gridCol w:w="2268"/>
        <w:gridCol w:w="1134"/>
        <w:gridCol w:w="1275"/>
        <w:gridCol w:w="1134"/>
        <w:gridCol w:w="1276"/>
      </w:tblGrid>
      <w:tr w:rsidR="00FD6F91" w:rsidRPr="00847FAE" w14:paraId="3A19B503" w14:textId="77777777" w:rsidTr="004E3DB0">
        <w:trPr>
          <w:cantSplit/>
          <w:trHeight w:val="20"/>
          <w:tblHeader/>
        </w:trPr>
        <w:tc>
          <w:tcPr>
            <w:tcW w:w="462" w:type="dxa"/>
            <w:tcBorders>
              <w:top w:val="single" w:sz="4" w:space="0" w:color="auto"/>
              <w:left w:val="nil"/>
              <w:bottom w:val="single" w:sz="4" w:space="0" w:color="auto"/>
              <w:right w:val="nil"/>
            </w:tcBorders>
            <w:noWrap/>
          </w:tcPr>
          <w:p w14:paraId="003C056C" w14:textId="77777777" w:rsidR="00FD6F91" w:rsidRPr="00847FAE" w:rsidRDefault="00FD6F91" w:rsidP="00FD6F91">
            <w:pPr>
              <w:widowControl w:val="0"/>
              <w:rPr>
                <w:rFonts w:cs="Calibri"/>
                <w:color w:val="000000"/>
                <w:sz w:val="18"/>
                <w:szCs w:val="18"/>
              </w:rPr>
            </w:pPr>
          </w:p>
        </w:tc>
        <w:tc>
          <w:tcPr>
            <w:tcW w:w="961" w:type="dxa"/>
            <w:tcBorders>
              <w:top w:val="single" w:sz="4" w:space="0" w:color="auto"/>
              <w:left w:val="nil"/>
              <w:bottom w:val="single" w:sz="4" w:space="0" w:color="auto"/>
              <w:right w:val="nil"/>
            </w:tcBorders>
            <w:noWrap/>
          </w:tcPr>
          <w:p w14:paraId="19A8C133" w14:textId="77777777" w:rsidR="00FD6F91" w:rsidRPr="00847FAE" w:rsidRDefault="00FD6F91" w:rsidP="00FD6F91">
            <w:pPr>
              <w:widowControl w:val="0"/>
              <w:rPr>
                <w:rFonts w:cs="Calibri"/>
                <w:color w:val="000000"/>
                <w:sz w:val="18"/>
                <w:szCs w:val="18"/>
              </w:rPr>
            </w:pPr>
          </w:p>
        </w:tc>
        <w:tc>
          <w:tcPr>
            <w:tcW w:w="704" w:type="dxa"/>
            <w:tcBorders>
              <w:top w:val="single" w:sz="4" w:space="0" w:color="auto"/>
              <w:left w:val="nil"/>
              <w:bottom w:val="single" w:sz="4" w:space="0" w:color="auto"/>
              <w:right w:val="nil"/>
            </w:tcBorders>
            <w:noWrap/>
          </w:tcPr>
          <w:p w14:paraId="7A088782" w14:textId="77777777" w:rsidR="00FD6F91" w:rsidRPr="00847FAE" w:rsidRDefault="00FD6F91" w:rsidP="00FD6F91">
            <w:pPr>
              <w:widowControl w:val="0"/>
              <w:rPr>
                <w:rFonts w:cs="Calibri"/>
                <w:color w:val="000000"/>
                <w:sz w:val="18"/>
                <w:szCs w:val="18"/>
              </w:rPr>
            </w:pPr>
          </w:p>
        </w:tc>
        <w:tc>
          <w:tcPr>
            <w:tcW w:w="2268" w:type="dxa"/>
            <w:tcBorders>
              <w:top w:val="single" w:sz="4" w:space="0" w:color="auto"/>
              <w:left w:val="nil"/>
              <w:bottom w:val="single" w:sz="4" w:space="0" w:color="auto"/>
              <w:right w:val="nil"/>
            </w:tcBorders>
            <w:noWrap/>
          </w:tcPr>
          <w:p w14:paraId="34438776" w14:textId="77777777" w:rsidR="00FD6F91" w:rsidRPr="00847FAE" w:rsidRDefault="00FD6F91" w:rsidP="00FD6F91">
            <w:pPr>
              <w:widowControl w:val="0"/>
              <w:rPr>
                <w:rFonts w:cs="Calibri"/>
                <w:color w:val="000000"/>
                <w:sz w:val="18"/>
                <w:szCs w:val="18"/>
              </w:rPr>
            </w:pPr>
          </w:p>
        </w:tc>
        <w:tc>
          <w:tcPr>
            <w:tcW w:w="2409" w:type="dxa"/>
            <w:gridSpan w:val="2"/>
            <w:tcBorders>
              <w:top w:val="single" w:sz="4" w:space="0" w:color="auto"/>
              <w:left w:val="nil"/>
              <w:bottom w:val="single" w:sz="4" w:space="0" w:color="auto"/>
              <w:right w:val="nil"/>
            </w:tcBorders>
            <w:noWrap/>
            <w:vAlign w:val="bottom"/>
          </w:tcPr>
          <w:p w14:paraId="1DB081E0" w14:textId="77777777" w:rsidR="00FD6F91" w:rsidRPr="00847FAE" w:rsidRDefault="00FD6F91" w:rsidP="00FD6F91">
            <w:pPr>
              <w:widowControl w:val="0"/>
              <w:jc w:val="center"/>
              <w:rPr>
                <w:rFonts w:cs="Calibri"/>
                <w:bCs/>
                <w:color w:val="000000"/>
                <w:sz w:val="20"/>
                <w:szCs w:val="18"/>
              </w:rPr>
            </w:pPr>
            <w:r w:rsidRPr="00847FAE">
              <w:rPr>
                <w:rFonts w:cs="Calibri"/>
                <w:bCs/>
                <w:color w:val="000000"/>
                <w:sz w:val="20"/>
                <w:szCs w:val="18"/>
              </w:rPr>
              <w:t>Pending Caseload</w:t>
            </w:r>
          </w:p>
        </w:tc>
        <w:tc>
          <w:tcPr>
            <w:tcW w:w="2410" w:type="dxa"/>
            <w:gridSpan w:val="2"/>
            <w:tcBorders>
              <w:top w:val="single" w:sz="4" w:space="0" w:color="auto"/>
              <w:left w:val="nil"/>
              <w:bottom w:val="single" w:sz="4" w:space="0" w:color="auto"/>
              <w:right w:val="nil"/>
            </w:tcBorders>
            <w:noWrap/>
            <w:vAlign w:val="bottom"/>
          </w:tcPr>
          <w:p w14:paraId="17733735" w14:textId="77777777" w:rsidR="00FD6F91" w:rsidRPr="00847FAE" w:rsidRDefault="00FD6F91" w:rsidP="00FD6F91">
            <w:pPr>
              <w:widowControl w:val="0"/>
              <w:jc w:val="center"/>
              <w:rPr>
                <w:rFonts w:cs="Calibri"/>
                <w:bCs/>
                <w:color w:val="000000"/>
                <w:sz w:val="20"/>
                <w:szCs w:val="18"/>
              </w:rPr>
            </w:pPr>
            <w:r w:rsidRPr="00847FAE">
              <w:rPr>
                <w:rFonts w:cs="Calibri"/>
                <w:bCs/>
                <w:color w:val="000000"/>
                <w:sz w:val="20"/>
                <w:szCs w:val="18"/>
              </w:rPr>
              <w:t>% aged &gt; 12 Months</w:t>
            </w:r>
          </w:p>
        </w:tc>
      </w:tr>
      <w:tr w:rsidR="00FD6F91" w:rsidRPr="00847FAE" w14:paraId="57983200" w14:textId="77777777" w:rsidTr="001F1F60">
        <w:trPr>
          <w:cantSplit/>
          <w:trHeight w:val="20"/>
        </w:trPr>
        <w:tc>
          <w:tcPr>
            <w:tcW w:w="462" w:type="dxa"/>
            <w:tcBorders>
              <w:top w:val="single" w:sz="4" w:space="0" w:color="auto"/>
              <w:left w:val="nil"/>
              <w:bottom w:val="single" w:sz="4" w:space="0" w:color="auto"/>
              <w:right w:val="nil"/>
            </w:tcBorders>
            <w:noWrap/>
            <w:hideMark/>
          </w:tcPr>
          <w:p w14:paraId="0741F5E1"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61" w:type="dxa"/>
            <w:tcBorders>
              <w:top w:val="single" w:sz="4" w:space="0" w:color="auto"/>
              <w:left w:val="nil"/>
              <w:bottom w:val="single" w:sz="4" w:space="0" w:color="auto"/>
              <w:right w:val="nil"/>
            </w:tcBorders>
            <w:noWrap/>
            <w:hideMark/>
          </w:tcPr>
          <w:p w14:paraId="08827EA6"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704" w:type="dxa"/>
            <w:tcBorders>
              <w:top w:val="single" w:sz="4" w:space="0" w:color="auto"/>
              <w:left w:val="nil"/>
              <w:bottom w:val="single" w:sz="4" w:space="0" w:color="auto"/>
              <w:right w:val="nil"/>
            </w:tcBorders>
            <w:noWrap/>
            <w:hideMark/>
          </w:tcPr>
          <w:p w14:paraId="11416BD7"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2268" w:type="dxa"/>
            <w:tcBorders>
              <w:top w:val="single" w:sz="4" w:space="0" w:color="auto"/>
              <w:left w:val="nil"/>
              <w:bottom w:val="single" w:sz="4" w:space="0" w:color="auto"/>
              <w:right w:val="nil"/>
            </w:tcBorders>
            <w:noWrap/>
            <w:hideMark/>
          </w:tcPr>
          <w:p w14:paraId="15D2E02A"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1134" w:type="dxa"/>
            <w:tcBorders>
              <w:top w:val="single" w:sz="4" w:space="0" w:color="auto"/>
              <w:left w:val="nil"/>
              <w:bottom w:val="single" w:sz="4" w:space="0" w:color="auto"/>
              <w:right w:val="nil"/>
            </w:tcBorders>
            <w:noWrap/>
            <w:vAlign w:val="center"/>
            <w:hideMark/>
          </w:tcPr>
          <w:p w14:paraId="55EE628E"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No.</w:t>
            </w:r>
          </w:p>
        </w:tc>
        <w:tc>
          <w:tcPr>
            <w:tcW w:w="1275" w:type="dxa"/>
            <w:tcBorders>
              <w:top w:val="single" w:sz="4" w:space="0" w:color="auto"/>
              <w:left w:val="nil"/>
              <w:bottom w:val="single" w:sz="4" w:space="0" w:color="auto"/>
              <w:right w:val="nil"/>
            </w:tcBorders>
            <w:noWrap/>
            <w:vAlign w:val="center"/>
            <w:hideMark/>
          </w:tcPr>
          <w:p w14:paraId="3547BD60"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change year-on-year</w:t>
            </w:r>
          </w:p>
        </w:tc>
        <w:tc>
          <w:tcPr>
            <w:tcW w:w="1134" w:type="dxa"/>
            <w:tcBorders>
              <w:top w:val="single" w:sz="4" w:space="0" w:color="auto"/>
              <w:left w:val="nil"/>
              <w:bottom w:val="single" w:sz="4" w:space="0" w:color="auto"/>
              <w:right w:val="nil"/>
            </w:tcBorders>
            <w:noWrap/>
            <w:vAlign w:val="center"/>
            <w:hideMark/>
          </w:tcPr>
          <w:p w14:paraId="1C38D2E9" w14:textId="2FFE86A0" w:rsidR="00FD6F91" w:rsidRPr="00847FAE" w:rsidRDefault="009F6E47" w:rsidP="00FD6F91">
            <w:pPr>
              <w:widowControl w:val="0"/>
              <w:jc w:val="center"/>
              <w:rPr>
                <w:rFonts w:cs="Calibri"/>
                <w:bCs/>
                <w:color w:val="000000"/>
                <w:sz w:val="18"/>
                <w:szCs w:val="18"/>
              </w:rPr>
            </w:pPr>
            <w:r w:rsidRPr="00A47583">
              <w:rPr>
                <w:rFonts w:cs="Calibri"/>
                <w:bCs/>
                <w:color w:val="000000"/>
                <w:sz w:val="18"/>
                <w:szCs w:val="18"/>
              </w:rPr>
              <w:t>%</w:t>
            </w:r>
          </w:p>
        </w:tc>
        <w:tc>
          <w:tcPr>
            <w:tcW w:w="1276" w:type="dxa"/>
            <w:tcBorders>
              <w:top w:val="single" w:sz="4" w:space="0" w:color="auto"/>
              <w:left w:val="nil"/>
              <w:bottom w:val="single" w:sz="4" w:space="0" w:color="auto"/>
              <w:right w:val="nil"/>
            </w:tcBorders>
            <w:vAlign w:val="center"/>
            <w:hideMark/>
          </w:tcPr>
          <w:p w14:paraId="4AFFEF9D"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change year-on-year</w:t>
            </w:r>
          </w:p>
        </w:tc>
      </w:tr>
      <w:tr w:rsidR="00FD6F91" w:rsidRPr="00847FAE" w14:paraId="522F5542" w14:textId="77777777" w:rsidTr="001F1F60">
        <w:trPr>
          <w:cantSplit/>
          <w:trHeight w:val="255"/>
        </w:trPr>
        <w:tc>
          <w:tcPr>
            <w:tcW w:w="4395" w:type="dxa"/>
            <w:gridSpan w:val="4"/>
            <w:tcBorders>
              <w:top w:val="single" w:sz="4" w:space="0" w:color="auto"/>
              <w:left w:val="nil"/>
              <w:bottom w:val="single" w:sz="4" w:space="0" w:color="auto"/>
              <w:right w:val="nil"/>
            </w:tcBorders>
            <w:shd w:val="clear" w:color="auto" w:fill="D0CECE" w:themeFill="background2" w:themeFillShade="E6"/>
            <w:noWrap/>
            <w:vAlign w:val="center"/>
          </w:tcPr>
          <w:p w14:paraId="04C30D49" w14:textId="77777777" w:rsidR="00FD6F91" w:rsidRPr="00847FAE" w:rsidRDefault="00FD6F91" w:rsidP="00FD6F91">
            <w:pPr>
              <w:widowControl w:val="0"/>
              <w:rPr>
                <w:rFonts w:cs="Calibri"/>
                <w:color w:val="000000"/>
                <w:sz w:val="18"/>
                <w:szCs w:val="18"/>
              </w:rPr>
            </w:pPr>
            <w:r w:rsidRPr="00847FAE">
              <w:rPr>
                <w:rFonts w:cs="Calibri"/>
                <w:sz w:val="18"/>
                <w:szCs w:val="18"/>
              </w:rPr>
              <w:t xml:space="preserve">CRIMINAL </w:t>
            </w: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49E1507B" w14:textId="77777777" w:rsidR="00FD6F91" w:rsidRPr="00847FAE" w:rsidRDefault="00FD6F91" w:rsidP="00FD6F91">
            <w:pPr>
              <w:widowControl w:val="0"/>
              <w:jc w:val="center"/>
              <w:rPr>
                <w:rFonts w:cs="Calibri"/>
                <w:color w:val="000000"/>
                <w:sz w:val="18"/>
                <w:szCs w:val="18"/>
              </w:rPr>
            </w:pPr>
          </w:p>
        </w:tc>
        <w:tc>
          <w:tcPr>
            <w:tcW w:w="1275" w:type="dxa"/>
            <w:tcBorders>
              <w:top w:val="single" w:sz="4" w:space="0" w:color="auto"/>
              <w:left w:val="nil"/>
              <w:bottom w:val="single" w:sz="4" w:space="0" w:color="auto"/>
              <w:right w:val="nil"/>
            </w:tcBorders>
            <w:shd w:val="clear" w:color="auto" w:fill="D0CECE" w:themeFill="background2" w:themeFillShade="E6"/>
            <w:noWrap/>
            <w:vAlign w:val="center"/>
          </w:tcPr>
          <w:p w14:paraId="63D969E7" w14:textId="77777777" w:rsidR="00FD6F91" w:rsidRPr="00847FAE" w:rsidRDefault="00FD6F91" w:rsidP="00FD6F91">
            <w:pPr>
              <w:widowControl w:val="0"/>
              <w:jc w:val="center"/>
              <w:rPr>
                <w:rFonts w:cs="Calibri"/>
                <w:color w:val="000000"/>
                <w:sz w:val="18"/>
                <w:szCs w:val="18"/>
              </w:rPr>
            </w:pP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26C0C05A" w14:textId="77777777" w:rsidR="00FD6F91" w:rsidRPr="00847FAE" w:rsidRDefault="00FD6F91" w:rsidP="00FD6F91">
            <w:pPr>
              <w:widowControl w:val="0"/>
              <w:jc w:val="center"/>
              <w:rPr>
                <w:rFonts w:cs="Calibri"/>
                <w:color w:val="000000"/>
                <w:sz w:val="18"/>
                <w:szCs w:val="18"/>
              </w:rPr>
            </w:pPr>
          </w:p>
        </w:tc>
        <w:tc>
          <w:tcPr>
            <w:tcW w:w="1276" w:type="dxa"/>
            <w:tcBorders>
              <w:top w:val="single" w:sz="4" w:space="0" w:color="auto"/>
              <w:left w:val="nil"/>
              <w:bottom w:val="single" w:sz="4" w:space="0" w:color="auto"/>
              <w:right w:val="nil"/>
            </w:tcBorders>
            <w:shd w:val="clear" w:color="auto" w:fill="D0CECE" w:themeFill="background2" w:themeFillShade="E6"/>
            <w:noWrap/>
            <w:vAlign w:val="center"/>
          </w:tcPr>
          <w:p w14:paraId="4B9FF2B8" w14:textId="77777777" w:rsidR="00FD6F91" w:rsidRPr="00847FAE" w:rsidRDefault="00FD6F91" w:rsidP="00FD6F91">
            <w:pPr>
              <w:widowControl w:val="0"/>
              <w:jc w:val="center"/>
              <w:rPr>
                <w:rFonts w:cs="Calibri"/>
                <w:color w:val="000000"/>
                <w:sz w:val="18"/>
                <w:szCs w:val="18"/>
              </w:rPr>
            </w:pPr>
          </w:p>
        </w:tc>
      </w:tr>
      <w:tr w:rsidR="00FD6F91" w:rsidRPr="00847FAE" w14:paraId="09DA0CCF" w14:textId="77777777" w:rsidTr="001F1F60">
        <w:trPr>
          <w:cantSplit/>
          <w:trHeight w:val="255"/>
        </w:trPr>
        <w:tc>
          <w:tcPr>
            <w:tcW w:w="4395" w:type="dxa"/>
            <w:gridSpan w:val="4"/>
            <w:tcBorders>
              <w:top w:val="single" w:sz="4" w:space="0" w:color="auto"/>
              <w:left w:val="nil"/>
              <w:bottom w:val="nil"/>
              <w:right w:val="nil"/>
            </w:tcBorders>
            <w:noWrap/>
            <w:vAlign w:val="center"/>
            <w:hideMark/>
          </w:tcPr>
          <w:p w14:paraId="7CE6ABB3" w14:textId="77777777" w:rsidR="00FD6F91" w:rsidRPr="00847FAE" w:rsidRDefault="00FD6F91" w:rsidP="00FD6F91">
            <w:pPr>
              <w:widowControl w:val="0"/>
              <w:rPr>
                <w:rFonts w:cs="Calibri"/>
                <w:b/>
                <w:color w:val="000000"/>
                <w:sz w:val="18"/>
                <w:szCs w:val="18"/>
              </w:rPr>
            </w:pPr>
            <w:r w:rsidRPr="00847FAE">
              <w:rPr>
                <w:rFonts w:cs="Calibri"/>
                <w:b/>
                <w:color w:val="000000"/>
                <w:sz w:val="18"/>
                <w:szCs w:val="18"/>
              </w:rPr>
              <w:t>Magistrates Court</w:t>
            </w:r>
          </w:p>
        </w:tc>
        <w:tc>
          <w:tcPr>
            <w:tcW w:w="1134" w:type="dxa"/>
            <w:tcBorders>
              <w:top w:val="single" w:sz="4" w:space="0" w:color="auto"/>
              <w:left w:val="nil"/>
              <w:bottom w:val="nil"/>
              <w:right w:val="nil"/>
            </w:tcBorders>
            <w:noWrap/>
            <w:vAlign w:val="center"/>
            <w:hideMark/>
          </w:tcPr>
          <w:p w14:paraId="3855F35B" w14:textId="77777777" w:rsidR="00FD6F91" w:rsidRPr="00847FAE" w:rsidRDefault="00FD6F91" w:rsidP="00FD6F91">
            <w:pPr>
              <w:widowControl w:val="0"/>
              <w:jc w:val="center"/>
              <w:rPr>
                <w:rFonts w:cs="Calibri"/>
                <w:color w:val="000000"/>
                <w:sz w:val="18"/>
                <w:szCs w:val="18"/>
              </w:rPr>
            </w:pPr>
          </w:p>
        </w:tc>
        <w:tc>
          <w:tcPr>
            <w:tcW w:w="1275" w:type="dxa"/>
            <w:tcBorders>
              <w:top w:val="single" w:sz="4" w:space="0" w:color="auto"/>
              <w:left w:val="nil"/>
              <w:bottom w:val="nil"/>
              <w:right w:val="nil"/>
            </w:tcBorders>
            <w:noWrap/>
            <w:vAlign w:val="center"/>
            <w:hideMark/>
          </w:tcPr>
          <w:p w14:paraId="5465B151" w14:textId="77777777" w:rsidR="00FD6F91" w:rsidRPr="00847FAE" w:rsidRDefault="00FD6F91" w:rsidP="00FD6F91">
            <w:pPr>
              <w:widowControl w:val="0"/>
              <w:jc w:val="center"/>
              <w:rPr>
                <w:rFonts w:cs="Calibri"/>
                <w:color w:val="000000"/>
                <w:sz w:val="18"/>
                <w:szCs w:val="18"/>
              </w:rPr>
            </w:pPr>
          </w:p>
        </w:tc>
        <w:tc>
          <w:tcPr>
            <w:tcW w:w="1134" w:type="dxa"/>
            <w:tcBorders>
              <w:top w:val="single" w:sz="4" w:space="0" w:color="auto"/>
              <w:left w:val="nil"/>
              <w:bottom w:val="nil"/>
              <w:right w:val="nil"/>
            </w:tcBorders>
            <w:noWrap/>
            <w:vAlign w:val="center"/>
            <w:hideMark/>
          </w:tcPr>
          <w:p w14:paraId="5C50404C" w14:textId="77777777" w:rsidR="00FD6F91" w:rsidRPr="00847FAE" w:rsidRDefault="00FD6F91" w:rsidP="00FD6F91">
            <w:pPr>
              <w:widowControl w:val="0"/>
              <w:jc w:val="center"/>
              <w:rPr>
                <w:rFonts w:cs="Calibri"/>
                <w:color w:val="000000"/>
                <w:sz w:val="18"/>
                <w:szCs w:val="18"/>
              </w:rPr>
            </w:pPr>
          </w:p>
        </w:tc>
        <w:tc>
          <w:tcPr>
            <w:tcW w:w="1276" w:type="dxa"/>
            <w:tcBorders>
              <w:top w:val="single" w:sz="4" w:space="0" w:color="auto"/>
              <w:left w:val="nil"/>
              <w:bottom w:val="nil"/>
              <w:right w:val="nil"/>
            </w:tcBorders>
            <w:noWrap/>
            <w:vAlign w:val="center"/>
            <w:hideMark/>
          </w:tcPr>
          <w:p w14:paraId="0DBF9594" w14:textId="77777777" w:rsidR="00FD6F91" w:rsidRPr="00847FAE" w:rsidRDefault="00FD6F91" w:rsidP="00FD6F91">
            <w:pPr>
              <w:widowControl w:val="0"/>
              <w:jc w:val="center"/>
              <w:rPr>
                <w:rFonts w:cs="Calibri"/>
                <w:color w:val="000000"/>
                <w:sz w:val="18"/>
                <w:szCs w:val="18"/>
              </w:rPr>
            </w:pPr>
          </w:p>
        </w:tc>
      </w:tr>
      <w:tr w:rsidR="00FD6F91" w:rsidRPr="00847FAE" w14:paraId="5425BCA6" w14:textId="77777777" w:rsidTr="001F1F60">
        <w:trPr>
          <w:cantSplit/>
          <w:trHeight w:val="255"/>
        </w:trPr>
        <w:tc>
          <w:tcPr>
            <w:tcW w:w="462" w:type="dxa"/>
            <w:tcBorders>
              <w:top w:val="nil"/>
              <w:left w:val="nil"/>
              <w:bottom w:val="nil"/>
              <w:right w:val="nil"/>
            </w:tcBorders>
            <w:noWrap/>
            <w:hideMark/>
          </w:tcPr>
          <w:p w14:paraId="0D2A23F7"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3933" w:type="dxa"/>
            <w:gridSpan w:val="3"/>
            <w:tcBorders>
              <w:top w:val="nil"/>
              <w:left w:val="nil"/>
              <w:bottom w:val="nil"/>
              <w:right w:val="nil"/>
            </w:tcBorders>
            <w:noWrap/>
            <w:hideMark/>
          </w:tcPr>
          <w:p w14:paraId="24B26824"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Criminal complaints</w:t>
            </w:r>
          </w:p>
        </w:tc>
        <w:tc>
          <w:tcPr>
            <w:tcW w:w="1134" w:type="dxa"/>
            <w:tcBorders>
              <w:top w:val="nil"/>
              <w:left w:val="nil"/>
              <w:bottom w:val="nil"/>
              <w:right w:val="nil"/>
            </w:tcBorders>
            <w:noWrap/>
            <w:vAlign w:val="center"/>
          </w:tcPr>
          <w:p w14:paraId="6B51E366" w14:textId="77777777" w:rsidR="00FD6F91" w:rsidRPr="00847FAE" w:rsidRDefault="00FD6F91" w:rsidP="00FD6F91">
            <w:pPr>
              <w:jc w:val="center"/>
              <w:rPr>
                <w:rFonts w:cs="Calibri"/>
                <w:color w:val="000000"/>
                <w:sz w:val="18"/>
                <w:szCs w:val="18"/>
              </w:rPr>
            </w:pPr>
            <w:r w:rsidRPr="00847FAE">
              <w:rPr>
                <w:rFonts w:cs="Calibri"/>
                <w:color w:val="000000"/>
                <w:sz w:val="18"/>
                <w:szCs w:val="18"/>
              </w:rPr>
              <w:t>7,788</w:t>
            </w:r>
          </w:p>
        </w:tc>
        <w:tc>
          <w:tcPr>
            <w:tcW w:w="1275" w:type="dxa"/>
            <w:tcBorders>
              <w:top w:val="nil"/>
              <w:left w:val="nil"/>
              <w:bottom w:val="nil"/>
              <w:right w:val="nil"/>
            </w:tcBorders>
            <w:noWrap/>
            <w:vAlign w:val="center"/>
          </w:tcPr>
          <w:p w14:paraId="3F8DB458" w14:textId="77777777" w:rsidR="00FD6F91" w:rsidRPr="00847FAE" w:rsidRDefault="00FD6F91" w:rsidP="00FD6F91">
            <w:pPr>
              <w:jc w:val="center"/>
              <w:rPr>
                <w:rFonts w:cs="Calibri"/>
                <w:color w:val="000000"/>
                <w:sz w:val="18"/>
                <w:szCs w:val="18"/>
              </w:rPr>
            </w:pPr>
            <w:r w:rsidRPr="00847FAE">
              <w:rPr>
                <w:rFonts w:cs="Calibri"/>
                <w:color w:val="000000"/>
                <w:sz w:val="18"/>
                <w:szCs w:val="18"/>
              </w:rPr>
              <w:t>-2.1%</w:t>
            </w:r>
          </w:p>
        </w:tc>
        <w:tc>
          <w:tcPr>
            <w:tcW w:w="1134" w:type="dxa"/>
            <w:tcBorders>
              <w:top w:val="nil"/>
              <w:left w:val="nil"/>
              <w:bottom w:val="nil"/>
              <w:right w:val="nil"/>
            </w:tcBorders>
            <w:noWrap/>
            <w:vAlign w:val="center"/>
          </w:tcPr>
          <w:p w14:paraId="3A4C6A36" w14:textId="77777777" w:rsidR="00FD6F91" w:rsidRPr="00847FAE" w:rsidRDefault="00FD6F91" w:rsidP="00FD6F91">
            <w:pPr>
              <w:jc w:val="center"/>
              <w:rPr>
                <w:rFonts w:cs="Calibri"/>
                <w:color w:val="000000"/>
                <w:sz w:val="18"/>
                <w:szCs w:val="18"/>
              </w:rPr>
            </w:pPr>
            <w:r w:rsidRPr="00847FAE">
              <w:rPr>
                <w:rFonts w:cs="Calibri"/>
                <w:color w:val="000000"/>
                <w:sz w:val="18"/>
                <w:szCs w:val="18"/>
              </w:rPr>
              <w:t>15.0</w:t>
            </w:r>
          </w:p>
        </w:tc>
        <w:tc>
          <w:tcPr>
            <w:tcW w:w="1276" w:type="dxa"/>
            <w:tcBorders>
              <w:top w:val="nil"/>
              <w:left w:val="nil"/>
              <w:bottom w:val="nil"/>
              <w:right w:val="nil"/>
            </w:tcBorders>
            <w:noWrap/>
            <w:vAlign w:val="center"/>
          </w:tcPr>
          <w:p w14:paraId="20937615" w14:textId="77777777" w:rsidR="00FD6F91" w:rsidRPr="00847FAE" w:rsidRDefault="00FD6F91" w:rsidP="00FD6F91">
            <w:pPr>
              <w:jc w:val="center"/>
              <w:rPr>
                <w:rFonts w:cs="Calibri"/>
                <w:color w:val="000000"/>
                <w:sz w:val="18"/>
                <w:szCs w:val="18"/>
              </w:rPr>
            </w:pPr>
            <w:r w:rsidRPr="00847FAE">
              <w:rPr>
                <w:rFonts w:cs="Calibri"/>
                <w:color w:val="000000"/>
                <w:sz w:val="18"/>
                <w:szCs w:val="18"/>
              </w:rPr>
              <w:t>2.4 pp</w:t>
            </w:r>
          </w:p>
        </w:tc>
      </w:tr>
      <w:tr w:rsidR="00FD6F91" w:rsidRPr="00847FAE" w14:paraId="414E6550" w14:textId="77777777" w:rsidTr="001F1F60">
        <w:trPr>
          <w:cantSplit/>
          <w:trHeight w:val="255"/>
        </w:trPr>
        <w:tc>
          <w:tcPr>
            <w:tcW w:w="4395" w:type="dxa"/>
            <w:gridSpan w:val="4"/>
            <w:tcBorders>
              <w:top w:val="nil"/>
              <w:left w:val="nil"/>
              <w:bottom w:val="nil"/>
              <w:right w:val="nil"/>
            </w:tcBorders>
            <w:noWrap/>
            <w:vAlign w:val="center"/>
            <w:hideMark/>
          </w:tcPr>
          <w:p w14:paraId="46C30EE9" w14:textId="77777777" w:rsidR="00FD6F91" w:rsidRPr="00847FAE" w:rsidRDefault="00FD6F91" w:rsidP="00FD6F91">
            <w:pPr>
              <w:widowControl w:val="0"/>
              <w:rPr>
                <w:rFonts w:cs="Calibri"/>
                <w:b/>
                <w:color w:val="000000"/>
                <w:sz w:val="18"/>
                <w:szCs w:val="18"/>
              </w:rPr>
            </w:pPr>
            <w:r w:rsidRPr="00847FAE">
              <w:rPr>
                <w:rFonts w:cs="Calibri"/>
                <w:b/>
                <w:color w:val="000000"/>
                <w:sz w:val="18"/>
                <w:szCs w:val="18"/>
              </w:rPr>
              <w:t>Youth Justice Court</w:t>
            </w:r>
          </w:p>
        </w:tc>
        <w:tc>
          <w:tcPr>
            <w:tcW w:w="1134" w:type="dxa"/>
            <w:tcBorders>
              <w:top w:val="nil"/>
              <w:left w:val="nil"/>
              <w:bottom w:val="nil"/>
              <w:right w:val="nil"/>
            </w:tcBorders>
            <w:noWrap/>
            <w:vAlign w:val="center"/>
          </w:tcPr>
          <w:p w14:paraId="441FDBFB" w14:textId="77777777" w:rsidR="00FD6F91" w:rsidRPr="00847FAE" w:rsidRDefault="00FD6F91" w:rsidP="00FD6F91">
            <w:pPr>
              <w:widowControl w:val="0"/>
              <w:jc w:val="center"/>
              <w:rPr>
                <w:rFonts w:cs="Calibri"/>
                <w:color w:val="000000"/>
                <w:sz w:val="18"/>
                <w:szCs w:val="18"/>
              </w:rPr>
            </w:pPr>
          </w:p>
        </w:tc>
        <w:tc>
          <w:tcPr>
            <w:tcW w:w="1275" w:type="dxa"/>
            <w:tcBorders>
              <w:top w:val="nil"/>
              <w:left w:val="nil"/>
              <w:bottom w:val="nil"/>
              <w:right w:val="nil"/>
            </w:tcBorders>
            <w:noWrap/>
            <w:vAlign w:val="center"/>
          </w:tcPr>
          <w:p w14:paraId="15471623" w14:textId="77777777" w:rsidR="00FD6F91" w:rsidRPr="00847FAE" w:rsidRDefault="00FD6F91" w:rsidP="00FD6F91">
            <w:pPr>
              <w:jc w:val="center"/>
              <w:rPr>
                <w:rFonts w:cs="Calibri"/>
                <w:color w:val="000000"/>
                <w:sz w:val="18"/>
                <w:szCs w:val="18"/>
              </w:rPr>
            </w:pPr>
          </w:p>
        </w:tc>
        <w:tc>
          <w:tcPr>
            <w:tcW w:w="1134" w:type="dxa"/>
            <w:tcBorders>
              <w:top w:val="nil"/>
              <w:left w:val="nil"/>
              <w:bottom w:val="nil"/>
              <w:right w:val="nil"/>
            </w:tcBorders>
            <w:noWrap/>
            <w:vAlign w:val="center"/>
          </w:tcPr>
          <w:p w14:paraId="6328EA0B" w14:textId="77777777" w:rsidR="00FD6F91" w:rsidRPr="00847FAE" w:rsidRDefault="00FD6F91" w:rsidP="00FD6F91">
            <w:pPr>
              <w:jc w:val="center"/>
              <w:rPr>
                <w:sz w:val="20"/>
                <w:szCs w:val="20"/>
              </w:rPr>
            </w:pPr>
          </w:p>
        </w:tc>
        <w:tc>
          <w:tcPr>
            <w:tcW w:w="1276" w:type="dxa"/>
            <w:tcBorders>
              <w:top w:val="nil"/>
              <w:left w:val="nil"/>
              <w:bottom w:val="nil"/>
              <w:right w:val="nil"/>
            </w:tcBorders>
            <w:noWrap/>
            <w:vAlign w:val="center"/>
          </w:tcPr>
          <w:p w14:paraId="33A7A414" w14:textId="77777777" w:rsidR="00FD6F91" w:rsidRPr="00847FAE" w:rsidRDefault="00FD6F91" w:rsidP="00FD6F91">
            <w:pPr>
              <w:jc w:val="center"/>
              <w:rPr>
                <w:sz w:val="20"/>
                <w:szCs w:val="20"/>
              </w:rPr>
            </w:pPr>
          </w:p>
        </w:tc>
      </w:tr>
      <w:tr w:rsidR="00FD6F91" w:rsidRPr="00847FAE" w14:paraId="51CD0D23" w14:textId="77777777" w:rsidTr="001F1F60">
        <w:trPr>
          <w:cantSplit/>
          <w:trHeight w:val="255"/>
        </w:trPr>
        <w:tc>
          <w:tcPr>
            <w:tcW w:w="462" w:type="dxa"/>
            <w:tcBorders>
              <w:top w:val="nil"/>
              <w:left w:val="nil"/>
              <w:bottom w:val="single" w:sz="4" w:space="0" w:color="auto"/>
              <w:right w:val="nil"/>
            </w:tcBorders>
            <w:noWrap/>
            <w:hideMark/>
          </w:tcPr>
          <w:p w14:paraId="779183ED"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3933" w:type="dxa"/>
            <w:gridSpan w:val="3"/>
            <w:tcBorders>
              <w:top w:val="nil"/>
              <w:left w:val="nil"/>
              <w:bottom w:val="single" w:sz="4" w:space="0" w:color="auto"/>
              <w:right w:val="nil"/>
            </w:tcBorders>
            <w:noWrap/>
          </w:tcPr>
          <w:p w14:paraId="247F2172"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Criminal complaints</w:t>
            </w:r>
          </w:p>
        </w:tc>
        <w:tc>
          <w:tcPr>
            <w:tcW w:w="1134" w:type="dxa"/>
            <w:tcBorders>
              <w:top w:val="nil"/>
              <w:left w:val="nil"/>
              <w:bottom w:val="single" w:sz="4" w:space="0" w:color="auto"/>
              <w:right w:val="nil"/>
            </w:tcBorders>
            <w:noWrap/>
            <w:vAlign w:val="center"/>
          </w:tcPr>
          <w:p w14:paraId="3C32E01E" w14:textId="77777777" w:rsidR="00FD6F91" w:rsidRPr="00847FAE" w:rsidRDefault="00FD6F91" w:rsidP="00FD6F91">
            <w:pPr>
              <w:jc w:val="center"/>
              <w:rPr>
                <w:rFonts w:cs="Calibri"/>
                <w:color w:val="000000"/>
                <w:sz w:val="18"/>
                <w:szCs w:val="18"/>
              </w:rPr>
            </w:pPr>
            <w:r w:rsidRPr="00847FAE">
              <w:rPr>
                <w:rFonts w:cs="Calibri"/>
                <w:color w:val="000000"/>
                <w:sz w:val="18"/>
                <w:szCs w:val="18"/>
              </w:rPr>
              <w:t>413</w:t>
            </w:r>
          </w:p>
        </w:tc>
        <w:tc>
          <w:tcPr>
            <w:tcW w:w="1275" w:type="dxa"/>
            <w:tcBorders>
              <w:top w:val="nil"/>
              <w:left w:val="nil"/>
              <w:bottom w:val="single" w:sz="4" w:space="0" w:color="auto"/>
              <w:right w:val="nil"/>
            </w:tcBorders>
            <w:noWrap/>
            <w:vAlign w:val="center"/>
          </w:tcPr>
          <w:p w14:paraId="06CCA03D" w14:textId="77777777" w:rsidR="00FD6F91" w:rsidRPr="00847FAE" w:rsidRDefault="00FD6F91" w:rsidP="00FD6F91">
            <w:pPr>
              <w:jc w:val="center"/>
              <w:rPr>
                <w:rFonts w:cs="Calibri"/>
                <w:color w:val="000000"/>
                <w:sz w:val="18"/>
                <w:szCs w:val="18"/>
              </w:rPr>
            </w:pPr>
            <w:r w:rsidRPr="00847FAE">
              <w:rPr>
                <w:rFonts w:cs="Calibri"/>
                <w:color w:val="000000"/>
                <w:sz w:val="18"/>
                <w:szCs w:val="18"/>
              </w:rPr>
              <w:t>-6.6%</w:t>
            </w:r>
          </w:p>
        </w:tc>
        <w:tc>
          <w:tcPr>
            <w:tcW w:w="1134" w:type="dxa"/>
            <w:tcBorders>
              <w:top w:val="nil"/>
              <w:left w:val="nil"/>
              <w:bottom w:val="single" w:sz="4" w:space="0" w:color="auto"/>
              <w:right w:val="nil"/>
            </w:tcBorders>
            <w:noWrap/>
            <w:vAlign w:val="center"/>
          </w:tcPr>
          <w:p w14:paraId="732C069E" w14:textId="77777777" w:rsidR="00FD6F91" w:rsidRPr="00847FAE" w:rsidRDefault="00FD6F91" w:rsidP="00FD6F91">
            <w:pPr>
              <w:jc w:val="center"/>
              <w:rPr>
                <w:rFonts w:cs="Calibri"/>
                <w:color w:val="000000"/>
                <w:sz w:val="18"/>
                <w:szCs w:val="18"/>
              </w:rPr>
            </w:pPr>
            <w:r w:rsidRPr="00847FAE">
              <w:rPr>
                <w:rFonts w:cs="Calibri"/>
                <w:color w:val="000000"/>
                <w:sz w:val="18"/>
                <w:szCs w:val="18"/>
              </w:rPr>
              <w:t>7.0</w:t>
            </w:r>
          </w:p>
        </w:tc>
        <w:tc>
          <w:tcPr>
            <w:tcW w:w="1276" w:type="dxa"/>
            <w:tcBorders>
              <w:top w:val="nil"/>
              <w:left w:val="nil"/>
              <w:bottom w:val="single" w:sz="4" w:space="0" w:color="auto"/>
              <w:right w:val="nil"/>
            </w:tcBorders>
            <w:noWrap/>
            <w:vAlign w:val="center"/>
          </w:tcPr>
          <w:p w14:paraId="7B06E005" w14:textId="77777777" w:rsidR="00FD6F91" w:rsidRPr="00847FAE" w:rsidRDefault="00FD6F91" w:rsidP="00FD6F91">
            <w:pPr>
              <w:jc w:val="center"/>
              <w:rPr>
                <w:rFonts w:cs="Calibri"/>
                <w:color w:val="000000"/>
                <w:sz w:val="18"/>
                <w:szCs w:val="18"/>
              </w:rPr>
            </w:pPr>
            <w:r w:rsidRPr="00847FAE">
              <w:rPr>
                <w:rFonts w:cs="Calibri"/>
                <w:color w:val="000000"/>
                <w:sz w:val="18"/>
                <w:szCs w:val="18"/>
              </w:rPr>
              <w:t>1.6 pp</w:t>
            </w:r>
          </w:p>
        </w:tc>
      </w:tr>
      <w:tr w:rsidR="00FD6F91" w:rsidRPr="00847FAE" w14:paraId="7FBA9E7A" w14:textId="77777777" w:rsidTr="001F1F60">
        <w:trPr>
          <w:cantSplit/>
          <w:trHeight w:val="255"/>
        </w:trPr>
        <w:tc>
          <w:tcPr>
            <w:tcW w:w="4395" w:type="dxa"/>
            <w:gridSpan w:val="4"/>
            <w:tcBorders>
              <w:top w:val="single" w:sz="4" w:space="0" w:color="auto"/>
              <w:left w:val="nil"/>
              <w:bottom w:val="single" w:sz="4" w:space="0" w:color="auto"/>
              <w:right w:val="nil"/>
            </w:tcBorders>
            <w:shd w:val="clear" w:color="auto" w:fill="D0CECE" w:themeFill="background2" w:themeFillShade="E6"/>
            <w:noWrap/>
            <w:vAlign w:val="center"/>
          </w:tcPr>
          <w:p w14:paraId="427DD227" w14:textId="77777777" w:rsidR="00FD6F91" w:rsidRPr="00847FAE" w:rsidRDefault="00FD6F91" w:rsidP="00FD6F91">
            <w:pPr>
              <w:widowControl w:val="0"/>
              <w:rPr>
                <w:rFonts w:cs="Calibri"/>
                <w:iCs/>
                <w:color w:val="FFFFFF" w:themeColor="background1"/>
                <w:sz w:val="18"/>
                <w:szCs w:val="18"/>
                <w:vertAlign w:val="superscript"/>
              </w:rPr>
            </w:pPr>
            <w:r w:rsidRPr="00847FAE">
              <w:rPr>
                <w:rFonts w:cs="Calibri"/>
                <w:iCs/>
                <w:sz w:val="18"/>
                <w:szCs w:val="18"/>
              </w:rPr>
              <w:t xml:space="preserve">CIVIL </w:t>
            </w: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6FF40538" w14:textId="77777777" w:rsidR="00FD6F91" w:rsidRPr="00847FAE" w:rsidRDefault="00FD6F91" w:rsidP="00FD6F91">
            <w:pPr>
              <w:widowControl w:val="0"/>
              <w:jc w:val="center"/>
              <w:rPr>
                <w:rFonts w:cs="Calibri"/>
                <w:iCs/>
                <w:color w:val="FFFFFF" w:themeColor="background1"/>
                <w:sz w:val="18"/>
                <w:szCs w:val="18"/>
              </w:rPr>
            </w:pPr>
          </w:p>
        </w:tc>
        <w:tc>
          <w:tcPr>
            <w:tcW w:w="1275" w:type="dxa"/>
            <w:tcBorders>
              <w:top w:val="single" w:sz="4" w:space="0" w:color="auto"/>
              <w:left w:val="nil"/>
              <w:bottom w:val="single" w:sz="4" w:space="0" w:color="auto"/>
              <w:right w:val="nil"/>
            </w:tcBorders>
            <w:shd w:val="clear" w:color="auto" w:fill="D0CECE" w:themeFill="background2" w:themeFillShade="E6"/>
            <w:noWrap/>
            <w:vAlign w:val="center"/>
          </w:tcPr>
          <w:p w14:paraId="7F793A7D" w14:textId="77777777" w:rsidR="00FD6F91" w:rsidRPr="00847FAE" w:rsidRDefault="00FD6F91" w:rsidP="00FD6F91">
            <w:pPr>
              <w:widowControl w:val="0"/>
              <w:jc w:val="center"/>
              <w:rPr>
                <w:rFonts w:cs="Calibri"/>
                <w:iCs/>
                <w:color w:val="FFFFFF" w:themeColor="background1"/>
                <w:sz w:val="18"/>
                <w:szCs w:val="18"/>
              </w:rPr>
            </w:pP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68C5C512" w14:textId="77777777" w:rsidR="00FD6F91" w:rsidRPr="00847FAE" w:rsidRDefault="00FD6F91" w:rsidP="00FD6F91">
            <w:pPr>
              <w:widowControl w:val="0"/>
              <w:jc w:val="center"/>
              <w:rPr>
                <w:rFonts w:cs="Calibri"/>
                <w:iCs/>
                <w:color w:val="FFFFFF" w:themeColor="background1"/>
                <w:sz w:val="18"/>
                <w:szCs w:val="18"/>
              </w:rPr>
            </w:pPr>
          </w:p>
        </w:tc>
        <w:tc>
          <w:tcPr>
            <w:tcW w:w="1276" w:type="dxa"/>
            <w:tcBorders>
              <w:top w:val="single" w:sz="4" w:space="0" w:color="auto"/>
              <w:left w:val="nil"/>
              <w:bottom w:val="single" w:sz="4" w:space="0" w:color="auto"/>
              <w:right w:val="nil"/>
            </w:tcBorders>
            <w:shd w:val="clear" w:color="auto" w:fill="D0CECE" w:themeFill="background2" w:themeFillShade="E6"/>
            <w:noWrap/>
            <w:vAlign w:val="center"/>
          </w:tcPr>
          <w:p w14:paraId="06262087" w14:textId="77777777" w:rsidR="00FD6F91" w:rsidRPr="00847FAE" w:rsidRDefault="00FD6F91" w:rsidP="00FD6F91">
            <w:pPr>
              <w:widowControl w:val="0"/>
              <w:jc w:val="center"/>
              <w:rPr>
                <w:rFonts w:cs="Calibri"/>
                <w:iCs/>
                <w:color w:val="FFFFFF" w:themeColor="background1"/>
                <w:sz w:val="18"/>
                <w:szCs w:val="18"/>
              </w:rPr>
            </w:pPr>
          </w:p>
        </w:tc>
      </w:tr>
      <w:tr w:rsidR="00FD6F91" w:rsidRPr="00847FAE" w14:paraId="2ED4BB81" w14:textId="77777777" w:rsidTr="001F1F60">
        <w:trPr>
          <w:cantSplit/>
          <w:trHeight w:val="255"/>
        </w:trPr>
        <w:tc>
          <w:tcPr>
            <w:tcW w:w="4395" w:type="dxa"/>
            <w:gridSpan w:val="4"/>
            <w:tcBorders>
              <w:top w:val="single" w:sz="4" w:space="0" w:color="auto"/>
              <w:left w:val="nil"/>
              <w:bottom w:val="nil"/>
              <w:right w:val="nil"/>
            </w:tcBorders>
            <w:noWrap/>
          </w:tcPr>
          <w:p w14:paraId="355E9A71" w14:textId="77777777" w:rsidR="00FD6F91" w:rsidRPr="00847FAE" w:rsidRDefault="00FD6F91" w:rsidP="00FD6F91">
            <w:pPr>
              <w:widowControl w:val="0"/>
              <w:rPr>
                <w:rFonts w:cs="Calibri"/>
                <w:b/>
                <w:iCs/>
                <w:color w:val="000000"/>
                <w:sz w:val="18"/>
                <w:szCs w:val="18"/>
                <w:vertAlign w:val="superscript"/>
              </w:rPr>
            </w:pPr>
            <w:r w:rsidRPr="00847FAE">
              <w:rPr>
                <w:rFonts w:cs="Calibri"/>
                <w:b/>
                <w:iCs/>
                <w:color w:val="000000"/>
                <w:sz w:val="18"/>
                <w:szCs w:val="18"/>
              </w:rPr>
              <w:t>Civil Magistrates Court</w:t>
            </w:r>
          </w:p>
        </w:tc>
        <w:tc>
          <w:tcPr>
            <w:tcW w:w="1134" w:type="dxa"/>
            <w:tcBorders>
              <w:top w:val="single" w:sz="4" w:space="0" w:color="auto"/>
              <w:left w:val="nil"/>
              <w:bottom w:val="nil"/>
              <w:right w:val="nil"/>
            </w:tcBorders>
            <w:noWrap/>
            <w:vAlign w:val="center"/>
          </w:tcPr>
          <w:p w14:paraId="0957BF17" w14:textId="77777777" w:rsidR="00FD6F91" w:rsidRPr="00847FAE" w:rsidRDefault="00FD6F91" w:rsidP="00FD6F91">
            <w:pPr>
              <w:widowControl w:val="0"/>
              <w:jc w:val="center"/>
              <w:rPr>
                <w:rFonts w:cs="Calibri"/>
                <w:iCs/>
                <w:color w:val="000000"/>
                <w:sz w:val="18"/>
                <w:szCs w:val="18"/>
              </w:rPr>
            </w:pPr>
          </w:p>
        </w:tc>
        <w:tc>
          <w:tcPr>
            <w:tcW w:w="1275" w:type="dxa"/>
            <w:tcBorders>
              <w:top w:val="single" w:sz="4" w:space="0" w:color="auto"/>
              <w:left w:val="nil"/>
              <w:bottom w:val="nil"/>
              <w:right w:val="nil"/>
            </w:tcBorders>
            <w:noWrap/>
            <w:vAlign w:val="center"/>
          </w:tcPr>
          <w:p w14:paraId="064A8743" w14:textId="77777777" w:rsidR="00FD6F91" w:rsidRPr="00847FAE" w:rsidRDefault="00FD6F91" w:rsidP="00FD6F91">
            <w:pPr>
              <w:widowControl w:val="0"/>
              <w:jc w:val="center"/>
              <w:rPr>
                <w:rFonts w:cs="Calibri"/>
                <w:iCs/>
                <w:color w:val="000000"/>
                <w:sz w:val="18"/>
                <w:szCs w:val="18"/>
              </w:rPr>
            </w:pPr>
          </w:p>
        </w:tc>
        <w:tc>
          <w:tcPr>
            <w:tcW w:w="1134" w:type="dxa"/>
            <w:tcBorders>
              <w:top w:val="single" w:sz="4" w:space="0" w:color="auto"/>
              <w:left w:val="nil"/>
              <w:bottom w:val="nil"/>
              <w:right w:val="nil"/>
            </w:tcBorders>
            <w:noWrap/>
            <w:vAlign w:val="center"/>
          </w:tcPr>
          <w:p w14:paraId="7433C7C4" w14:textId="77777777" w:rsidR="00FD6F91" w:rsidRPr="00847FAE" w:rsidRDefault="00FD6F91" w:rsidP="00FD6F91">
            <w:pPr>
              <w:widowControl w:val="0"/>
              <w:jc w:val="center"/>
              <w:rPr>
                <w:rFonts w:cs="Calibri"/>
                <w:iCs/>
                <w:color w:val="000000"/>
                <w:sz w:val="18"/>
                <w:szCs w:val="18"/>
              </w:rPr>
            </w:pPr>
          </w:p>
        </w:tc>
        <w:tc>
          <w:tcPr>
            <w:tcW w:w="1276" w:type="dxa"/>
            <w:tcBorders>
              <w:top w:val="single" w:sz="4" w:space="0" w:color="auto"/>
              <w:left w:val="nil"/>
              <w:bottom w:val="nil"/>
              <w:right w:val="nil"/>
            </w:tcBorders>
            <w:noWrap/>
            <w:vAlign w:val="center"/>
          </w:tcPr>
          <w:p w14:paraId="01838D6A" w14:textId="77777777" w:rsidR="00FD6F91" w:rsidRPr="00847FAE" w:rsidRDefault="00FD6F91" w:rsidP="00FD6F91">
            <w:pPr>
              <w:widowControl w:val="0"/>
              <w:jc w:val="center"/>
              <w:rPr>
                <w:rFonts w:cs="Calibri"/>
                <w:iCs/>
                <w:color w:val="000000"/>
                <w:sz w:val="18"/>
                <w:szCs w:val="18"/>
              </w:rPr>
            </w:pPr>
          </w:p>
        </w:tc>
      </w:tr>
      <w:tr w:rsidR="00FD6F91" w:rsidRPr="00847FAE" w14:paraId="64A8FA46" w14:textId="77777777" w:rsidTr="001F1F60">
        <w:trPr>
          <w:cantSplit/>
          <w:trHeight w:val="255"/>
        </w:trPr>
        <w:tc>
          <w:tcPr>
            <w:tcW w:w="462" w:type="dxa"/>
            <w:tcBorders>
              <w:top w:val="nil"/>
              <w:left w:val="nil"/>
              <w:bottom w:val="nil"/>
              <w:right w:val="nil"/>
            </w:tcBorders>
            <w:noWrap/>
          </w:tcPr>
          <w:p w14:paraId="322A0CD9" w14:textId="77777777" w:rsidR="00FD6F91" w:rsidRPr="00847FAE" w:rsidRDefault="00FD6F91" w:rsidP="00FD6F91">
            <w:pPr>
              <w:widowControl w:val="0"/>
              <w:rPr>
                <w:rFonts w:cs="Calibri"/>
                <w:color w:val="000000"/>
                <w:sz w:val="18"/>
                <w:szCs w:val="18"/>
              </w:rPr>
            </w:pPr>
          </w:p>
        </w:tc>
        <w:tc>
          <w:tcPr>
            <w:tcW w:w="3933" w:type="dxa"/>
            <w:gridSpan w:val="3"/>
            <w:tcBorders>
              <w:top w:val="nil"/>
              <w:left w:val="nil"/>
              <w:bottom w:val="nil"/>
              <w:right w:val="nil"/>
            </w:tcBorders>
            <w:noWrap/>
          </w:tcPr>
          <w:p w14:paraId="123B9CAA"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Civil Claims, Family Violence Orders, and Restraint Orders</w:t>
            </w:r>
          </w:p>
        </w:tc>
        <w:tc>
          <w:tcPr>
            <w:tcW w:w="1134" w:type="dxa"/>
            <w:tcBorders>
              <w:top w:val="nil"/>
              <w:left w:val="nil"/>
              <w:bottom w:val="nil"/>
              <w:right w:val="nil"/>
            </w:tcBorders>
            <w:noWrap/>
            <w:vAlign w:val="center"/>
          </w:tcPr>
          <w:p w14:paraId="13F5EDF4" w14:textId="77777777" w:rsidR="00FD6F91" w:rsidRPr="00847FAE" w:rsidRDefault="00FD6F91" w:rsidP="00FD6F91">
            <w:pPr>
              <w:jc w:val="center"/>
              <w:rPr>
                <w:rFonts w:cs="Calibri"/>
                <w:color w:val="000000"/>
                <w:sz w:val="18"/>
                <w:szCs w:val="18"/>
              </w:rPr>
            </w:pPr>
            <w:r w:rsidRPr="00847FAE">
              <w:rPr>
                <w:rFonts w:cs="Calibri"/>
                <w:color w:val="000000"/>
                <w:sz w:val="18"/>
                <w:szCs w:val="18"/>
              </w:rPr>
              <w:t>3,547</w:t>
            </w:r>
          </w:p>
        </w:tc>
        <w:tc>
          <w:tcPr>
            <w:tcW w:w="1275" w:type="dxa"/>
            <w:tcBorders>
              <w:top w:val="nil"/>
              <w:left w:val="nil"/>
              <w:bottom w:val="nil"/>
              <w:right w:val="nil"/>
            </w:tcBorders>
            <w:noWrap/>
            <w:vAlign w:val="center"/>
          </w:tcPr>
          <w:p w14:paraId="5CB670B5" w14:textId="77777777" w:rsidR="00FD6F91" w:rsidRPr="00847FAE" w:rsidRDefault="00FD6F91" w:rsidP="00FD6F91">
            <w:pPr>
              <w:jc w:val="center"/>
              <w:rPr>
                <w:rFonts w:cs="Calibri"/>
                <w:color w:val="000000"/>
                <w:sz w:val="18"/>
                <w:szCs w:val="18"/>
              </w:rPr>
            </w:pPr>
            <w:r w:rsidRPr="00847FAE">
              <w:rPr>
                <w:rFonts w:cs="Calibri"/>
                <w:color w:val="000000"/>
                <w:sz w:val="18"/>
                <w:szCs w:val="18"/>
              </w:rPr>
              <w:t>2.0%</w:t>
            </w:r>
          </w:p>
        </w:tc>
        <w:tc>
          <w:tcPr>
            <w:tcW w:w="1134" w:type="dxa"/>
            <w:tcBorders>
              <w:top w:val="nil"/>
              <w:left w:val="nil"/>
              <w:bottom w:val="nil"/>
              <w:right w:val="nil"/>
            </w:tcBorders>
            <w:noWrap/>
            <w:vAlign w:val="center"/>
          </w:tcPr>
          <w:p w14:paraId="5E0EC7C0" w14:textId="77777777" w:rsidR="00FD6F91" w:rsidRPr="00847FAE" w:rsidRDefault="00FD6F91" w:rsidP="00FD6F91">
            <w:pPr>
              <w:jc w:val="center"/>
              <w:rPr>
                <w:rFonts w:cs="Calibri"/>
                <w:color w:val="000000"/>
                <w:sz w:val="18"/>
                <w:szCs w:val="18"/>
              </w:rPr>
            </w:pPr>
            <w:r w:rsidRPr="00847FAE">
              <w:rPr>
                <w:rFonts w:cs="Calibri"/>
                <w:color w:val="000000"/>
                <w:sz w:val="18"/>
                <w:szCs w:val="18"/>
              </w:rPr>
              <w:t>10.7</w:t>
            </w:r>
          </w:p>
        </w:tc>
        <w:tc>
          <w:tcPr>
            <w:tcW w:w="1276" w:type="dxa"/>
            <w:tcBorders>
              <w:top w:val="nil"/>
              <w:left w:val="nil"/>
              <w:bottom w:val="nil"/>
              <w:right w:val="nil"/>
            </w:tcBorders>
            <w:noWrap/>
            <w:vAlign w:val="center"/>
          </w:tcPr>
          <w:p w14:paraId="7811F9CC" w14:textId="77777777" w:rsidR="00FD6F91" w:rsidRPr="00847FAE" w:rsidRDefault="00FD6F91" w:rsidP="00FD6F91">
            <w:pPr>
              <w:jc w:val="center"/>
              <w:rPr>
                <w:rFonts w:cs="Calibri"/>
                <w:color w:val="000000"/>
                <w:sz w:val="18"/>
                <w:szCs w:val="18"/>
              </w:rPr>
            </w:pPr>
            <w:r w:rsidRPr="00847FAE">
              <w:rPr>
                <w:rFonts w:cs="Calibri"/>
                <w:color w:val="000000"/>
                <w:sz w:val="18"/>
                <w:szCs w:val="18"/>
              </w:rPr>
              <w:t>-1.7 pp</w:t>
            </w:r>
          </w:p>
        </w:tc>
      </w:tr>
      <w:tr w:rsidR="00FD6F91" w:rsidRPr="00847FAE" w14:paraId="03216718" w14:textId="77777777" w:rsidTr="001F1F60">
        <w:trPr>
          <w:cantSplit/>
          <w:trHeight w:val="255"/>
        </w:trPr>
        <w:tc>
          <w:tcPr>
            <w:tcW w:w="4395" w:type="dxa"/>
            <w:gridSpan w:val="4"/>
            <w:tcBorders>
              <w:top w:val="nil"/>
              <w:left w:val="nil"/>
              <w:bottom w:val="nil"/>
              <w:right w:val="nil"/>
            </w:tcBorders>
            <w:noWrap/>
          </w:tcPr>
          <w:p w14:paraId="41963050" w14:textId="77777777" w:rsidR="00FD6F91" w:rsidRPr="00847FAE" w:rsidRDefault="00FD6F91" w:rsidP="00FD6F91">
            <w:pPr>
              <w:widowControl w:val="0"/>
              <w:rPr>
                <w:rFonts w:cs="Calibri"/>
                <w:b/>
                <w:iCs/>
                <w:color w:val="000000"/>
                <w:sz w:val="18"/>
                <w:szCs w:val="18"/>
              </w:rPr>
            </w:pPr>
            <w:r w:rsidRPr="00847FAE">
              <w:rPr>
                <w:rFonts w:cs="Calibri"/>
                <w:b/>
                <w:iCs/>
                <w:color w:val="000000"/>
                <w:sz w:val="18"/>
                <w:szCs w:val="18"/>
              </w:rPr>
              <w:t>Children’s Court</w:t>
            </w:r>
          </w:p>
        </w:tc>
        <w:tc>
          <w:tcPr>
            <w:tcW w:w="1134" w:type="dxa"/>
            <w:tcBorders>
              <w:top w:val="nil"/>
              <w:left w:val="nil"/>
              <w:bottom w:val="nil"/>
              <w:right w:val="nil"/>
            </w:tcBorders>
            <w:noWrap/>
            <w:vAlign w:val="center"/>
          </w:tcPr>
          <w:p w14:paraId="39C84195" w14:textId="77777777" w:rsidR="00FD6F91" w:rsidRPr="00847FAE" w:rsidRDefault="00FD6F91" w:rsidP="00FD6F91">
            <w:pPr>
              <w:widowControl w:val="0"/>
              <w:jc w:val="center"/>
              <w:rPr>
                <w:rFonts w:cs="Calibri"/>
                <w:iCs/>
                <w:color w:val="000000"/>
                <w:sz w:val="18"/>
                <w:szCs w:val="18"/>
              </w:rPr>
            </w:pPr>
          </w:p>
        </w:tc>
        <w:tc>
          <w:tcPr>
            <w:tcW w:w="1275" w:type="dxa"/>
            <w:tcBorders>
              <w:top w:val="nil"/>
              <w:left w:val="nil"/>
              <w:bottom w:val="nil"/>
              <w:right w:val="nil"/>
            </w:tcBorders>
            <w:noWrap/>
            <w:vAlign w:val="center"/>
          </w:tcPr>
          <w:p w14:paraId="5288C6C5" w14:textId="77777777" w:rsidR="00FD6F91" w:rsidRPr="00847FAE" w:rsidRDefault="00FD6F91" w:rsidP="00FD6F91">
            <w:pPr>
              <w:jc w:val="center"/>
              <w:rPr>
                <w:rFonts w:cs="Calibri"/>
                <w:color w:val="000000"/>
                <w:sz w:val="18"/>
                <w:szCs w:val="18"/>
              </w:rPr>
            </w:pPr>
          </w:p>
        </w:tc>
        <w:tc>
          <w:tcPr>
            <w:tcW w:w="1134" w:type="dxa"/>
            <w:tcBorders>
              <w:top w:val="nil"/>
              <w:left w:val="nil"/>
              <w:bottom w:val="nil"/>
              <w:right w:val="nil"/>
            </w:tcBorders>
            <w:noWrap/>
            <w:vAlign w:val="center"/>
          </w:tcPr>
          <w:p w14:paraId="643E6502" w14:textId="77777777" w:rsidR="00FD6F91" w:rsidRPr="00847FAE" w:rsidRDefault="00FD6F91" w:rsidP="00FD6F91">
            <w:pPr>
              <w:jc w:val="center"/>
              <w:rPr>
                <w:sz w:val="20"/>
                <w:szCs w:val="20"/>
              </w:rPr>
            </w:pPr>
          </w:p>
        </w:tc>
        <w:tc>
          <w:tcPr>
            <w:tcW w:w="1276" w:type="dxa"/>
            <w:tcBorders>
              <w:top w:val="nil"/>
              <w:left w:val="nil"/>
              <w:bottom w:val="nil"/>
              <w:right w:val="nil"/>
            </w:tcBorders>
            <w:noWrap/>
            <w:vAlign w:val="center"/>
          </w:tcPr>
          <w:p w14:paraId="48B5D7B7" w14:textId="77777777" w:rsidR="00FD6F91" w:rsidRPr="00847FAE" w:rsidRDefault="00FD6F91" w:rsidP="00FD6F91">
            <w:pPr>
              <w:jc w:val="center"/>
              <w:rPr>
                <w:sz w:val="20"/>
                <w:szCs w:val="20"/>
              </w:rPr>
            </w:pPr>
          </w:p>
        </w:tc>
      </w:tr>
      <w:tr w:rsidR="00FD6F91" w:rsidRPr="00847FAE" w14:paraId="3A4EC07E" w14:textId="77777777" w:rsidTr="001F1F60">
        <w:trPr>
          <w:cantSplit/>
          <w:trHeight w:val="255"/>
        </w:trPr>
        <w:tc>
          <w:tcPr>
            <w:tcW w:w="462" w:type="dxa"/>
            <w:tcBorders>
              <w:top w:val="nil"/>
              <w:left w:val="nil"/>
              <w:bottom w:val="nil"/>
              <w:right w:val="nil"/>
            </w:tcBorders>
            <w:noWrap/>
          </w:tcPr>
          <w:p w14:paraId="337CAE81" w14:textId="77777777" w:rsidR="00FD6F91" w:rsidRPr="00847FAE" w:rsidRDefault="00FD6F91" w:rsidP="00FD6F91">
            <w:pPr>
              <w:widowControl w:val="0"/>
              <w:rPr>
                <w:rFonts w:cs="Calibri"/>
                <w:color w:val="000000"/>
                <w:sz w:val="18"/>
                <w:szCs w:val="18"/>
              </w:rPr>
            </w:pPr>
          </w:p>
        </w:tc>
        <w:tc>
          <w:tcPr>
            <w:tcW w:w="3933" w:type="dxa"/>
            <w:gridSpan w:val="3"/>
            <w:tcBorders>
              <w:top w:val="nil"/>
              <w:left w:val="nil"/>
              <w:bottom w:val="nil"/>
              <w:right w:val="nil"/>
            </w:tcBorders>
            <w:noWrap/>
          </w:tcPr>
          <w:p w14:paraId="513F59D7"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Care and Protection and Supervision Orders</w:t>
            </w:r>
          </w:p>
        </w:tc>
        <w:tc>
          <w:tcPr>
            <w:tcW w:w="1134" w:type="dxa"/>
            <w:tcBorders>
              <w:top w:val="nil"/>
              <w:left w:val="nil"/>
              <w:bottom w:val="nil"/>
              <w:right w:val="nil"/>
            </w:tcBorders>
            <w:noWrap/>
            <w:vAlign w:val="center"/>
          </w:tcPr>
          <w:p w14:paraId="066668D2" w14:textId="77777777" w:rsidR="00FD6F91" w:rsidRPr="00847FAE" w:rsidRDefault="00FD6F91" w:rsidP="00FD6F91">
            <w:pPr>
              <w:jc w:val="center"/>
              <w:rPr>
                <w:rFonts w:cs="Calibri"/>
                <w:color w:val="000000"/>
                <w:sz w:val="18"/>
                <w:szCs w:val="18"/>
              </w:rPr>
            </w:pPr>
            <w:r w:rsidRPr="00847FAE">
              <w:rPr>
                <w:rFonts w:cs="Calibri"/>
                <w:color w:val="000000"/>
                <w:sz w:val="18"/>
                <w:szCs w:val="18"/>
              </w:rPr>
              <w:t>66</w:t>
            </w:r>
          </w:p>
        </w:tc>
        <w:tc>
          <w:tcPr>
            <w:tcW w:w="1275" w:type="dxa"/>
            <w:tcBorders>
              <w:top w:val="nil"/>
              <w:left w:val="nil"/>
              <w:bottom w:val="nil"/>
              <w:right w:val="nil"/>
            </w:tcBorders>
            <w:noWrap/>
            <w:vAlign w:val="center"/>
          </w:tcPr>
          <w:p w14:paraId="21D0005B" w14:textId="77777777" w:rsidR="00FD6F91" w:rsidRPr="00847FAE" w:rsidRDefault="00FD6F91" w:rsidP="00FD6F91">
            <w:pPr>
              <w:jc w:val="center"/>
              <w:rPr>
                <w:rFonts w:cs="Calibri"/>
                <w:color w:val="000000"/>
                <w:sz w:val="18"/>
                <w:szCs w:val="18"/>
              </w:rPr>
            </w:pPr>
            <w:r w:rsidRPr="00847FAE">
              <w:rPr>
                <w:rFonts w:cs="Calibri"/>
                <w:color w:val="000000"/>
                <w:sz w:val="18"/>
                <w:szCs w:val="18"/>
              </w:rPr>
              <w:t>11.9%</w:t>
            </w:r>
          </w:p>
        </w:tc>
        <w:tc>
          <w:tcPr>
            <w:tcW w:w="1134" w:type="dxa"/>
            <w:tcBorders>
              <w:top w:val="nil"/>
              <w:left w:val="nil"/>
              <w:bottom w:val="nil"/>
              <w:right w:val="nil"/>
            </w:tcBorders>
            <w:noWrap/>
            <w:vAlign w:val="center"/>
          </w:tcPr>
          <w:p w14:paraId="43AA6226" w14:textId="77777777" w:rsidR="00FD6F91" w:rsidRPr="00847FAE" w:rsidRDefault="00FD6F91" w:rsidP="00FD6F91">
            <w:pPr>
              <w:jc w:val="center"/>
              <w:rPr>
                <w:rFonts w:cs="Calibri"/>
                <w:color w:val="000000"/>
                <w:sz w:val="18"/>
                <w:szCs w:val="18"/>
              </w:rPr>
            </w:pPr>
            <w:r w:rsidRPr="00847FAE">
              <w:rPr>
                <w:rFonts w:cs="Calibri"/>
                <w:color w:val="000000"/>
                <w:sz w:val="18"/>
                <w:szCs w:val="18"/>
              </w:rPr>
              <w:t>17</w:t>
            </w:r>
          </w:p>
        </w:tc>
        <w:tc>
          <w:tcPr>
            <w:tcW w:w="1276" w:type="dxa"/>
            <w:tcBorders>
              <w:top w:val="nil"/>
              <w:left w:val="nil"/>
              <w:bottom w:val="nil"/>
              <w:right w:val="nil"/>
            </w:tcBorders>
            <w:noWrap/>
            <w:vAlign w:val="center"/>
          </w:tcPr>
          <w:p w14:paraId="7A842365" w14:textId="77777777" w:rsidR="00FD6F91" w:rsidRPr="00847FAE" w:rsidRDefault="00FD6F91" w:rsidP="00FD6F91">
            <w:pPr>
              <w:jc w:val="center"/>
              <w:rPr>
                <w:rFonts w:cs="Calibri"/>
                <w:color w:val="000000"/>
                <w:sz w:val="18"/>
                <w:szCs w:val="18"/>
              </w:rPr>
            </w:pPr>
            <w:r w:rsidRPr="00847FAE">
              <w:rPr>
                <w:rFonts w:cs="Calibri"/>
                <w:color w:val="000000"/>
                <w:sz w:val="18"/>
                <w:szCs w:val="18"/>
              </w:rPr>
              <w:t>7 pp</w:t>
            </w:r>
          </w:p>
        </w:tc>
      </w:tr>
      <w:tr w:rsidR="00FD6F91" w:rsidRPr="00847FAE" w14:paraId="28A78BA8" w14:textId="77777777" w:rsidTr="001F1F60">
        <w:trPr>
          <w:cantSplit/>
          <w:trHeight w:val="255"/>
        </w:trPr>
        <w:tc>
          <w:tcPr>
            <w:tcW w:w="4395" w:type="dxa"/>
            <w:gridSpan w:val="4"/>
            <w:tcBorders>
              <w:top w:val="nil"/>
              <w:left w:val="nil"/>
              <w:bottom w:val="nil"/>
              <w:right w:val="nil"/>
            </w:tcBorders>
            <w:noWrap/>
          </w:tcPr>
          <w:p w14:paraId="7A3B83B4" w14:textId="77777777" w:rsidR="00FD6F91" w:rsidRPr="00847FAE" w:rsidRDefault="00FD6F91" w:rsidP="00FD6F91">
            <w:pPr>
              <w:widowControl w:val="0"/>
              <w:rPr>
                <w:rFonts w:cs="Calibri"/>
                <w:b/>
                <w:iCs/>
                <w:color w:val="000000"/>
                <w:sz w:val="18"/>
                <w:szCs w:val="18"/>
              </w:rPr>
            </w:pPr>
            <w:r w:rsidRPr="00847FAE">
              <w:rPr>
                <w:rFonts w:cs="Calibri"/>
                <w:b/>
                <w:iCs/>
                <w:color w:val="000000"/>
                <w:sz w:val="18"/>
                <w:szCs w:val="18"/>
              </w:rPr>
              <w:t>Coroners Court</w:t>
            </w:r>
          </w:p>
        </w:tc>
        <w:tc>
          <w:tcPr>
            <w:tcW w:w="1134" w:type="dxa"/>
            <w:tcBorders>
              <w:top w:val="nil"/>
              <w:left w:val="nil"/>
              <w:bottom w:val="nil"/>
              <w:right w:val="nil"/>
            </w:tcBorders>
            <w:noWrap/>
            <w:vAlign w:val="center"/>
          </w:tcPr>
          <w:p w14:paraId="583879BD" w14:textId="77777777" w:rsidR="00FD6F91" w:rsidRPr="00847FAE" w:rsidRDefault="00FD6F91" w:rsidP="00FD6F91">
            <w:pPr>
              <w:widowControl w:val="0"/>
              <w:jc w:val="center"/>
              <w:rPr>
                <w:rFonts w:cs="Calibri"/>
                <w:iCs/>
                <w:color w:val="000000"/>
                <w:sz w:val="18"/>
                <w:szCs w:val="18"/>
              </w:rPr>
            </w:pPr>
          </w:p>
        </w:tc>
        <w:tc>
          <w:tcPr>
            <w:tcW w:w="1275" w:type="dxa"/>
            <w:tcBorders>
              <w:top w:val="nil"/>
              <w:left w:val="nil"/>
              <w:bottom w:val="nil"/>
              <w:right w:val="nil"/>
            </w:tcBorders>
            <w:noWrap/>
            <w:vAlign w:val="center"/>
          </w:tcPr>
          <w:p w14:paraId="09A3307D" w14:textId="77777777" w:rsidR="00FD6F91" w:rsidRPr="00847FAE" w:rsidRDefault="00FD6F91" w:rsidP="00FD6F91">
            <w:pPr>
              <w:jc w:val="center"/>
              <w:rPr>
                <w:rFonts w:cs="Calibri"/>
                <w:color w:val="000000"/>
                <w:sz w:val="18"/>
                <w:szCs w:val="18"/>
              </w:rPr>
            </w:pPr>
          </w:p>
        </w:tc>
        <w:tc>
          <w:tcPr>
            <w:tcW w:w="1134" w:type="dxa"/>
            <w:tcBorders>
              <w:top w:val="nil"/>
              <w:left w:val="nil"/>
              <w:bottom w:val="nil"/>
              <w:right w:val="nil"/>
            </w:tcBorders>
            <w:noWrap/>
            <w:vAlign w:val="center"/>
          </w:tcPr>
          <w:p w14:paraId="5487E34E" w14:textId="77777777" w:rsidR="00FD6F91" w:rsidRPr="00847FAE" w:rsidRDefault="00FD6F91" w:rsidP="00FD6F91">
            <w:pPr>
              <w:jc w:val="center"/>
              <w:rPr>
                <w:sz w:val="20"/>
                <w:szCs w:val="20"/>
              </w:rPr>
            </w:pPr>
          </w:p>
        </w:tc>
        <w:tc>
          <w:tcPr>
            <w:tcW w:w="1276" w:type="dxa"/>
            <w:tcBorders>
              <w:top w:val="nil"/>
              <w:left w:val="nil"/>
              <w:bottom w:val="nil"/>
              <w:right w:val="nil"/>
            </w:tcBorders>
            <w:noWrap/>
            <w:vAlign w:val="center"/>
          </w:tcPr>
          <w:p w14:paraId="7C281481" w14:textId="77777777" w:rsidR="00FD6F91" w:rsidRPr="00847FAE" w:rsidRDefault="00FD6F91" w:rsidP="00FD6F91">
            <w:pPr>
              <w:jc w:val="center"/>
              <w:rPr>
                <w:sz w:val="20"/>
                <w:szCs w:val="20"/>
              </w:rPr>
            </w:pPr>
          </w:p>
        </w:tc>
      </w:tr>
      <w:tr w:rsidR="00FD6F91" w:rsidRPr="00847FAE" w14:paraId="30C261C5" w14:textId="77777777" w:rsidTr="001F1F60">
        <w:trPr>
          <w:cantSplit/>
          <w:trHeight w:val="255"/>
        </w:trPr>
        <w:tc>
          <w:tcPr>
            <w:tcW w:w="462" w:type="dxa"/>
            <w:tcBorders>
              <w:top w:val="nil"/>
              <w:left w:val="nil"/>
              <w:bottom w:val="single" w:sz="4" w:space="0" w:color="auto"/>
              <w:right w:val="nil"/>
            </w:tcBorders>
            <w:noWrap/>
          </w:tcPr>
          <w:p w14:paraId="3EA569FF" w14:textId="77777777" w:rsidR="00FD6F91" w:rsidRPr="00847FAE" w:rsidRDefault="00FD6F91" w:rsidP="00FD6F91">
            <w:pPr>
              <w:widowControl w:val="0"/>
              <w:rPr>
                <w:rFonts w:cs="Calibri"/>
                <w:color w:val="000000"/>
                <w:sz w:val="18"/>
                <w:szCs w:val="18"/>
              </w:rPr>
            </w:pPr>
          </w:p>
        </w:tc>
        <w:tc>
          <w:tcPr>
            <w:tcW w:w="3933" w:type="dxa"/>
            <w:gridSpan w:val="3"/>
            <w:tcBorders>
              <w:top w:val="nil"/>
              <w:left w:val="nil"/>
              <w:bottom w:val="single" w:sz="4" w:space="0" w:color="auto"/>
              <w:right w:val="nil"/>
            </w:tcBorders>
            <w:noWrap/>
          </w:tcPr>
          <w:p w14:paraId="6AE03DCA"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Reportable deaths, fires and explosions</w:t>
            </w:r>
          </w:p>
        </w:tc>
        <w:tc>
          <w:tcPr>
            <w:tcW w:w="1134" w:type="dxa"/>
            <w:tcBorders>
              <w:top w:val="nil"/>
              <w:left w:val="nil"/>
              <w:bottom w:val="single" w:sz="4" w:space="0" w:color="auto"/>
              <w:right w:val="nil"/>
            </w:tcBorders>
            <w:noWrap/>
            <w:vAlign w:val="center"/>
          </w:tcPr>
          <w:p w14:paraId="37AF6CA3" w14:textId="77777777" w:rsidR="00FD6F91" w:rsidRPr="00847FAE" w:rsidRDefault="00FD6F91" w:rsidP="00FD6F91">
            <w:pPr>
              <w:jc w:val="center"/>
              <w:rPr>
                <w:rFonts w:cs="Calibri"/>
                <w:color w:val="000000"/>
                <w:sz w:val="18"/>
                <w:szCs w:val="18"/>
              </w:rPr>
            </w:pPr>
            <w:r w:rsidRPr="00847FAE">
              <w:rPr>
                <w:rFonts w:cs="Calibri"/>
                <w:color w:val="000000"/>
                <w:sz w:val="18"/>
                <w:szCs w:val="18"/>
              </w:rPr>
              <w:t>553</w:t>
            </w:r>
          </w:p>
        </w:tc>
        <w:tc>
          <w:tcPr>
            <w:tcW w:w="1275" w:type="dxa"/>
            <w:tcBorders>
              <w:top w:val="nil"/>
              <w:left w:val="nil"/>
              <w:bottom w:val="single" w:sz="4" w:space="0" w:color="auto"/>
              <w:right w:val="nil"/>
            </w:tcBorders>
            <w:noWrap/>
            <w:vAlign w:val="center"/>
          </w:tcPr>
          <w:p w14:paraId="5FE7859A" w14:textId="77777777" w:rsidR="00FD6F91" w:rsidRPr="00847FAE" w:rsidRDefault="00FD6F91" w:rsidP="00FD6F91">
            <w:pPr>
              <w:jc w:val="center"/>
              <w:rPr>
                <w:rFonts w:cs="Calibri"/>
                <w:color w:val="000000"/>
                <w:sz w:val="18"/>
                <w:szCs w:val="18"/>
              </w:rPr>
            </w:pPr>
            <w:r w:rsidRPr="00847FAE">
              <w:rPr>
                <w:rFonts w:cs="Calibri"/>
                <w:color w:val="000000"/>
                <w:sz w:val="18"/>
                <w:szCs w:val="18"/>
              </w:rPr>
              <w:t>-1.8%</w:t>
            </w:r>
          </w:p>
        </w:tc>
        <w:tc>
          <w:tcPr>
            <w:tcW w:w="1134" w:type="dxa"/>
            <w:tcBorders>
              <w:top w:val="nil"/>
              <w:left w:val="nil"/>
              <w:bottom w:val="single" w:sz="4" w:space="0" w:color="auto"/>
              <w:right w:val="nil"/>
            </w:tcBorders>
            <w:noWrap/>
            <w:vAlign w:val="center"/>
          </w:tcPr>
          <w:p w14:paraId="4FFD3D5C" w14:textId="77777777" w:rsidR="00FD6F91" w:rsidRPr="00847FAE" w:rsidRDefault="00FD6F91" w:rsidP="00FD6F91">
            <w:pPr>
              <w:jc w:val="center"/>
              <w:rPr>
                <w:rFonts w:cs="Calibri"/>
                <w:color w:val="000000"/>
                <w:sz w:val="18"/>
                <w:szCs w:val="18"/>
              </w:rPr>
            </w:pPr>
            <w:r w:rsidRPr="00847FAE">
              <w:rPr>
                <w:rFonts w:cs="Calibri"/>
                <w:color w:val="000000"/>
                <w:sz w:val="18"/>
                <w:szCs w:val="18"/>
              </w:rPr>
              <w:t>40.9</w:t>
            </w:r>
          </w:p>
        </w:tc>
        <w:tc>
          <w:tcPr>
            <w:tcW w:w="1276" w:type="dxa"/>
            <w:tcBorders>
              <w:top w:val="nil"/>
              <w:left w:val="nil"/>
              <w:bottom w:val="single" w:sz="4" w:space="0" w:color="auto"/>
              <w:right w:val="nil"/>
            </w:tcBorders>
            <w:noWrap/>
            <w:vAlign w:val="center"/>
          </w:tcPr>
          <w:p w14:paraId="4127D926" w14:textId="7AA4FE73" w:rsidR="00FD6F91" w:rsidRPr="00847FAE" w:rsidRDefault="0096420A" w:rsidP="0096420A">
            <w:pPr>
              <w:jc w:val="center"/>
              <w:rPr>
                <w:rFonts w:cs="Calibri"/>
                <w:color w:val="000000"/>
                <w:sz w:val="18"/>
                <w:szCs w:val="18"/>
              </w:rPr>
            </w:pPr>
            <w:r>
              <w:rPr>
                <w:rFonts w:cs="Calibri"/>
                <w:color w:val="000000"/>
                <w:sz w:val="18"/>
                <w:szCs w:val="18"/>
              </w:rPr>
              <w:t>1</w:t>
            </w:r>
            <w:r w:rsidR="00FD6F91" w:rsidRPr="00847FAE">
              <w:rPr>
                <w:rFonts w:cs="Calibri"/>
                <w:color w:val="000000"/>
                <w:sz w:val="18"/>
                <w:szCs w:val="18"/>
              </w:rPr>
              <w:t>.</w:t>
            </w:r>
            <w:r>
              <w:rPr>
                <w:rFonts w:cs="Calibri"/>
                <w:color w:val="000000"/>
                <w:sz w:val="18"/>
                <w:szCs w:val="18"/>
              </w:rPr>
              <w:t>5</w:t>
            </w:r>
            <w:r w:rsidR="00FD6F91" w:rsidRPr="00847FAE">
              <w:rPr>
                <w:rFonts w:cs="Calibri"/>
                <w:color w:val="000000"/>
                <w:sz w:val="18"/>
                <w:szCs w:val="18"/>
              </w:rPr>
              <w:t xml:space="preserve"> pp</w:t>
            </w:r>
          </w:p>
        </w:tc>
      </w:tr>
      <w:tr w:rsidR="00FD6F91" w:rsidRPr="00847FAE" w14:paraId="4544CAAD" w14:textId="77777777" w:rsidTr="001F1F60">
        <w:trPr>
          <w:cantSplit/>
          <w:trHeight w:val="255"/>
        </w:trPr>
        <w:tc>
          <w:tcPr>
            <w:tcW w:w="4395" w:type="dxa"/>
            <w:gridSpan w:val="4"/>
            <w:tcBorders>
              <w:top w:val="single" w:sz="4" w:space="0" w:color="auto"/>
              <w:left w:val="nil"/>
              <w:bottom w:val="single" w:sz="4" w:space="0" w:color="auto"/>
              <w:right w:val="nil"/>
            </w:tcBorders>
            <w:shd w:val="clear" w:color="auto" w:fill="D0CECE" w:themeFill="background2" w:themeFillShade="E6"/>
            <w:noWrap/>
          </w:tcPr>
          <w:p w14:paraId="2C2D89AD" w14:textId="77777777" w:rsidR="00FD6F91" w:rsidRPr="00847FAE" w:rsidRDefault="00FD6F91" w:rsidP="00FD6F91">
            <w:pPr>
              <w:widowControl w:val="0"/>
              <w:rPr>
                <w:rFonts w:cs="Calibri"/>
                <w:iCs/>
                <w:color w:val="000000"/>
                <w:sz w:val="18"/>
                <w:szCs w:val="18"/>
              </w:rPr>
            </w:pPr>
            <w:r w:rsidRPr="00847FAE">
              <w:rPr>
                <w:rFonts w:cs="Calibri"/>
                <w:color w:val="000000"/>
                <w:sz w:val="18"/>
                <w:szCs w:val="18"/>
              </w:rPr>
              <w:t>TOTAL</w:t>
            </w: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6A0773C8" w14:textId="77777777" w:rsidR="00FD6F91" w:rsidRPr="00847FAE" w:rsidRDefault="00FD6F91" w:rsidP="00FD6F91">
            <w:pPr>
              <w:widowControl w:val="0"/>
              <w:jc w:val="center"/>
              <w:rPr>
                <w:rFonts w:cs="Calibri"/>
                <w:iCs/>
                <w:color w:val="000000"/>
                <w:sz w:val="18"/>
                <w:szCs w:val="18"/>
              </w:rPr>
            </w:pPr>
          </w:p>
        </w:tc>
        <w:tc>
          <w:tcPr>
            <w:tcW w:w="1275" w:type="dxa"/>
            <w:tcBorders>
              <w:top w:val="single" w:sz="4" w:space="0" w:color="auto"/>
              <w:left w:val="nil"/>
              <w:bottom w:val="single" w:sz="4" w:space="0" w:color="auto"/>
              <w:right w:val="nil"/>
            </w:tcBorders>
            <w:shd w:val="clear" w:color="auto" w:fill="D0CECE" w:themeFill="background2" w:themeFillShade="E6"/>
            <w:noWrap/>
            <w:vAlign w:val="center"/>
          </w:tcPr>
          <w:p w14:paraId="3AF1B9DD" w14:textId="77777777" w:rsidR="00FD6F91" w:rsidRPr="00847FAE" w:rsidRDefault="00FD6F91" w:rsidP="00FD6F91">
            <w:pPr>
              <w:widowControl w:val="0"/>
              <w:jc w:val="center"/>
              <w:rPr>
                <w:rFonts w:cs="Calibri"/>
                <w:iCs/>
                <w:color w:val="000000"/>
                <w:sz w:val="18"/>
                <w:szCs w:val="18"/>
              </w:rPr>
            </w:pP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667436F0" w14:textId="77777777" w:rsidR="00FD6F91" w:rsidRPr="00847FAE" w:rsidRDefault="00FD6F91" w:rsidP="00FD6F91">
            <w:pPr>
              <w:widowControl w:val="0"/>
              <w:jc w:val="center"/>
              <w:rPr>
                <w:rFonts w:cs="Calibri"/>
                <w:iCs/>
                <w:color w:val="000000"/>
                <w:sz w:val="18"/>
                <w:szCs w:val="18"/>
              </w:rPr>
            </w:pPr>
          </w:p>
        </w:tc>
        <w:tc>
          <w:tcPr>
            <w:tcW w:w="1276" w:type="dxa"/>
            <w:tcBorders>
              <w:top w:val="single" w:sz="4" w:space="0" w:color="auto"/>
              <w:left w:val="nil"/>
              <w:bottom w:val="single" w:sz="4" w:space="0" w:color="auto"/>
              <w:right w:val="nil"/>
            </w:tcBorders>
            <w:shd w:val="clear" w:color="auto" w:fill="D0CECE" w:themeFill="background2" w:themeFillShade="E6"/>
            <w:noWrap/>
            <w:vAlign w:val="center"/>
          </w:tcPr>
          <w:p w14:paraId="136C855C" w14:textId="77777777" w:rsidR="00FD6F91" w:rsidRPr="00847FAE" w:rsidRDefault="00FD6F91" w:rsidP="00FD6F91">
            <w:pPr>
              <w:widowControl w:val="0"/>
              <w:jc w:val="center"/>
              <w:rPr>
                <w:rFonts w:cs="Calibri"/>
                <w:iCs/>
                <w:color w:val="000000"/>
                <w:sz w:val="18"/>
                <w:szCs w:val="18"/>
              </w:rPr>
            </w:pPr>
          </w:p>
        </w:tc>
      </w:tr>
      <w:tr w:rsidR="00FD6F91" w:rsidRPr="00847FAE" w14:paraId="60217886" w14:textId="77777777" w:rsidTr="001F1F60">
        <w:trPr>
          <w:cantSplit/>
          <w:trHeight w:val="255"/>
        </w:trPr>
        <w:tc>
          <w:tcPr>
            <w:tcW w:w="9214" w:type="dxa"/>
            <w:gridSpan w:val="8"/>
            <w:tcBorders>
              <w:top w:val="single" w:sz="4" w:space="0" w:color="auto"/>
              <w:left w:val="nil"/>
              <w:bottom w:val="nil"/>
              <w:right w:val="nil"/>
            </w:tcBorders>
            <w:shd w:val="clear" w:color="auto" w:fill="FFFFFF" w:themeFill="background1"/>
            <w:noWrap/>
          </w:tcPr>
          <w:p w14:paraId="7B2027C9" w14:textId="77777777" w:rsidR="00FD6F91" w:rsidRPr="00847FAE" w:rsidRDefault="00FD6F91" w:rsidP="00FD6F91">
            <w:pPr>
              <w:widowControl w:val="0"/>
              <w:rPr>
                <w:rFonts w:cs="Calibri"/>
                <w:color w:val="000000"/>
                <w:sz w:val="15"/>
                <w:szCs w:val="15"/>
              </w:rPr>
            </w:pPr>
            <w:r w:rsidRPr="00847FAE">
              <w:rPr>
                <w:rFonts w:cs="Calibri"/>
                <w:b/>
                <w:color w:val="000000"/>
                <w:sz w:val="15"/>
                <w:szCs w:val="15"/>
                <w:vertAlign w:val="superscript"/>
              </w:rPr>
              <w:t>1</w:t>
            </w:r>
            <w:r w:rsidRPr="00847FAE">
              <w:rPr>
                <w:rFonts w:cs="Calibri"/>
                <w:b/>
                <w:color w:val="000000"/>
                <w:sz w:val="15"/>
                <w:szCs w:val="15"/>
              </w:rPr>
              <w:t xml:space="preserve"> </w:t>
            </w:r>
            <w:r w:rsidRPr="00847FAE">
              <w:rPr>
                <w:rFonts w:cs="Calibri"/>
                <w:color w:val="000000"/>
                <w:sz w:val="15"/>
                <w:szCs w:val="15"/>
              </w:rPr>
              <w:t xml:space="preserve">This table summarises information provided in Tables 12 and 13. In accordance with the Report on Government Services (RoGS) statistical reporting manual, the pending caseload for civil claims, family violence and intervention orders, and care and protection orders counts only originating matters (e.g. application for an order) and not secondary processes (e.g. application to vary an order). </w:t>
            </w:r>
          </w:p>
          <w:p w14:paraId="1BA33B2A" w14:textId="77777777" w:rsidR="00FD6F91" w:rsidRPr="00847FAE" w:rsidRDefault="00FD6F91" w:rsidP="00FD6F91">
            <w:pPr>
              <w:widowControl w:val="0"/>
              <w:rPr>
                <w:rFonts w:cs="Calibri"/>
                <w:iCs/>
                <w:color w:val="000000"/>
                <w:sz w:val="18"/>
                <w:szCs w:val="18"/>
              </w:rPr>
            </w:pPr>
            <w:r w:rsidRPr="00847FAE">
              <w:rPr>
                <w:rFonts w:cs="Calibri"/>
                <w:i/>
                <w:color w:val="000000"/>
                <w:sz w:val="15"/>
                <w:szCs w:val="15"/>
              </w:rPr>
              <w:t>Source: CRIMESStats database; Civil Registry Management System (CRMS),</w:t>
            </w:r>
          </w:p>
        </w:tc>
      </w:tr>
    </w:tbl>
    <w:p w14:paraId="7F198458" w14:textId="77777777" w:rsidR="00FD6F91" w:rsidRPr="00847FAE" w:rsidRDefault="00FD6F91" w:rsidP="00FD6F91">
      <w:pPr>
        <w:rPr>
          <w:rFonts w:eastAsiaTheme="minorHAnsi"/>
          <w:lang w:eastAsia="en-US"/>
        </w:rPr>
      </w:pPr>
    </w:p>
    <w:p w14:paraId="4364D006" w14:textId="77777777" w:rsidR="009F6E47" w:rsidRPr="00847FAE" w:rsidRDefault="009F6E47" w:rsidP="00FD6F91">
      <w:pPr>
        <w:keepNext/>
        <w:keepLines/>
        <w:spacing w:before="40"/>
        <w:outlineLvl w:val="2"/>
        <w:rPr>
          <w:rFonts w:eastAsiaTheme="majorEastAsia" w:cstheme="majorBidi"/>
          <w:lang w:eastAsia="en-US"/>
        </w:rPr>
      </w:pPr>
    </w:p>
    <w:p w14:paraId="4AD90B72" w14:textId="5652573A" w:rsidR="009F6E47" w:rsidRPr="00847FAE" w:rsidRDefault="009F6E47" w:rsidP="009F6E47">
      <w:pPr>
        <w:keepNext/>
        <w:keepLines/>
        <w:spacing w:before="40"/>
        <w:outlineLvl w:val="2"/>
        <w:rPr>
          <w:rFonts w:eastAsiaTheme="majorEastAsia" w:cstheme="majorBidi"/>
          <w:lang w:eastAsia="en-US"/>
        </w:rPr>
      </w:pPr>
      <w:bookmarkStart w:id="371" w:name="_Toc1041180"/>
      <w:r w:rsidRPr="00847FAE">
        <w:rPr>
          <w:rFonts w:eastAsiaTheme="majorEastAsia" w:cstheme="majorBidi"/>
          <w:lang w:eastAsia="en-US"/>
        </w:rPr>
        <w:t>Table 3: Activity of the Magistrates Court (inc. Youth Justice) in 2017-18, by Listing Type</w:t>
      </w:r>
      <w:bookmarkEnd w:id="371"/>
    </w:p>
    <w:tbl>
      <w:tblPr>
        <w:tblStyle w:val="TableGrid1"/>
        <w:tblW w:w="6946" w:type="dxa"/>
        <w:tblLayout w:type="fixed"/>
        <w:tblLook w:val="04A0" w:firstRow="1" w:lastRow="0" w:firstColumn="1" w:lastColumn="0" w:noHBand="0" w:noVBand="1"/>
        <w:tblCaption w:val="Table3ActivityofMagistratesCourt2017_2018bylistingtype"/>
        <w:tblDescription w:val="Tabledescribingtheactivityofmagistratescourtincludingyouthjusticebylistingtype"/>
      </w:tblPr>
      <w:tblGrid>
        <w:gridCol w:w="412"/>
        <w:gridCol w:w="1011"/>
        <w:gridCol w:w="704"/>
        <w:gridCol w:w="2268"/>
        <w:gridCol w:w="1134"/>
        <w:gridCol w:w="1417"/>
      </w:tblGrid>
      <w:tr w:rsidR="009F6E47" w:rsidRPr="00847FAE" w14:paraId="02080B4C" w14:textId="77777777" w:rsidTr="004E3DB0">
        <w:trPr>
          <w:cantSplit/>
          <w:trHeight w:val="20"/>
          <w:tblHeader/>
        </w:trPr>
        <w:tc>
          <w:tcPr>
            <w:tcW w:w="412" w:type="dxa"/>
            <w:tcBorders>
              <w:top w:val="single" w:sz="4" w:space="0" w:color="auto"/>
              <w:left w:val="nil"/>
              <w:bottom w:val="single" w:sz="4" w:space="0" w:color="auto"/>
              <w:right w:val="nil"/>
            </w:tcBorders>
            <w:noWrap/>
            <w:hideMark/>
          </w:tcPr>
          <w:p w14:paraId="0398E5DD" w14:textId="77777777" w:rsidR="009F6E47" w:rsidRPr="00847FAE" w:rsidRDefault="009F6E47" w:rsidP="000F2274">
            <w:pPr>
              <w:keepNext/>
              <w:widowControl w:val="0"/>
              <w:rPr>
                <w:rFonts w:cs="Calibri"/>
                <w:color w:val="000000"/>
                <w:sz w:val="18"/>
                <w:szCs w:val="18"/>
              </w:rPr>
            </w:pPr>
            <w:r w:rsidRPr="00847FAE">
              <w:rPr>
                <w:rFonts w:cs="Calibri"/>
                <w:color w:val="000000"/>
                <w:sz w:val="18"/>
                <w:szCs w:val="18"/>
              </w:rPr>
              <w:t> </w:t>
            </w:r>
          </w:p>
        </w:tc>
        <w:tc>
          <w:tcPr>
            <w:tcW w:w="1011" w:type="dxa"/>
            <w:tcBorders>
              <w:top w:val="single" w:sz="4" w:space="0" w:color="auto"/>
              <w:left w:val="nil"/>
              <w:bottom w:val="single" w:sz="4" w:space="0" w:color="auto"/>
              <w:right w:val="nil"/>
            </w:tcBorders>
            <w:noWrap/>
            <w:hideMark/>
          </w:tcPr>
          <w:p w14:paraId="1BB713C6" w14:textId="77777777" w:rsidR="009F6E47" w:rsidRPr="00847FAE" w:rsidRDefault="009F6E47" w:rsidP="000F2274">
            <w:pPr>
              <w:keepNext/>
              <w:widowControl w:val="0"/>
              <w:rPr>
                <w:rFonts w:cs="Calibri"/>
                <w:color w:val="000000"/>
                <w:sz w:val="18"/>
                <w:szCs w:val="18"/>
              </w:rPr>
            </w:pPr>
            <w:r w:rsidRPr="00847FAE">
              <w:rPr>
                <w:rFonts w:cs="Calibri"/>
                <w:color w:val="000000"/>
                <w:sz w:val="18"/>
                <w:szCs w:val="18"/>
              </w:rPr>
              <w:t> </w:t>
            </w:r>
          </w:p>
        </w:tc>
        <w:tc>
          <w:tcPr>
            <w:tcW w:w="704" w:type="dxa"/>
            <w:tcBorders>
              <w:top w:val="single" w:sz="4" w:space="0" w:color="auto"/>
              <w:left w:val="nil"/>
              <w:bottom w:val="single" w:sz="4" w:space="0" w:color="auto"/>
              <w:right w:val="nil"/>
            </w:tcBorders>
            <w:noWrap/>
            <w:hideMark/>
          </w:tcPr>
          <w:p w14:paraId="597E4727" w14:textId="77777777" w:rsidR="009F6E47" w:rsidRPr="00847FAE" w:rsidRDefault="009F6E47" w:rsidP="000F2274">
            <w:pPr>
              <w:keepNext/>
              <w:widowControl w:val="0"/>
              <w:rPr>
                <w:rFonts w:cs="Calibri"/>
                <w:color w:val="000000"/>
                <w:sz w:val="18"/>
                <w:szCs w:val="18"/>
              </w:rPr>
            </w:pPr>
            <w:r w:rsidRPr="00847FAE">
              <w:rPr>
                <w:rFonts w:cs="Calibri"/>
                <w:color w:val="000000"/>
                <w:sz w:val="18"/>
                <w:szCs w:val="18"/>
              </w:rPr>
              <w:t> </w:t>
            </w:r>
          </w:p>
        </w:tc>
        <w:tc>
          <w:tcPr>
            <w:tcW w:w="2268" w:type="dxa"/>
            <w:tcBorders>
              <w:top w:val="single" w:sz="4" w:space="0" w:color="auto"/>
              <w:left w:val="nil"/>
              <w:bottom w:val="single" w:sz="4" w:space="0" w:color="auto"/>
              <w:right w:val="nil"/>
            </w:tcBorders>
            <w:noWrap/>
            <w:hideMark/>
          </w:tcPr>
          <w:p w14:paraId="5C7C9429" w14:textId="77777777" w:rsidR="009F6E47" w:rsidRPr="00847FAE" w:rsidRDefault="009F6E47" w:rsidP="000F2274">
            <w:pPr>
              <w:keepNext/>
              <w:widowControl w:val="0"/>
              <w:rPr>
                <w:rFonts w:cs="Calibri"/>
                <w:color w:val="000000"/>
                <w:sz w:val="18"/>
                <w:szCs w:val="18"/>
              </w:rPr>
            </w:pPr>
            <w:r w:rsidRPr="00847FAE">
              <w:rPr>
                <w:rFonts w:cs="Calibri"/>
                <w:color w:val="000000"/>
                <w:sz w:val="18"/>
                <w:szCs w:val="18"/>
              </w:rPr>
              <w:t> </w:t>
            </w:r>
          </w:p>
        </w:tc>
        <w:tc>
          <w:tcPr>
            <w:tcW w:w="1134" w:type="dxa"/>
            <w:tcBorders>
              <w:top w:val="single" w:sz="4" w:space="0" w:color="auto"/>
              <w:left w:val="nil"/>
              <w:bottom w:val="single" w:sz="4" w:space="0" w:color="auto"/>
              <w:right w:val="nil"/>
            </w:tcBorders>
            <w:noWrap/>
            <w:vAlign w:val="center"/>
            <w:hideMark/>
          </w:tcPr>
          <w:p w14:paraId="324CBF70" w14:textId="77777777" w:rsidR="009F6E47" w:rsidRPr="00847FAE" w:rsidRDefault="009F6E47" w:rsidP="000F2274">
            <w:pPr>
              <w:keepNext/>
              <w:widowControl w:val="0"/>
              <w:jc w:val="center"/>
              <w:rPr>
                <w:rFonts w:cs="Calibri"/>
                <w:bCs/>
                <w:color w:val="000000"/>
                <w:sz w:val="18"/>
                <w:szCs w:val="18"/>
              </w:rPr>
            </w:pPr>
            <w:r w:rsidRPr="00847FAE">
              <w:rPr>
                <w:rFonts w:cs="Calibri"/>
                <w:bCs/>
                <w:color w:val="000000"/>
                <w:sz w:val="18"/>
                <w:szCs w:val="18"/>
              </w:rPr>
              <w:t>No.</w:t>
            </w:r>
          </w:p>
        </w:tc>
        <w:tc>
          <w:tcPr>
            <w:tcW w:w="1417" w:type="dxa"/>
            <w:tcBorders>
              <w:top w:val="single" w:sz="4" w:space="0" w:color="auto"/>
              <w:left w:val="nil"/>
              <w:bottom w:val="single" w:sz="4" w:space="0" w:color="auto"/>
              <w:right w:val="nil"/>
            </w:tcBorders>
            <w:noWrap/>
            <w:vAlign w:val="center"/>
            <w:hideMark/>
          </w:tcPr>
          <w:p w14:paraId="4558FDA9" w14:textId="77777777" w:rsidR="009F6E47" w:rsidRPr="00847FAE" w:rsidRDefault="009F6E47" w:rsidP="000F2274">
            <w:pPr>
              <w:keepNext/>
              <w:widowControl w:val="0"/>
              <w:jc w:val="center"/>
              <w:rPr>
                <w:rFonts w:cs="Calibri"/>
                <w:bCs/>
                <w:color w:val="000000"/>
                <w:sz w:val="18"/>
                <w:szCs w:val="18"/>
              </w:rPr>
            </w:pPr>
            <w:r w:rsidRPr="00847FAE">
              <w:rPr>
                <w:rFonts w:cs="Calibri"/>
                <w:bCs/>
                <w:color w:val="000000"/>
                <w:sz w:val="18"/>
                <w:szCs w:val="18"/>
              </w:rPr>
              <w:t>change year-on-year</w:t>
            </w:r>
          </w:p>
        </w:tc>
      </w:tr>
      <w:tr w:rsidR="009F6E47" w:rsidRPr="00847FAE" w14:paraId="28E33492" w14:textId="77777777" w:rsidTr="001F1F60">
        <w:trPr>
          <w:cantSplit/>
          <w:trHeight w:val="255"/>
        </w:trPr>
        <w:tc>
          <w:tcPr>
            <w:tcW w:w="4395" w:type="dxa"/>
            <w:gridSpan w:val="4"/>
            <w:tcBorders>
              <w:top w:val="single" w:sz="4" w:space="0" w:color="auto"/>
              <w:left w:val="nil"/>
              <w:bottom w:val="nil"/>
              <w:right w:val="nil"/>
            </w:tcBorders>
            <w:noWrap/>
            <w:hideMark/>
          </w:tcPr>
          <w:p w14:paraId="6E498D74" w14:textId="77777777" w:rsidR="009F6E47" w:rsidRPr="00847FAE" w:rsidRDefault="009F6E47" w:rsidP="000F2274">
            <w:pPr>
              <w:keepNext/>
              <w:widowControl w:val="0"/>
              <w:rPr>
                <w:rFonts w:cs="Calibri"/>
                <w:iCs/>
                <w:color w:val="000000"/>
                <w:sz w:val="18"/>
                <w:szCs w:val="18"/>
                <w:vertAlign w:val="superscript"/>
              </w:rPr>
            </w:pPr>
            <w:r w:rsidRPr="00847FAE">
              <w:rPr>
                <w:rFonts w:cs="Calibri"/>
                <w:color w:val="000000"/>
                <w:sz w:val="18"/>
                <w:szCs w:val="18"/>
              </w:rPr>
              <w:t>Total Listings in The Magistrates Court of Tasmania</w:t>
            </w:r>
            <w:r w:rsidRPr="00847FAE">
              <w:rPr>
                <w:rFonts w:cs="Calibri"/>
                <w:color w:val="000000"/>
                <w:sz w:val="18"/>
                <w:szCs w:val="18"/>
                <w:vertAlign w:val="superscript"/>
              </w:rPr>
              <w:t>1</w:t>
            </w:r>
          </w:p>
        </w:tc>
        <w:tc>
          <w:tcPr>
            <w:tcW w:w="1134" w:type="dxa"/>
            <w:tcBorders>
              <w:top w:val="single" w:sz="4" w:space="0" w:color="auto"/>
              <w:left w:val="nil"/>
              <w:bottom w:val="nil"/>
              <w:right w:val="nil"/>
            </w:tcBorders>
            <w:noWrap/>
            <w:vAlign w:val="center"/>
          </w:tcPr>
          <w:p w14:paraId="16C49A12"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159,811</w:t>
            </w:r>
          </w:p>
        </w:tc>
        <w:tc>
          <w:tcPr>
            <w:tcW w:w="1417" w:type="dxa"/>
            <w:tcBorders>
              <w:top w:val="single" w:sz="4" w:space="0" w:color="auto"/>
              <w:left w:val="nil"/>
              <w:bottom w:val="nil"/>
              <w:right w:val="nil"/>
            </w:tcBorders>
            <w:noWrap/>
            <w:vAlign w:val="center"/>
          </w:tcPr>
          <w:p w14:paraId="0F5772FE" w14:textId="77777777" w:rsidR="009F6E47" w:rsidRPr="00847FAE" w:rsidRDefault="009F6E47" w:rsidP="000F2274">
            <w:pPr>
              <w:jc w:val="center"/>
              <w:rPr>
                <w:rFonts w:cs="Calibri"/>
                <w:color w:val="000000"/>
                <w:sz w:val="18"/>
                <w:szCs w:val="18"/>
              </w:rPr>
            </w:pPr>
            <w:r w:rsidRPr="00847FAE">
              <w:rPr>
                <w:rFonts w:cs="Calibri"/>
                <w:color w:val="000000"/>
                <w:sz w:val="18"/>
                <w:szCs w:val="18"/>
              </w:rPr>
              <w:t>6.7%</w:t>
            </w:r>
          </w:p>
        </w:tc>
      </w:tr>
      <w:tr w:rsidR="009F6E47" w:rsidRPr="00847FAE" w14:paraId="5C617706" w14:textId="77777777" w:rsidTr="001F1F60">
        <w:trPr>
          <w:cantSplit/>
          <w:trHeight w:val="255"/>
        </w:trPr>
        <w:tc>
          <w:tcPr>
            <w:tcW w:w="4395" w:type="dxa"/>
            <w:gridSpan w:val="4"/>
            <w:tcBorders>
              <w:top w:val="nil"/>
              <w:left w:val="nil"/>
              <w:bottom w:val="nil"/>
              <w:right w:val="nil"/>
            </w:tcBorders>
            <w:noWrap/>
          </w:tcPr>
          <w:p w14:paraId="2F6484A8" w14:textId="77777777" w:rsidR="009F6E47" w:rsidRPr="00847FAE" w:rsidRDefault="009F6E47" w:rsidP="000F2274">
            <w:pPr>
              <w:keepNext/>
              <w:widowControl w:val="0"/>
              <w:rPr>
                <w:rFonts w:cs="Calibri"/>
                <w:iCs/>
                <w:color w:val="000000"/>
                <w:sz w:val="18"/>
                <w:szCs w:val="18"/>
              </w:rPr>
            </w:pPr>
            <w:r w:rsidRPr="00847FAE">
              <w:rPr>
                <w:rFonts w:cs="Calibri"/>
                <w:iCs/>
                <w:color w:val="000000"/>
                <w:sz w:val="18"/>
                <w:szCs w:val="18"/>
              </w:rPr>
              <w:t>Common hearing types</w:t>
            </w:r>
            <w:r w:rsidRPr="00847FAE">
              <w:rPr>
                <w:rFonts w:cs="Calibri"/>
                <w:iCs/>
                <w:color w:val="000000"/>
                <w:sz w:val="18"/>
                <w:szCs w:val="18"/>
                <w:vertAlign w:val="superscript"/>
              </w:rPr>
              <w:t>2</w:t>
            </w:r>
            <w:r w:rsidRPr="00847FAE">
              <w:rPr>
                <w:rFonts w:cs="Calibri"/>
                <w:iCs/>
                <w:color w:val="000000"/>
                <w:sz w:val="18"/>
                <w:szCs w:val="18"/>
              </w:rPr>
              <w:t>:</w:t>
            </w:r>
          </w:p>
        </w:tc>
        <w:tc>
          <w:tcPr>
            <w:tcW w:w="1134" w:type="dxa"/>
            <w:tcBorders>
              <w:top w:val="nil"/>
              <w:left w:val="nil"/>
              <w:bottom w:val="nil"/>
              <w:right w:val="nil"/>
            </w:tcBorders>
            <w:noWrap/>
            <w:vAlign w:val="center"/>
          </w:tcPr>
          <w:p w14:paraId="3E41DCAD" w14:textId="77777777" w:rsidR="009F6E47" w:rsidRPr="00847FAE" w:rsidRDefault="009F6E47" w:rsidP="000F2274">
            <w:pPr>
              <w:keepNext/>
              <w:widowControl w:val="0"/>
              <w:jc w:val="center"/>
              <w:rPr>
                <w:rFonts w:cs="Calibri"/>
                <w:iCs/>
                <w:color w:val="000000"/>
                <w:sz w:val="18"/>
                <w:szCs w:val="18"/>
              </w:rPr>
            </w:pPr>
          </w:p>
        </w:tc>
        <w:tc>
          <w:tcPr>
            <w:tcW w:w="1417" w:type="dxa"/>
            <w:tcBorders>
              <w:top w:val="nil"/>
              <w:left w:val="nil"/>
              <w:bottom w:val="nil"/>
              <w:right w:val="nil"/>
            </w:tcBorders>
            <w:noWrap/>
            <w:vAlign w:val="center"/>
          </w:tcPr>
          <w:p w14:paraId="7FBBA2CC" w14:textId="77777777" w:rsidR="009F6E47" w:rsidRPr="00847FAE" w:rsidRDefault="009F6E47" w:rsidP="000F2274">
            <w:pPr>
              <w:keepNext/>
              <w:widowControl w:val="0"/>
              <w:jc w:val="center"/>
              <w:rPr>
                <w:rFonts w:cs="Calibri"/>
                <w:iCs/>
                <w:color w:val="000000"/>
                <w:sz w:val="18"/>
                <w:szCs w:val="18"/>
              </w:rPr>
            </w:pPr>
          </w:p>
        </w:tc>
      </w:tr>
      <w:tr w:rsidR="009F6E47" w:rsidRPr="00847FAE" w14:paraId="5BD9096D" w14:textId="77777777" w:rsidTr="001F1F60">
        <w:trPr>
          <w:cantSplit/>
          <w:trHeight w:val="255"/>
        </w:trPr>
        <w:tc>
          <w:tcPr>
            <w:tcW w:w="412" w:type="dxa"/>
            <w:tcBorders>
              <w:top w:val="nil"/>
              <w:left w:val="nil"/>
              <w:bottom w:val="nil"/>
              <w:right w:val="nil"/>
            </w:tcBorders>
            <w:noWrap/>
          </w:tcPr>
          <w:p w14:paraId="22201865" w14:textId="77777777" w:rsidR="009F6E47" w:rsidRPr="00847FAE" w:rsidRDefault="009F6E47" w:rsidP="000F2274">
            <w:pPr>
              <w:keepNext/>
              <w:widowControl w:val="0"/>
              <w:rPr>
                <w:rFonts w:cs="Calibri"/>
                <w:color w:val="000000"/>
                <w:sz w:val="18"/>
                <w:szCs w:val="18"/>
              </w:rPr>
            </w:pPr>
          </w:p>
        </w:tc>
        <w:tc>
          <w:tcPr>
            <w:tcW w:w="3983" w:type="dxa"/>
            <w:gridSpan w:val="3"/>
            <w:tcBorders>
              <w:top w:val="nil"/>
              <w:left w:val="nil"/>
              <w:bottom w:val="nil"/>
              <w:right w:val="nil"/>
            </w:tcBorders>
            <w:noWrap/>
          </w:tcPr>
          <w:p w14:paraId="44548DCB" w14:textId="77777777" w:rsidR="009F6E47" w:rsidRPr="00847FAE" w:rsidRDefault="009F6E47" w:rsidP="000F2274">
            <w:pPr>
              <w:keepNext/>
              <w:widowControl w:val="0"/>
              <w:rPr>
                <w:rFonts w:cs="Calibri"/>
                <w:iCs/>
                <w:color w:val="000000"/>
                <w:sz w:val="18"/>
                <w:szCs w:val="18"/>
              </w:rPr>
            </w:pPr>
            <w:r w:rsidRPr="00847FAE">
              <w:rPr>
                <w:rFonts w:cs="Calibri"/>
                <w:iCs/>
                <w:color w:val="000000"/>
                <w:sz w:val="18"/>
                <w:szCs w:val="18"/>
              </w:rPr>
              <w:t>Mention Listings</w:t>
            </w:r>
          </w:p>
        </w:tc>
        <w:tc>
          <w:tcPr>
            <w:tcW w:w="1134" w:type="dxa"/>
            <w:tcBorders>
              <w:top w:val="nil"/>
              <w:left w:val="nil"/>
              <w:bottom w:val="nil"/>
              <w:right w:val="nil"/>
            </w:tcBorders>
            <w:noWrap/>
            <w:vAlign w:val="center"/>
          </w:tcPr>
          <w:p w14:paraId="7AD079F0"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26,199</w:t>
            </w:r>
          </w:p>
        </w:tc>
        <w:tc>
          <w:tcPr>
            <w:tcW w:w="1417" w:type="dxa"/>
            <w:tcBorders>
              <w:top w:val="nil"/>
              <w:left w:val="nil"/>
              <w:bottom w:val="nil"/>
              <w:right w:val="nil"/>
            </w:tcBorders>
            <w:noWrap/>
            <w:vAlign w:val="center"/>
          </w:tcPr>
          <w:p w14:paraId="2AE2DA2F"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8.2%</w:t>
            </w:r>
          </w:p>
        </w:tc>
      </w:tr>
      <w:tr w:rsidR="009F6E47" w:rsidRPr="00847FAE" w14:paraId="674EF87A" w14:textId="77777777" w:rsidTr="001F1F60">
        <w:trPr>
          <w:cantSplit/>
          <w:trHeight w:val="255"/>
        </w:trPr>
        <w:tc>
          <w:tcPr>
            <w:tcW w:w="412" w:type="dxa"/>
            <w:tcBorders>
              <w:top w:val="nil"/>
              <w:left w:val="nil"/>
              <w:bottom w:val="nil"/>
              <w:right w:val="nil"/>
            </w:tcBorders>
            <w:noWrap/>
          </w:tcPr>
          <w:p w14:paraId="304B77F6" w14:textId="77777777" w:rsidR="009F6E47" w:rsidRPr="00847FAE" w:rsidRDefault="009F6E47" w:rsidP="000F2274">
            <w:pPr>
              <w:keepNext/>
              <w:widowControl w:val="0"/>
              <w:rPr>
                <w:rFonts w:cs="Calibri"/>
                <w:color w:val="000000"/>
                <w:sz w:val="18"/>
                <w:szCs w:val="18"/>
              </w:rPr>
            </w:pPr>
          </w:p>
        </w:tc>
        <w:tc>
          <w:tcPr>
            <w:tcW w:w="3983" w:type="dxa"/>
            <w:gridSpan w:val="3"/>
            <w:tcBorders>
              <w:top w:val="nil"/>
              <w:left w:val="nil"/>
              <w:bottom w:val="nil"/>
              <w:right w:val="nil"/>
            </w:tcBorders>
            <w:noWrap/>
          </w:tcPr>
          <w:p w14:paraId="5A45D848" w14:textId="77777777" w:rsidR="009F6E47" w:rsidRPr="00847FAE" w:rsidRDefault="009F6E47" w:rsidP="000F2274">
            <w:pPr>
              <w:keepNext/>
              <w:widowControl w:val="0"/>
              <w:rPr>
                <w:rFonts w:cs="Calibri"/>
                <w:iCs/>
                <w:color w:val="000000"/>
                <w:sz w:val="18"/>
                <w:szCs w:val="18"/>
              </w:rPr>
            </w:pPr>
            <w:r w:rsidRPr="00847FAE">
              <w:rPr>
                <w:rFonts w:cs="Calibri"/>
                <w:iCs/>
                <w:color w:val="000000"/>
                <w:sz w:val="18"/>
                <w:szCs w:val="18"/>
              </w:rPr>
              <w:t>Application Listings</w:t>
            </w:r>
          </w:p>
        </w:tc>
        <w:tc>
          <w:tcPr>
            <w:tcW w:w="1134" w:type="dxa"/>
            <w:tcBorders>
              <w:top w:val="nil"/>
              <w:left w:val="nil"/>
              <w:bottom w:val="nil"/>
              <w:right w:val="nil"/>
            </w:tcBorders>
            <w:noWrap/>
            <w:vAlign w:val="center"/>
          </w:tcPr>
          <w:p w14:paraId="448719AC"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9,537</w:t>
            </w:r>
          </w:p>
        </w:tc>
        <w:tc>
          <w:tcPr>
            <w:tcW w:w="1417" w:type="dxa"/>
            <w:tcBorders>
              <w:top w:val="nil"/>
              <w:left w:val="nil"/>
              <w:bottom w:val="nil"/>
              <w:right w:val="nil"/>
            </w:tcBorders>
            <w:noWrap/>
            <w:vAlign w:val="center"/>
          </w:tcPr>
          <w:p w14:paraId="0DF0BB52"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-5.2%</w:t>
            </w:r>
          </w:p>
        </w:tc>
      </w:tr>
      <w:tr w:rsidR="009F6E47" w:rsidRPr="00847FAE" w14:paraId="6A4339B5" w14:textId="77777777" w:rsidTr="001F1F60">
        <w:trPr>
          <w:cantSplit/>
          <w:trHeight w:val="255"/>
        </w:trPr>
        <w:tc>
          <w:tcPr>
            <w:tcW w:w="412" w:type="dxa"/>
            <w:tcBorders>
              <w:top w:val="nil"/>
              <w:left w:val="nil"/>
              <w:bottom w:val="nil"/>
              <w:right w:val="nil"/>
            </w:tcBorders>
            <w:noWrap/>
          </w:tcPr>
          <w:p w14:paraId="5B9F494B" w14:textId="77777777" w:rsidR="009F6E47" w:rsidRPr="00847FAE" w:rsidRDefault="009F6E47" w:rsidP="000F2274">
            <w:pPr>
              <w:keepNext/>
              <w:widowControl w:val="0"/>
              <w:rPr>
                <w:rFonts w:cs="Calibri"/>
                <w:color w:val="000000"/>
                <w:sz w:val="18"/>
                <w:szCs w:val="18"/>
              </w:rPr>
            </w:pPr>
          </w:p>
        </w:tc>
        <w:tc>
          <w:tcPr>
            <w:tcW w:w="3983" w:type="dxa"/>
            <w:gridSpan w:val="3"/>
            <w:tcBorders>
              <w:top w:val="nil"/>
              <w:left w:val="nil"/>
              <w:bottom w:val="nil"/>
              <w:right w:val="nil"/>
            </w:tcBorders>
            <w:noWrap/>
          </w:tcPr>
          <w:p w14:paraId="08CBAE72" w14:textId="77777777" w:rsidR="009F6E47" w:rsidRPr="00847FAE" w:rsidRDefault="009F6E47" w:rsidP="000F2274">
            <w:pPr>
              <w:keepNext/>
              <w:widowControl w:val="0"/>
              <w:rPr>
                <w:rFonts w:cs="Calibri"/>
                <w:iCs/>
                <w:color w:val="000000"/>
                <w:sz w:val="18"/>
                <w:szCs w:val="18"/>
              </w:rPr>
            </w:pPr>
            <w:r w:rsidRPr="00847FAE">
              <w:rPr>
                <w:rFonts w:cs="Calibri"/>
                <w:iCs/>
                <w:color w:val="000000"/>
                <w:sz w:val="18"/>
                <w:szCs w:val="18"/>
              </w:rPr>
              <w:t>Hearing Listings</w:t>
            </w:r>
          </w:p>
        </w:tc>
        <w:tc>
          <w:tcPr>
            <w:tcW w:w="1134" w:type="dxa"/>
            <w:tcBorders>
              <w:top w:val="nil"/>
              <w:left w:val="nil"/>
              <w:bottom w:val="nil"/>
              <w:right w:val="nil"/>
            </w:tcBorders>
            <w:noWrap/>
            <w:vAlign w:val="center"/>
          </w:tcPr>
          <w:p w14:paraId="08F009FC"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6,151</w:t>
            </w:r>
          </w:p>
        </w:tc>
        <w:tc>
          <w:tcPr>
            <w:tcW w:w="1417" w:type="dxa"/>
            <w:tcBorders>
              <w:top w:val="nil"/>
              <w:left w:val="nil"/>
              <w:bottom w:val="nil"/>
              <w:right w:val="nil"/>
            </w:tcBorders>
            <w:noWrap/>
            <w:vAlign w:val="center"/>
          </w:tcPr>
          <w:p w14:paraId="7BBBAF5B"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0.5%</w:t>
            </w:r>
          </w:p>
        </w:tc>
      </w:tr>
      <w:tr w:rsidR="009F6E47" w:rsidRPr="00847FAE" w14:paraId="06FC21F9" w14:textId="77777777" w:rsidTr="001F1F60">
        <w:trPr>
          <w:cantSplit/>
          <w:trHeight w:val="255"/>
        </w:trPr>
        <w:tc>
          <w:tcPr>
            <w:tcW w:w="412" w:type="dxa"/>
            <w:tcBorders>
              <w:top w:val="nil"/>
              <w:left w:val="nil"/>
              <w:bottom w:val="nil"/>
              <w:right w:val="nil"/>
            </w:tcBorders>
            <w:noWrap/>
          </w:tcPr>
          <w:p w14:paraId="3009B424" w14:textId="77777777" w:rsidR="009F6E47" w:rsidRPr="00847FAE" w:rsidRDefault="009F6E47" w:rsidP="000F2274">
            <w:pPr>
              <w:keepNext/>
              <w:widowControl w:val="0"/>
              <w:rPr>
                <w:rFonts w:cs="Calibri"/>
                <w:color w:val="000000"/>
                <w:sz w:val="18"/>
                <w:szCs w:val="18"/>
              </w:rPr>
            </w:pPr>
          </w:p>
        </w:tc>
        <w:tc>
          <w:tcPr>
            <w:tcW w:w="3983" w:type="dxa"/>
            <w:gridSpan w:val="3"/>
            <w:tcBorders>
              <w:top w:val="nil"/>
              <w:left w:val="nil"/>
              <w:bottom w:val="nil"/>
              <w:right w:val="nil"/>
            </w:tcBorders>
            <w:noWrap/>
          </w:tcPr>
          <w:p w14:paraId="7F508551" w14:textId="77777777" w:rsidR="009F6E47" w:rsidRPr="00847FAE" w:rsidRDefault="009F6E47" w:rsidP="000F2274">
            <w:pPr>
              <w:keepNext/>
              <w:widowControl w:val="0"/>
              <w:rPr>
                <w:rFonts w:cs="Calibri"/>
                <w:iCs/>
                <w:color w:val="000000"/>
                <w:sz w:val="18"/>
                <w:szCs w:val="18"/>
                <w:vertAlign w:val="superscript"/>
              </w:rPr>
            </w:pPr>
            <w:r w:rsidRPr="00847FAE">
              <w:rPr>
                <w:rFonts w:cs="Calibri"/>
                <w:iCs/>
                <w:color w:val="000000"/>
                <w:sz w:val="18"/>
                <w:szCs w:val="18"/>
              </w:rPr>
              <w:t>Plea Listing</w:t>
            </w:r>
          </w:p>
        </w:tc>
        <w:tc>
          <w:tcPr>
            <w:tcW w:w="1134" w:type="dxa"/>
            <w:tcBorders>
              <w:top w:val="nil"/>
              <w:left w:val="nil"/>
              <w:bottom w:val="nil"/>
              <w:right w:val="nil"/>
            </w:tcBorders>
            <w:noWrap/>
            <w:vAlign w:val="center"/>
          </w:tcPr>
          <w:p w14:paraId="4F177620"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63,565</w:t>
            </w:r>
          </w:p>
        </w:tc>
        <w:tc>
          <w:tcPr>
            <w:tcW w:w="1417" w:type="dxa"/>
            <w:tcBorders>
              <w:top w:val="nil"/>
              <w:left w:val="nil"/>
              <w:bottom w:val="nil"/>
              <w:right w:val="nil"/>
            </w:tcBorders>
            <w:noWrap/>
            <w:vAlign w:val="center"/>
          </w:tcPr>
          <w:p w14:paraId="521B93A6"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2.0%</w:t>
            </w:r>
          </w:p>
        </w:tc>
      </w:tr>
      <w:tr w:rsidR="009F6E47" w:rsidRPr="00847FAE" w14:paraId="05A8B03C" w14:textId="77777777" w:rsidTr="001F1F60">
        <w:trPr>
          <w:cantSplit/>
          <w:trHeight w:val="255"/>
        </w:trPr>
        <w:tc>
          <w:tcPr>
            <w:tcW w:w="412" w:type="dxa"/>
            <w:tcBorders>
              <w:top w:val="nil"/>
              <w:left w:val="nil"/>
              <w:bottom w:val="nil"/>
              <w:right w:val="nil"/>
            </w:tcBorders>
            <w:noWrap/>
          </w:tcPr>
          <w:p w14:paraId="11AFF8B2" w14:textId="77777777" w:rsidR="009F6E47" w:rsidRPr="00847FAE" w:rsidRDefault="009F6E47" w:rsidP="000F2274">
            <w:pPr>
              <w:keepNext/>
              <w:widowControl w:val="0"/>
              <w:rPr>
                <w:rFonts w:cs="Calibri"/>
                <w:color w:val="000000"/>
                <w:sz w:val="18"/>
                <w:szCs w:val="18"/>
              </w:rPr>
            </w:pPr>
          </w:p>
        </w:tc>
        <w:tc>
          <w:tcPr>
            <w:tcW w:w="3983" w:type="dxa"/>
            <w:gridSpan w:val="3"/>
            <w:tcBorders>
              <w:top w:val="nil"/>
              <w:left w:val="nil"/>
              <w:bottom w:val="nil"/>
              <w:right w:val="nil"/>
            </w:tcBorders>
            <w:noWrap/>
          </w:tcPr>
          <w:p w14:paraId="26E470B9" w14:textId="77777777" w:rsidR="009F6E47" w:rsidRPr="00847FAE" w:rsidRDefault="009F6E47" w:rsidP="000F2274">
            <w:pPr>
              <w:keepNext/>
              <w:widowControl w:val="0"/>
              <w:rPr>
                <w:rFonts w:cs="Calibri"/>
                <w:iCs/>
                <w:color w:val="000000"/>
                <w:sz w:val="18"/>
                <w:szCs w:val="18"/>
                <w:vertAlign w:val="superscript"/>
              </w:rPr>
            </w:pPr>
            <w:r w:rsidRPr="00847FAE">
              <w:rPr>
                <w:rFonts w:cs="Calibri"/>
                <w:iCs/>
                <w:color w:val="000000"/>
                <w:sz w:val="18"/>
                <w:szCs w:val="18"/>
              </w:rPr>
              <w:t>Sentence Listing</w:t>
            </w:r>
          </w:p>
        </w:tc>
        <w:tc>
          <w:tcPr>
            <w:tcW w:w="1134" w:type="dxa"/>
            <w:tcBorders>
              <w:top w:val="nil"/>
              <w:left w:val="nil"/>
              <w:bottom w:val="nil"/>
              <w:right w:val="nil"/>
            </w:tcBorders>
            <w:noWrap/>
            <w:vAlign w:val="center"/>
          </w:tcPr>
          <w:p w14:paraId="24C53B8E"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34,141</w:t>
            </w:r>
          </w:p>
        </w:tc>
        <w:tc>
          <w:tcPr>
            <w:tcW w:w="1417" w:type="dxa"/>
            <w:tcBorders>
              <w:top w:val="nil"/>
              <w:left w:val="nil"/>
              <w:bottom w:val="nil"/>
              <w:right w:val="nil"/>
            </w:tcBorders>
            <w:noWrap/>
            <w:vAlign w:val="center"/>
          </w:tcPr>
          <w:p w14:paraId="3D8A81F7"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16.5%</w:t>
            </w:r>
          </w:p>
        </w:tc>
      </w:tr>
      <w:tr w:rsidR="009F6E47" w:rsidRPr="00847FAE" w14:paraId="5DB594D2" w14:textId="77777777" w:rsidTr="001F1F60">
        <w:trPr>
          <w:cantSplit/>
          <w:trHeight w:val="255"/>
        </w:trPr>
        <w:tc>
          <w:tcPr>
            <w:tcW w:w="412" w:type="dxa"/>
            <w:tcBorders>
              <w:top w:val="nil"/>
              <w:left w:val="nil"/>
              <w:bottom w:val="nil"/>
              <w:right w:val="nil"/>
            </w:tcBorders>
            <w:noWrap/>
          </w:tcPr>
          <w:p w14:paraId="337D968F" w14:textId="77777777" w:rsidR="009F6E47" w:rsidRPr="00847FAE" w:rsidRDefault="009F6E47" w:rsidP="000F2274">
            <w:pPr>
              <w:keepNext/>
              <w:widowControl w:val="0"/>
              <w:rPr>
                <w:rFonts w:cs="Calibri"/>
                <w:color w:val="000000"/>
                <w:sz w:val="18"/>
                <w:szCs w:val="18"/>
              </w:rPr>
            </w:pPr>
          </w:p>
        </w:tc>
        <w:tc>
          <w:tcPr>
            <w:tcW w:w="3983" w:type="dxa"/>
            <w:gridSpan w:val="3"/>
            <w:tcBorders>
              <w:top w:val="nil"/>
              <w:left w:val="nil"/>
              <w:bottom w:val="nil"/>
              <w:right w:val="nil"/>
            </w:tcBorders>
            <w:noWrap/>
          </w:tcPr>
          <w:p w14:paraId="7405BE98" w14:textId="77777777" w:rsidR="009F6E47" w:rsidRPr="00847FAE" w:rsidRDefault="009F6E47" w:rsidP="000F2274">
            <w:pPr>
              <w:keepNext/>
              <w:widowControl w:val="0"/>
              <w:rPr>
                <w:rFonts w:cs="Calibri"/>
                <w:iCs/>
                <w:color w:val="000000"/>
                <w:sz w:val="18"/>
                <w:szCs w:val="18"/>
                <w:vertAlign w:val="superscript"/>
              </w:rPr>
            </w:pPr>
            <w:r w:rsidRPr="00847FAE">
              <w:rPr>
                <w:rFonts w:cs="Calibri"/>
                <w:iCs/>
                <w:color w:val="000000"/>
                <w:sz w:val="18"/>
                <w:szCs w:val="18"/>
              </w:rPr>
              <w:t>Court Mandated Diversion Reviews</w:t>
            </w:r>
          </w:p>
        </w:tc>
        <w:tc>
          <w:tcPr>
            <w:tcW w:w="1134" w:type="dxa"/>
            <w:tcBorders>
              <w:top w:val="nil"/>
              <w:left w:val="nil"/>
              <w:bottom w:val="nil"/>
              <w:right w:val="nil"/>
            </w:tcBorders>
            <w:noWrap/>
            <w:vAlign w:val="center"/>
          </w:tcPr>
          <w:p w14:paraId="1B6DB479"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3,487</w:t>
            </w:r>
          </w:p>
        </w:tc>
        <w:tc>
          <w:tcPr>
            <w:tcW w:w="1417" w:type="dxa"/>
            <w:tcBorders>
              <w:top w:val="nil"/>
              <w:left w:val="nil"/>
              <w:bottom w:val="nil"/>
              <w:right w:val="nil"/>
            </w:tcBorders>
            <w:noWrap/>
            <w:vAlign w:val="center"/>
          </w:tcPr>
          <w:p w14:paraId="5AB1451F"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31.1%</w:t>
            </w:r>
          </w:p>
        </w:tc>
      </w:tr>
      <w:tr w:rsidR="009F6E47" w:rsidRPr="00847FAE" w14:paraId="511BEC2E" w14:textId="77777777" w:rsidTr="001F1F60">
        <w:trPr>
          <w:cantSplit/>
          <w:trHeight w:val="255"/>
        </w:trPr>
        <w:tc>
          <w:tcPr>
            <w:tcW w:w="412" w:type="dxa"/>
            <w:tcBorders>
              <w:top w:val="nil"/>
              <w:left w:val="nil"/>
              <w:bottom w:val="single" w:sz="4" w:space="0" w:color="auto"/>
              <w:right w:val="nil"/>
            </w:tcBorders>
            <w:noWrap/>
          </w:tcPr>
          <w:p w14:paraId="1A1B1EF9" w14:textId="77777777" w:rsidR="009F6E47" w:rsidRPr="00847FAE" w:rsidRDefault="009F6E47" w:rsidP="000F2274">
            <w:pPr>
              <w:keepNext/>
              <w:widowControl w:val="0"/>
              <w:rPr>
                <w:rFonts w:cs="Calibri"/>
                <w:color w:val="000000"/>
                <w:sz w:val="18"/>
                <w:szCs w:val="18"/>
              </w:rPr>
            </w:pPr>
          </w:p>
        </w:tc>
        <w:tc>
          <w:tcPr>
            <w:tcW w:w="3983" w:type="dxa"/>
            <w:gridSpan w:val="3"/>
            <w:tcBorders>
              <w:top w:val="nil"/>
              <w:left w:val="nil"/>
              <w:bottom w:val="single" w:sz="4" w:space="0" w:color="auto"/>
              <w:right w:val="nil"/>
            </w:tcBorders>
            <w:noWrap/>
          </w:tcPr>
          <w:p w14:paraId="1D7FF267" w14:textId="77777777" w:rsidR="009F6E47" w:rsidRPr="00847FAE" w:rsidRDefault="009F6E47" w:rsidP="000F2274">
            <w:pPr>
              <w:keepNext/>
              <w:widowControl w:val="0"/>
              <w:rPr>
                <w:rFonts w:cs="Calibri"/>
                <w:iCs/>
                <w:color w:val="000000"/>
                <w:sz w:val="18"/>
                <w:szCs w:val="18"/>
                <w:vertAlign w:val="superscript"/>
              </w:rPr>
            </w:pPr>
            <w:r w:rsidRPr="00847FAE">
              <w:rPr>
                <w:rFonts w:cs="Calibri"/>
                <w:iCs/>
                <w:color w:val="000000"/>
                <w:sz w:val="18"/>
                <w:szCs w:val="18"/>
              </w:rPr>
              <w:t>Contest Mention Listings</w:t>
            </w:r>
          </w:p>
        </w:tc>
        <w:tc>
          <w:tcPr>
            <w:tcW w:w="1134" w:type="dxa"/>
            <w:tcBorders>
              <w:top w:val="nil"/>
              <w:left w:val="nil"/>
              <w:bottom w:val="single" w:sz="4" w:space="0" w:color="auto"/>
              <w:right w:val="nil"/>
            </w:tcBorders>
            <w:noWrap/>
            <w:vAlign w:val="center"/>
          </w:tcPr>
          <w:p w14:paraId="508318E2"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1,876</w:t>
            </w:r>
          </w:p>
        </w:tc>
        <w:tc>
          <w:tcPr>
            <w:tcW w:w="1417" w:type="dxa"/>
            <w:tcBorders>
              <w:top w:val="nil"/>
              <w:left w:val="nil"/>
              <w:bottom w:val="single" w:sz="4" w:space="0" w:color="auto"/>
              <w:right w:val="nil"/>
            </w:tcBorders>
            <w:noWrap/>
            <w:vAlign w:val="center"/>
          </w:tcPr>
          <w:p w14:paraId="505E6A2C" w14:textId="77777777" w:rsidR="009F6E47" w:rsidRPr="00847FAE" w:rsidRDefault="009F6E47" w:rsidP="000F2274">
            <w:pPr>
              <w:keepNext/>
              <w:widowControl w:val="0"/>
              <w:jc w:val="center"/>
              <w:rPr>
                <w:rFonts w:cs="Calibri"/>
                <w:iCs/>
                <w:color w:val="000000"/>
                <w:sz w:val="18"/>
                <w:szCs w:val="18"/>
              </w:rPr>
            </w:pPr>
            <w:r w:rsidRPr="00847FAE">
              <w:rPr>
                <w:rFonts w:cs="Calibri"/>
                <w:iCs/>
                <w:color w:val="000000"/>
                <w:sz w:val="18"/>
                <w:szCs w:val="18"/>
              </w:rPr>
              <w:t>5.9%</w:t>
            </w:r>
          </w:p>
        </w:tc>
      </w:tr>
      <w:tr w:rsidR="003F43C6" w:rsidRPr="00847FAE" w14:paraId="1F0A7353" w14:textId="77777777" w:rsidTr="003F43C6">
        <w:trPr>
          <w:cantSplit/>
          <w:trHeight w:val="170"/>
        </w:trPr>
        <w:tc>
          <w:tcPr>
            <w:tcW w:w="4395" w:type="dxa"/>
            <w:gridSpan w:val="4"/>
            <w:tcBorders>
              <w:top w:val="single" w:sz="4" w:space="0" w:color="auto"/>
              <w:left w:val="nil"/>
              <w:bottom w:val="nil"/>
              <w:right w:val="nil"/>
            </w:tcBorders>
            <w:noWrap/>
            <w:vAlign w:val="center"/>
          </w:tcPr>
          <w:p w14:paraId="6ABECC56" w14:textId="77777777" w:rsidR="003F43C6" w:rsidRPr="00847FAE" w:rsidRDefault="003F43C6" w:rsidP="000F2274">
            <w:pPr>
              <w:keepNext/>
              <w:widowControl w:val="0"/>
              <w:rPr>
                <w:rFonts w:cs="Calibri"/>
                <w:iCs/>
                <w:color w:val="000000"/>
                <w:sz w:val="15"/>
                <w:szCs w:val="15"/>
              </w:rPr>
            </w:pPr>
            <w:r w:rsidRPr="00847FAE">
              <w:rPr>
                <w:rFonts w:cs="Calibri"/>
                <w:b/>
                <w:iCs/>
                <w:color w:val="000000"/>
                <w:sz w:val="15"/>
                <w:szCs w:val="15"/>
                <w:vertAlign w:val="superscript"/>
              </w:rPr>
              <w:t>1</w:t>
            </w:r>
            <w:r w:rsidRPr="00847FAE">
              <w:rPr>
                <w:rFonts w:cs="Calibri"/>
                <w:iCs/>
                <w:color w:val="000000"/>
                <w:sz w:val="15"/>
                <w:szCs w:val="15"/>
              </w:rPr>
              <w:t xml:space="preserve"> Total listings includes all criminal matters, family violence and child protection applications that appeared before the Magistrates Court, including the Youth Justice jurisdiction, within the relevant reference period. Listings for civil claims are not included.</w:t>
            </w:r>
          </w:p>
          <w:p w14:paraId="34B1FEB2" w14:textId="77777777" w:rsidR="003F43C6" w:rsidRPr="00847FAE" w:rsidRDefault="003F43C6" w:rsidP="000F2274">
            <w:pPr>
              <w:keepNext/>
              <w:widowControl w:val="0"/>
              <w:rPr>
                <w:rFonts w:cs="Calibri"/>
                <w:iCs/>
                <w:color w:val="000000"/>
                <w:sz w:val="16"/>
                <w:szCs w:val="16"/>
              </w:rPr>
            </w:pPr>
            <w:r w:rsidRPr="00847FAE">
              <w:rPr>
                <w:rFonts w:cs="Calibri"/>
                <w:b/>
                <w:iCs/>
                <w:color w:val="000000"/>
                <w:sz w:val="14"/>
                <w:szCs w:val="16"/>
                <w:vertAlign w:val="superscript"/>
              </w:rPr>
              <w:t xml:space="preserve">2 </w:t>
            </w:r>
            <w:r w:rsidRPr="00847FAE">
              <w:rPr>
                <w:rFonts w:cs="Calibri"/>
                <w:iCs/>
                <w:color w:val="000000"/>
                <w:sz w:val="15"/>
                <w:szCs w:val="15"/>
              </w:rPr>
              <w:t>Some common listing types have been highlighted in the table above. It should be noted that a plea can be entered or sentences handed down at different stages of court listings, not limited to a sentence or plea listings.</w:t>
            </w:r>
            <w:r w:rsidRPr="00847FAE">
              <w:rPr>
                <w:rFonts w:cs="Calibri"/>
                <w:iCs/>
                <w:color w:val="000000"/>
                <w:sz w:val="16"/>
                <w:szCs w:val="16"/>
              </w:rPr>
              <w:t xml:space="preserve">  </w:t>
            </w:r>
          </w:p>
          <w:p w14:paraId="37408484" w14:textId="2B84CB61" w:rsidR="003F43C6" w:rsidRPr="00847FAE" w:rsidRDefault="003F43C6" w:rsidP="000F2274">
            <w:pPr>
              <w:keepNext/>
              <w:widowControl w:val="0"/>
              <w:rPr>
                <w:rFonts w:cs="Calibri"/>
                <w:iCs/>
                <w:color w:val="FFFFFF" w:themeColor="background1"/>
                <w:sz w:val="18"/>
                <w:szCs w:val="18"/>
                <w:vertAlign w:val="superscript"/>
              </w:rPr>
            </w:pPr>
            <w:r w:rsidRPr="00847FAE">
              <w:rPr>
                <w:rFonts w:cs="Calibri"/>
                <w:i/>
                <w:color w:val="000000"/>
                <w:sz w:val="15"/>
                <w:szCs w:val="15"/>
              </w:rPr>
              <w:t>Source: CRIMESStats database.</w:t>
            </w:r>
            <w:r w:rsidRPr="00847FAE">
              <w:rPr>
                <w:rFonts w:cs="Calibri"/>
                <w:iCs/>
                <w:color w:val="000000"/>
                <w:sz w:val="16"/>
                <w:szCs w:val="16"/>
              </w:rPr>
              <w:t xml:space="preserve"> </w:t>
            </w: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412893B2" w14:textId="77777777" w:rsidR="003F43C6" w:rsidRPr="00847FAE" w:rsidRDefault="003F43C6" w:rsidP="000F2274">
            <w:pPr>
              <w:keepNext/>
              <w:widowControl w:val="0"/>
              <w:jc w:val="center"/>
              <w:rPr>
                <w:rFonts w:cs="Calibri"/>
                <w:iCs/>
                <w:color w:val="FFFFFF" w:themeColor="background1"/>
                <w:sz w:val="18"/>
                <w:szCs w:val="18"/>
              </w:rPr>
            </w:pPr>
          </w:p>
        </w:tc>
        <w:tc>
          <w:tcPr>
            <w:tcW w:w="1417" w:type="dxa"/>
            <w:tcBorders>
              <w:top w:val="single" w:sz="4" w:space="0" w:color="auto"/>
              <w:left w:val="nil"/>
              <w:bottom w:val="single" w:sz="4" w:space="0" w:color="auto"/>
              <w:right w:val="nil"/>
            </w:tcBorders>
            <w:shd w:val="clear" w:color="auto" w:fill="D0CECE" w:themeFill="background2" w:themeFillShade="E6"/>
            <w:noWrap/>
            <w:vAlign w:val="center"/>
          </w:tcPr>
          <w:p w14:paraId="4CB6E20A" w14:textId="77777777" w:rsidR="003F43C6" w:rsidRPr="00847FAE" w:rsidRDefault="003F43C6" w:rsidP="000F2274">
            <w:pPr>
              <w:keepNext/>
              <w:widowControl w:val="0"/>
              <w:jc w:val="center"/>
              <w:rPr>
                <w:rFonts w:cs="Calibri"/>
                <w:iCs/>
                <w:color w:val="FFFFFF" w:themeColor="background1"/>
                <w:sz w:val="18"/>
                <w:szCs w:val="18"/>
              </w:rPr>
            </w:pPr>
          </w:p>
        </w:tc>
      </w:tr>
      <w:tr w:rsidR="003F43C6" w:rsidRPr="00847FAE" w14:paraId="22B3749E" w14:textId="77777777" w:rsidTr="001F1F60">
        <w:trPr>
          <w:cantSplit/>
          <w:trHeight w:val="170"/>
        </w:trPr>
        <w:tc>
          <w:tcPr>
            <w:tcW w:w="6946" w:type="dxa"/>
            <w:gridSpan w:val="6"/>
            <w:tcBorders>
              <w:top w:val="single" w:sz="4" w:space="0" w:color="auto"/>
              <w:left w:val="nil"/>
              <w:bottom w:val="nil"/>
              <w:right w:val="nil"/>
            </w:tcBorders>
            <w:noWrap/>
            <w:vAlign w:val="center"/>
          </w:tcPr>
          <w:p w14:paraId="6DBA64A1" w14:textId="38D75BBF" w:rsidR="003F43C6" w:rsidRPr="00847FAE" w:rsidRDefault="003F43C6" w:rsidP="000F2274">
            <w:pPr>
              <w:keepNext/>
              <w:widowControl w:val="0"/>
              <w:rPr>
                <w:rFonts w:cs="Calibri"/>
                <w:iCs/>
                <w:color w:val="000000"/>
                <w:sz w:val="18"/>
                <w:szCs w:val="18"/>
              </w:rPr>
            </w:pPr>
          </w:p>
        </w:tc>
      </w:tr>
    </w:tbl>
    <w:p w14:paraId="20A0B3C7" w14:textId="3B84DA62" w:rsidR="009F6E47" w:rsidRPr="00847FAE" w:rsidRDefault="009F6E47" w:rsidP="00FD6F91">
      <w:pPr>
        <w:keepNext/>
        <w:keepLines/>
        <w:spacing w:before="40"/>
        <w:outlineLvl w:val="2"/>
        <w:rPr>
          <w:rFonts w:eastAsiaTheme="majorEastAsia" w:cstheme="majorBidi"/>
          <w:lang w:eastAsia="en-US"/>
        </w:rPr>
      </w:pPr>
    </w:p>
    <w:p w14:paraId="10F711BE" w14:textId="2A2DE25F" w:rsidR="00FD6F91" w:rsidRPr="00847FAE" w:rsidRDefault="00FD6F91" w:rsidP="00FD6F91">
      <w:pPr>
        <w:keepNext/>
        <w:keepLines/>
        <w:spacing w:before="40"/>
        <w:outlineLvl w:val="2"/>
        <w:rPr>
          <w:rFonts w:eastAsiaTheme="majorEastAsia" w:cstheme="majorBidi"/>
          <w:lang w:eastAsia="en-US"/>
        </w:rPr>
      </w:pPr>
      <w:bookmarkStart w:id="372" w:name="_Toc1041181"/>
      <w:r w:rsidRPr="00847FAE">
        <w:rPr>
          <w:rFonts w:eastAsiaTheme="majorEastAsia" w:cstheme="majorBidi"/>
          <w:lang w:eastAsia="en-US"/>
        </w:rPr>
        <w:t xml:space="preserve">Table </w:t>
      </w:r>
      <w:r w:rsidR="000F2274" w:rsidRPr="00847FAE">
        <w:rPr>
          <w:rFonts w:eastAsiaTheme="majorEastAsia" w:cstheme="majorBidi"/>
          <w:lang w:eastAsia="en-US"/>
        </w:rPr>
        <w:t>4</w:t>
      </w:r>
      <w:r w:rsidRPr="00847FAE">
        <w:rPr>
          <w:rFonts w:eastAsiaTheme="majorEastAsia" w:cstheme="majorBidi"/>
          <w:lang w:eastAsia="en-US"/>
        </w:rPr>
        <w:t>: Magistrates Court Fines and Fees (inc. Youth Justice Court)</w:t>
      </w:r>
      <w:bookmarkEnd w:id="372"/>
    </w:p>
    <w:tbl>
      <w:tblPr>
        <w:tblStyle w:val="TableGrid1"/>
        <w:tblW w:w="6946" w:type="dxa"/>
        <w:tblLayout w:type="fixed"/>
        <w:tblLook w:val="04A0" w:firstRow="1" w:lastRow="0" w:firstColumn="1" w:lastColumn="0" w:noHBand="0" w:noVBand="1"/>
        <w:tblCaption w:val="Table4MagistratesCourtFinesandFees"/>
        <w:tblDescription w:val="Tabledescribingmagistratescourtfinesandfeesincludingyouthjusticecourt"/>
      </w:tblPr>
      <w:tblGrid>
        <w:gridCol w:w="412"/>
        <w:gridCol w:w="1011"/>
        <w:gridCol w:w="704"/>
        <w:gridCol w:w="2268"/>
        <w:gridCol w:w="1134"/>
        <w:gridCol w:w="1417"/>
      </w:tblGrid>
      <w:tr w:rsidR="00FD6F91" w:rsidRPr="00847FAE" w14:paraId="01B09E4B" w14:textId="77777777" w:rsidTr="004E3DB0">
        <w:trPr>
          <w:cantSplit/>
          <w:trHeight w:val="20"/>
          <w:tblHeader/>
        </w:trPr>
        <w:tc>
          <w:tcPr>
            <w:tcW w:w="412" w:type="dxa"/>
            <w:tcBorders>
              <w:top w:val="single" w:sz="4" w:space="0" w:color="auto"/>
              <w:left w:val="nil"/>
              <w:bottom w:val="single" w:sz="4" w:space="0" w:color="auto"/>
              <w:right w:val="nil"/>
            </w:tcBorders>
            <w:noWrap/>
            <w:hideMark/>
          </w:tcPr>
          <w:p w14:paraId="71705D8B"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1011" w:type="dxa"/>
            <w:tcBorders>
              <w:top w:val="single" w:sz="4" w:space="0" w:color="auto"/>
              <w:left w:val="nil"/>
              <w:bottom w:val="single" w:sz="4" w:space="0" w:color="auto"/>
              <w:right w:val="nil"/>
            </w:tcBorders>
            <w:noWrap/>
            <w:hideMark/>
          </w:tcPr>
          <w:p w14:paraId="7EC18E2F"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704" w:type="dxa"/>
            <w:tcBorders>
              <w:top w:val="single" w:sz="4" w:space="0" w:color="auto"/>
              <w:left w:val="nil"/>
              <w:bottom w:val="single" w:sz="4" w:space="0" w:color="auto"/>
              <w:right w:val="nil"/>
            </w:tcBorders>
            <w:noWrap/>
            <w:hideMark/>
          </w:tcPr>
          <w:p w14:paraId="6278A878"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2268" w:type="dxa"/>
            <w:tcBorders>
              <w:top w:val="single" w:sz="4" w:space="0" w:color="auto"/>
              <w:left w:val="nil"/>
              <w:bottom w:val="single" w:sz="4" w:space="0" w:color="auto"/>
              <w:right w:val="nil"/>
            </w:tcBorders>
            <w:noWrap/>
            <w:hideMark/>
          </w:tcPr>
          <w:p w14:paraId="49E3E620"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1134" w:type="dxa"/>
            <w:tcBorders>
              <w:top w:val="single" w:sz="4" w:space="0" w:color="auto"/>
              <w:left w:val="nil"/>
              <w:bottom w:val="single" w:sz="4" w:space="0" w:color="auto"/>
              <w:right w:val="nil"/>
            </w:tcBorders>
            <w:noWrap/>
            <w:vAlign w:val="center"/>
            <w:hideMark/>
          </w:tcPr>
          <w:p w14:paraId="47002DFF" w14:textId="77777777" w:rsidR="00FD6F91" w:rsidRPr="00847FAE" w:rsidRDefault="00FD6F91" w:rsidP="00FD6F91">
            <w:pPr>
              <w:keepNext/>
              <w:widowControl w:val="0"/>
              <w:jc w:val="center"/>
              <w:rPr>
                <w:rFonts w:cs="Calibri"/>
                <w:bCs/>
                <w:color w:val="000000"/>
                <w:sz w:val="18"/>
                <w:szCs w:val="18"/>
              </w:rPr>
            </w:pPr>
            <w:r w:rsidRPr="00847FAE">
              <w:rPr>
                <w:rFonts w:cs="Calibri"/>
                <w:bCs/>
                <w:color w:val="000000"/>
                <w:sz w:val="18"/>
                <w:szCs w:val="18"/>
              </w:rPr>
              <w:t>($’000)</w:t>
            </w:r>
          </w:p>
        </w:tc>
        <w:tc>
          <w:tcPr>
            <w:tcW w:w="1417" w:type="dxa"/>
            <w:tcBorders>
              <w:top w:val="single" w:sz="4" w:space="0" w:color="auto"/>
              <w:left w:val="nil"/>
              <w:bottom w:val="single" w:sz="4" w:space="0" w:color="auto"/>
              <w:right w:val="nil"/>
            </w:tcBorders>
            <w:noWrap/>
            <w:vAlign w:val="center"/>
            <w:hideMark/>
          </w:tcPr>
          <w:p w14:paraId="6CF15757" w14:textId="77777777" w:rsidR="00FD6F91" w:rsidRPr="00847FAE" w:rsidRDefault="00FD6F91" w:rsidP="00FD6F91">
            <w:pPr>
              <w:keepNext/>
              <w:widowControl w:val="0"/>
              <w:jc w:val="center"/>
              <w:rPr>
                <w:rFonts w:cs="Calibri"/>
                <w:bCs/>
                <w:color w:val="000000"/>
                <w:sz w:val="18"/>
                <w:szCs w:val="18"/>
              </w:rPr>
            </w:pPr>
            <w:r w:rsidRPr="00847FAE">
              <w:rPr>
                <w:rFonts w:cs="Calibri"/>
                <w:bCs/>
                <w:color w:val="000000"/>
                <w:sz w:val="18"/>
                <w:szCs w:val="18"/>
              </w:rPr>
              <w:t>change year-on-year</w:t>
            </w:r>
          </w:p>
        </w:tc>
      </w:tr>
      <w:tr w:rsidR="00FD6F91" w:rsidRPr="00847FAE" w14:paraId="40064BC2" w14:textId="77777777" w:rsidTr="001F1F60">
        <w:trPr>
          <w:cantSplit/>
          <w:trHeight w:val="170"/>
        </w:trPr>
        <w:tc>
          <w:tcPr>
            <w:tcW w:w="4395" w:type="dxa"/>
            <w:gridSpan w:val="4"/>
            <w:tcBorders>
              <w:top w:val="single" w:sz="4" w:space="0" w:color="auto"/>
              <w:left w:val="nil"/>
              <w:bottom w:val="single" w:sz="4" w:space="0" w:color="auto"/>
              <w:right w:val="nil"/>
            </w:tcBorders>
            <w:shd w:val="clear" w:color="auto" w:fill="D0CECE" w:themeFill="background2" w:themeFillShade="E6"/>
            <w:noWrap/>
            <w:vAlign w:val="center"/>
          </w:tcPr>
          <w:p w14:paraId="6FB5561F" w14:textId="77777777" w:rsidR="00FD6F91" w:rsidRPr="00847FAE" w:rsidRDefault="00FD6F91" w:rsidP="00FD6F91">
            <w:pPr>
              <w:keepNext/>
              <w:widowControl w:val="0"/>
              <w:rPr>
                <w:rFonts w:cs="Calibri"/>
                <w:color w:val="000000"/>
                <w:sz w:val="18"/>
                <w:szCs w:val="18"/>
              </w:rPr>
            </w:pPr>
            <w:r w:rsidRPr="00847FAE">
              <w:rPr>
                <w:rFonts w:cs="Calibri"/>
                <w:sz w:val="18"/>
                <w:szCs w:val="18"/>
              </w:rPr>
              <w:t xml:space="preserve">CRIMINAL </w:t>
            </w: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1AB5C9EB" w14:textId="77777777" w:rsidR="00FD6F91" w:rsidRPr="00847FAE" w:rsidRDefault="00FD6F91" w:rsidP="00FD6F91">
            <w:pPr>
              <w:keepNext/>
              <w:widowControl w:val="0"/>
              <w:jc w:val="center"/>
              <w:rPr>
                <w:rFonts w:cs="Calibri"/>
                <w:color w:val="000000"/>
                <w:sz w:val="18"/>
                <w:szCs w:val="18"/>
              </w:rPr>
            </w:pPr>
          </w:p>
        </w:tc>
        <w:tc>
          <w:tcPr>
            <w:tcW w:w="1417" w:type="dxa"/>
            <w:tcBorders>
              <w:top w:val="single" w:sz="4" w:space="0" w:color="auto"/>
              <w:left w:val="nil"/>
              <w:bottom w:val="single" w:sz="4" w:space="0" w:color="auto"/>
              <w:right w:val="nil"/>
            </w:tcBorders>
            <w:shd w:val="clear" w:color="auto" w:fill="D0CECE" w:themeFill="background2" w:themeFillShade="E6"/>
            <w:noWrap/>
            <w:vAlign w:val="center"/>
          </w:tcPr>
          <w:p w14:paraId="4B100114" w14:textId="77777777" w:rsidR="00FD6F91" w:rsidRPr="00847FAE" w:rsidRDefault="00FD6F91" w:rsidP="00FD6F91">
            <w:pPr>
              <w:keepNext/>
              <w:widowControl w:val="0"/>
              <w:jc w:val="center"/>
              <w:rPr>
                <w:rFonts w:cs="Calibri"/>
                <w:color w:val="000000"/>
                <w:sz w:val="18"/>
                <w:szCs w:val="18"/>
              </w:rPr>
            </w:pPr>
          </w:p>
        </w:tc>
      </w:tr>
      <w:tr w:rsidR="00FD6F91" w:rsidRPr="00847FAE" w14:paraId="0FA367F7" w14:textId="77777777" w:rsidTr="001F1F60">
        <w:trPr>
          <w:cantSplit/>
          <w:trHeight w:val="255"/>
        </w:trPr>
        <w:tc>
          <w:tcPr>
            <w:tcW w:w="412" w:type="dxa"/>
            <w:tcBorders>
              <w:top w:val="single" w:sz="4" w:space="0" w:color="auto"/>
              <w:left w:val="nil"/>
              <w:bottom w:val="nil"/>
              <w:right w:val="nil"/>
            </w:tcBorders>
            <w:noWrap/>
            <w:hideMark/>
          </w:tcPr>
          <w:p w14:paraId="4C95361B"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3983" w:type="dxa"/>
            <w:gridSpan w:val="3"/>
            <w:tcBorders>
              <w:top w:val="single" w:sz="4" w:space="0" w:color="auto"/>
              <w:left w:val="nil"/>
              <w:bottom w:val="nil"/>
              <w:right w:val="nil"/>
            </w:tcBorders>
            <w:noWrap/>
            <w:hideMark/>
          </w:tcPr>
          <w:p w14:paraId="1349817A" w14:textId="77777777" w:rsidR="00FD6F91" w:rsidRPr="00847FAE" w:rsidRDefault="00FD6F91" w:rsidP="00FD6F91">
            <w:pPr>
              <w:keepNext/>
              <w:widowControl w:val="0"/>
              <w:rPr>
                <w:rFonts w:cs="Calibri"/>
                <w:iCs/>
                <w:color w:val="000000"/>
                <w:sz w:val="18"/>
                <w:szCs w:val="18"/>
                <w:vertAlign w:val="superscript"/>
              </w:rPr>
            </w:pPr>
            <w:r w:rsidRPr="00847FAE">
              <w:rPr>
                <w:rFonts w:cs="Calibri"/>
                <w:iCs/>
                <w:color w:val="000000"/>
                <w:sz w:val="18"/>
                <w:szCs w:val="18"/>
              </w:rPr>
              <w:t>Fines</w:t>
            </w:r>
          </w:p>
        </w:tc>
        <w:tc>
          <w:tcPr>
            <w:tcW w:w="1134" w:type="dxa"/>
            <w:tcBorders>
              <w:top w:val="single" w:sz="4" w:space="0" w:color="auto"/>
              <w:left w:val="nil"/>
              <w:bottom w:val="nil"/>
              <w:right w:val="nil"/>
            </w:tcBorders>
            <w:noWrap/>
            <w:vAlign w:val="center"/>
          </w:tcPr>
          <w:p w14:paraId="05F8ECBB" w14:textId="77777777" w:rsidR="00FD6F91" w:rsidRPr="00847FAE" w:rsidRDefault="00FD6F91" w:rsidP="00FD6F91">
            <w:pPr>
              <w:keepNext/>
              <w:widowControl w:val="0"/>
              <w:jc w:val="center"/>
              <w:rPr>
                <w:rFonts w:cs="Calibri"/>
                <w:iCs/>
                <w:color w:val="000000"/>
                <w:sz w:val="18"/>
                <w:szCs w:val="18"/>
              </w:rPr>
            </w:pPr>
            <w:r w:rsidRPr="00847FAE">
              <w:rPr>
                <w:rFonts w:cs="Calibri"/>
                <w:iCs/>
                <w:color w:val="000000"/>
                <w:sz w:val="18"/>
                <w:szCs w:val="18"/>
              </w:rPr>
              <w:t>4,861</w:t>
            </w:r>
          </w:p>
        </w:tc>
        <w:tc>
          <w:tcPr>
            <w:tcW w:w="1417" w:type="dxa"/>
            <w:tcBorders>
              <w:top w:val="single" w:sz="4" w:space="0" w:color="auto"/>
              <w:left w:val="nil"/>
              <w:bottom w:val="nil"/>
              <w:right w:val="nil"/>
            </w:tcBorders>
            <w:noWrap/>
            <w:vAlign w:val="center"/>
          </w:tcPr>
          <w:p w14:paraId="399E7962" w14:textId="77777777" w:rsidR="00FD6F91" w:rsidRPr="00847FAE" w:rsidRDefault="00FD6F91" w:rsidP="00FD6F91">
            <w:pPr>
              <w:keepNext/>
              <w:widowControl w:val="0"/>
              <w:jc w:val="center"/>
              <w:rPr>
                <w:rFonts w:cs="Calibri"/>
                <w:iCs/>
                <w:color w:val="000000"/>
                <w:sz w:val="18"/>
                <w:szCs w:val="18"/>
              </w:rPr>
            </w:pPr>
            <w:r w:rsidRPr="00847FAE">
              <w:rPr>
                <w:rFonts w:cs="Calibri"/>
                <w:color w:val="000000"/>
                <w:sz w:val="18"/>
                <w:szCs w:val="18"/>
              </w:rPr>
              <w:t>15.4%</w:t>
            </w:r>
          </w:p>
        </w:tc>
      </w:tr>
      <w:tr w:rsidR="00FD6F91" w:rsidRPr="00847FAE" w14:paraId="328A97B0" w14:textId="77777777" w:rsidTr="001F1F60">
        <w:trPr>
          <w:cantSplit/>
          <w:trHeight w:val="255"/>
        </w:trPr>
        <w:tc>
          <w:tcPr>
            <w:tcW w:w="412" w:type="dxa"/>
            <w:tcBorders>
              <w:top w:val="nil"/>
              <w:left w:val="nil"/>
              <w:bottom w:val="nil"/>
              <w:right w:val="nil"/>
            </w:tcBorders>
            <w:noWrap/>
          </w:tcPr>
          <w:p w14:paraId="0AD82D86" w14:textId="77777777" w:rsidR="00FD6F91" w:rsidRPr="00847FAE" w:rsidRDefault="00FD6F91" w:rsidP="00FD6F91">
            <w:pPr>
              <w:keepNext/>
              <w:widowControl w:val="0"/>
              <w:rPr>
                <w:rFonts w:cs="Calibri"/>
                <w:color w:val="000000"/>
                <w:sz w:val="18"/>
                <w:szCs w:val="18"/>
              </w:rPr>
            </w:pPr>
          </w:p>
        </w:tc>
        <w:tc>
          <w:tcPr>
            <w:tcW w:w="3983" w:type="dxa"/>
            <w:gridSpan w:val="3"/>
            <w:tcBorders>
              <w:top w:val="nil"/>
              <w:left w:val="nil"/>
              <w:bottom w:val="nil"/>
              <w:right w:val="nil"/>
            </w:tcBorders>
            <w:noWrap/>
          </w:tcPr>
          <w:p w14:paraId="22572966"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Court Costs</w:t>
            </w:r>
          </w:p>
        </w:tc>
        <w:tc>
          <w:tcPr>
            <w:tcW w:w="1134" w:type="dxa"/>
            <w:tcBorders>
              <w:top w:val="nil"/>
              <w:left w:val="nil"/>
              <w:bottom w:val="nil"/>
              <w:right w:val="nil"/>
            </w:tcBorders>
            <w:noWrap/>
            <w:vAlign w:val="center"/>
          </w:tcPr>
          <w:p w14:paraId="04DBFEFB" w14:textId="77777777" w:rsidR="00FD6F91" w:rsidRPr="00847FAE" w:rsidRDefault="00FD6F91" w:rsidP="00FD6F91">
            <w:pPr>
              <w:keepNext/>
              <w:widowControl w:val="0"/>
              <w:jc w:val="center"/>
              <w:rPr>
                <w:rFonts w:cs="Calibri"/>
                <w:iCs/>
                <w:color w:val="000000"/>
                <w:sz w:val="18"/>
                <w:szCs w:val="18"/>
              </w:rPr>
            </w:pPr>
            <w:r w:rsidRPr="00847FAE">
              <w:rPr>
                <w:rFonts w:cs="Calibri"/>
                <w:iCs/>
                <w:color w:val="000000"/>
                <w:sz w:val="18"/>
                <w:szCs w:val="18"/>
              </w:rPr>
              <w:t>871</w:t>
            </w:r>
          </w:p>
        </w:tc>
        <w:tc>
          <w:tcPr>
            <w:tcW w:w="1417" w:type="dxa"/>
            <w:tcBorders>
              <w:top w:val="nil"/>
              <w:left w:val="nil"/>
              <w:bottom w:val="nil"/>
              <w:right w:val="nil"/>
            </w:tcBorders>
            <w:noWrap/>
            <w:vAlign w:val="center"/>
          </w:tcPr>
          <w:p w14:paraId="06D19D42" w14:textId="77777777" w:rsidR="00FD6F91" w:rsidRPr="00847FAE" w:rsidRDefault="00FD6F91" w:rsidP="00FD6F91">
            <w:pPr>
              <w:keepNext/>
              <w:widowControl w:val="0"/>
              <w:jc w:val="center"/>
              <w:rPr>
                <w:rFonts w:cs="Calibri"/>
                <w:iCs/>
                <w:color w:val="000000"/>
                <w:sz w:val="18"/>
                <w:szCs w:val="18"/>
              </w:rPr>
            </w:pPr>
            <w:r w:rsidRPr="00847FAE">
              <w:rPr>
                <w:rFonts w:cs="Calibri"/>
                <w:color w:val="000000"/>
                <w:sz w:val="18"/>
                <w:szCs w:val="18"/>
              </w:rPr>
              <w:t>5.0%</w:t>
            </w:r>
          </w:p>
        </w:tc>
      </w:tr>
      <w:tr w:rsidR="00FD6F91" w:rsidRPr="00847FAE" w14:paraId="61A5FC36" w14:textId="77777777" w:rsidTr="001F1F60">
        <w:trPr>
          <w:cantSplit/>
          <w:trHeight w:val="255"/>
        </w:trPr>
        <w:tc>
          <w:tcPr>
            <w:tcW w:w="412" w:type="dxa"/>
            <w:tcBorders>
              <w:top w:val="nil"/>
              <w:left w:val="nil"/>
              <w:bottom w:val="nil"/>
              <w:right w:val="nil"/>
            </w:tcBorders>
            <w:noWrap/>
          </w:tcPr>
          <w:p w14:paraId="09EA02F2" w14:textId="77777777" w:rsidR="00FD6F91" w:rsidRPr="00847FAE" w:rsidRDefault="00FD6F91" w:rsidP="00FD6F91">
            <w:pPr>
              <w:keepNext/>
              <w:widowControl w:val="0"/>
              <w:rPr>
                <w:rFonts w:cs="Calibri"/>
                <w:color w:val="000000"/>
                <w:sz w:val="18"/>
                <w:szCs w:val="18"/>
              </w:rPr>
            </w:pPr>
          </w:p>
        </w:tc>
        <w:tc>
          <w:tcPr>
            <w:tcW w:w="3983" w:type="dxa"/>
            <w:gridSpan w:val="3"/>
            <w:tcBorders>
              <w:top w:val="nil"/>
              <w:left w:val="nil"/>
              <w:bottom w:val="nil"/>
              <w:right w:val="nil"/>
            </w:tcBorders>
            <w:noWrap/>
          </w:tcPr>
          <w:p w14:paraId="717FC6BE"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Appeal Costs Find Levy</w:t>
            </w:r>
          </w:p>
        </w:tc>
        <w:tc>
          <w:tcPr>
            <w:tcW w:w="1134" w:type="dxa"/>
            <w:tcBorders>
              <w:top w:val="nil"/>
              <w:left w:val="nil"/>
              <w:bottom w:val="nil"/>
              <w:right w:val="nil"/>
            </w:tcBorders>
            <w:noWrap/>
            <w:vAlign w:val="center"/>
          </w:tcPr>
          <w:p w14:paraId="4DF85624" w14:textId="77777777" w:rsidR="00FD6F91" w:rsidRPr="00847FAE" w:rsidRDefault="00FD6F91" w:rsidP="00FD6F91">
            <w:pPr>
              <w:keepNext/>
              <w:widowControl w:val="0"/>
              <w:jc w:val="center"/>
              <w:rPr>
                <w:rFonts w:cs="Calibri"/>
                <w:iCs/>
                <w:color w:val="000000"/>
                <w:sz w:val="18"/>
                <w:szCs w:val="18"/>
              </w:rPr>
            </w:pPr>
            <w:r w:rsidRPr="00847FAE">
              <w:rPr>
                <w:rFonts w:cs="Calibri"/>
                <w:iCs/>
                <w:color w:val="000000"/>
                <w:sz w:val="18"/>
                <w:szCs w:val="18"/>
              </w:rPr>
              <w:t>33</w:t>
            </w:r>
          </w:p>
        </w:tc>
        <w:tc>
          <w:tcPr>
            <w:tcW w:w="1417" w:type="dxa"/>
            <w:tcBorders>
              <w:top w:val="nil"/>
              <w:left w:val="nil"/>
              <w:bottom w:val="nil"/>
              <w:right w:val="nil"/>
            </w:tcBorders>
            <w:noWrap/>
            <w:vAlign w:val="center"/>
          </w:tcPr>
          <w:p w14:paraId="4B0D8B4E" w14:textId="77777777" w:rsidR="00FD6F91" w:rsidRPr="00847FAE" w:rsidRDefault="00FD6F91" w:rsidP="00FD6F91">
            <w:pPr>
              <w:keepNext/>
              <w:widowControl w:val="0"/>
              <w:jc w:val="center"/>
              <w:rPr>
                <w:rFonts w:cs="Calibri"/>
                <w:iCs/>
                <w:color w:val="000000"/>
                <w:sz w:val="18"/>
                <w:szCs w:val="18"/>
              </w:rPr>
            </w:pPr>
            <w:r w:rsidRPr="00847FAE">
              <w:rPr>
                <w:rFonts w:cs="Calibri"/>
                <w:color w:val="000000"/>
                <w:sz w:val="18"/>
                <w:szCs w:val="18"/>
              </w:rPr>
              <w:t>2.8%</w:t>
            </w:r>
          </w:p>
        </w:tc>
      </w:tr>
      <w:tr w:rsidR="00FD6F91" w:rsidRPr="00847FAE" w14:paraId="6F4A48D9" w14:textId="77777777" w:rsidTr="001F1F60">
        <w:trPr>
          <w:cantSplit/>
          <w:trHeight w:val="255"/>
        </w:trPr>
        <w:tc>
          <w:tcPr>
            <w:tcW w:w="412" w:type="dxa"/>
            <w:tcBorders>
              <w:top w:val="nil"/>
              <w:left w:val="nil"/>
              <w:bottom w:val="nil"/>
              <w:right w:val="nil"/>
            </w:tcBorders>
            <w:noWrap/>
          </w:tcPr>
          <w:p w14:paraId="37C98B65" w14:textId="77777777" w:rsidR="00FD6F91" w:rsidRPr="00847FAE" w:rsidRDefault="00FD6F91" w:rsidP="00FD6F91">
            <w:pPr>
              <w:keepNext/>
              <w:widowControl w:val="0"/>
              <w:rPr>
                <w:rFonts w:cs="Calibri"/>
                <w:color w:val="000000"/>
                <w:sz w:val="18"/>
                <w:szCs w:val="18"/>
              </w:rPr>
            </w:pPr>
          </w:p>
        </w:tc>
        <w:tc>
          <w:tcPr>
            <w:tcW w:w="3983" w:type="dxa"/>
            <w:gridSpan w:val="3"/>
            <w:tcBorders>
              <w:top w:val="nil"/>
              <w:left w:val="nil"/>
              <w:bottom w:val="nil"/>
              <w:right w:val="nil"/>
            </w:tcBorders>
            <w:noWrap/>
          </w:tcPr>
          <w:p w14:paraId="49F56B1F"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Victims of Crime Compensation Levy</w:t>
            </w:r>
          </w:p>
        </w:tc>
        <w:tc>
          <w:tcPr>
            <w:tcW w:w="1134" w:type="dxa"/>
            <w:tcBorders>
              <w:top w:val="nil"/>
              <w:left w:val="nil"/>
              <w:bottom w:val="nil"/>
              <w:right w:val="nil"/>
            </w:tcBorders>
            <w:noWrap/>
            <w:vAlign w:val="center"/>
          </w:tcPr>
          <w:p w14:paraId="671B5E66" w14:textId="77777777" w:rsidR="00FD6F91" w:rsidRPr="00847FAE" w:rsidRDefault="00FD6F91" w:rsidP="00FD6F91">
            <w:pPr>
              <w:keepNext/>
              <w:widowControl w:val="0"/>
              <w:jc w:val="center"/>
              <w:rPr>
                <w:rFonts w:cs="Calibri"/>
                <w:iCs/>
                <w:color w:val="000000"/>
                <w:sz w:val="18"/>
                <w:szCs w:val="18"/>
              </w:rPr>
            </w:pPr>
            <w:r w:rsidRPr="00847FAE">
              <w:rPr>
                <w:rFonts w:cs="Calibri"/>
                <w:iCs/>
                <w:color w:val="000000"/>
                <w:sz w:val="18"/>
                <w:szCs w:val="18"/>
              </w:rPr>
              <w:t>326</w:t>
            </w:r>
          </w:p>
        </w:tc>
        <w:tc>
          <w:tcPr>
            <w:tcW w:w="1417" w:type="dxa"/>
            <w:tcBorders>
              <w:top w:val="nil"/>
              <w:left w:val="nil"/>
              <w:bottom w:val="nil"/>
              <w:right w:val="nil"/>
            </w:tcBorders>
            <w:noWrap/>
            <w:vAlign w:val="center"/>
          </w:tcPr>
          <w:p w14:paraId="20015C9A" w14:textId="77777777" w:rsidR="00FD6F91" w:rsidRPr="00847FAE" w:rsidRDefault="00FD6F91" w:rsidP="00FD6F91">
            <w:pPr>
              <w:keepNext/>
              <w:widowControl w:val="0"/>
              <w:jc w:val="center"/>
              <w:rPr>
                <w:rFonts w:cs="Calibri"/>
                <w:iCs/>
                <w:color w:val="000000"/>
                <w:sz w:val="18"/>
                <w:szCs w:val="18"/>
              </w:rPr>
            </w:pPr>
            <w:r w:rsidRPr="00847FAE">
              <w:rPr>
                <w:rFonts w:cs="Calibri"/>
                <w:color w:val="000000"/>
                <w:sz w:val="18"/>
                <w:szCs w:val="18"/>
              </w:rPr>
              <w:t>13.1%</w:t>
            </w:r>
          </w:p>
        </w:tc>
      </w:tr>
      <w:tr w:rsidR="00FD6F91" w:rsidRPr="00847FAE" w14:paraId="24779F3C" w14:textId="77777777" w:rsidTr="001F1F60">
        <w:trPr>
          <w:cantSplit/>
          <w:trHeight w:val="255"/>
        </w:trPr>
        <w:tc>
          <w:tcPr>
            <w:tcW w:w="412" w:type="dxa"/>
            <w:tcBorders>
              <w:top w:val="nil"/>
              <w:left w:val="nil"/>
              <w:bottom w:val="single" w:sz="4" w:space="0" w:color="auto"/>
              <w:right w:val="nil"/>
            </w:tcBorders>
            <w:noWrap/>
          </w:tcPr>
          <w:p w14:paraId="0FD9A2EC" w14:textId="77777777" w:rsidR="00FD6F91" w:rsidRPr="00847FAE" w:rsidRDefault="00FD6F91" w:rsidP="00FD6F91">
            <w:pPr>
              <w:keepNext/>
              <w:widowControl w:val="0"/>
              <w:rPr>
                <w:rFonts w:cs="Calibri"/>
                <w:color w:val="000000"/>
                <w:sz w:val="18"/>
                <w:szCs w:val="18"/>
              </w:rPr>
            </w:pPr>
          </w:p>
        </w:tc>
        <w:tc>
          <w:tcPr>
            <w:tcW w:w="3983" w:type="dxa"/>
            <w:gridSpan w:val="3"/>
            <w:tcBorders>
              <w:top w:val="nil"/>
              <w:left w:val="nil"/>
              <w:bottom w:val="single" w:sz="4" w:space="0" w:color="auto"/>
              <w:right w:val="nil"/>
            </w:tcBorders>
            <w:noWrap/>
          </w:tcPr>
          <w:p w14:paraId="2B4BF567" w14:textId="77777777" w:rsidR="00FD6F91" w:rsidRPr="00847FAE" w:rsidRDefault="00FD6F91" w:rsidP="00FD6F91">
            <w:pPr>
              <w:keepNext/>
              <w:widowControl w:val="0"/>
              <w:rPr>
                <w:rFonts w:cs="Calibri"/>
                <w:iCs/>
                <w:color w:val="000000"/>
                <w:sz w:val="18"/>
                <w:szCs w:val="18"/>
                <w:vertAlign w:val="superscript"/>
              </w:rPr>
            </w:pPr>
            <w:r w:rsidRPr="00847FAE">
              <w:rPr>
                <w:rFonts w:cs="Calibri"/>
                <w:iCs/>
                <w:color w:val="000000"/>
                <w:sz w:val="18"/>
                <w:szCs w:val="18"/>
              </w:rPr>
              <w:t>Other Costs</w:t>
            </w:r>
            <w:r w:rsidRPr="00847FAE">
              <w:rPr>
                <w:rFonts w:cs="Calibri"/>
                <w:iCs/>
                <w:color w:val="000000"/>
                <w:sz w:val="18"/>
                <w:szCs w:val="18"/>
                <w:vertAlign w:val="superscript"/>
              </w:rPr>
              <w:t>1</w:t>
            </w:r>
          </w:p>
        </w:tc>
        <w:tc>
          <w:tcPr>
            <w:tcW w:w="1134" w:type="dxa"/>
            <w:tcBorders>
              <w:top w:val="nil"/>
              <w:left w:val="nil"/>
              <w:bottom w:val="single" w:sz="4" w:space="0" w:color="auto"/>
              <w:right w:val="nil"/>
            </w:tcBorders>
            <w:noWrap/>
            <w:vAlign w:val="center"/>
          </w:tcPr>
          <w:p w14:paraId="1C1236B4" w14:textId="77777777" w:rsidR="00FD6F91" w:rsidRPr="00847FAE" w:rsidRDefault="00FD6F91" w:rsidP="00FD6F91">
            <w:pPr>
              <w:keepNext/>
              <w:widowControl w:val="0"/>
              <w:jc w:val="center"/>
              <w:rPr>
                <w:rFonts w:cs="Calibri"/>
                <w:iCs/>
                <w:color w:val="000000"/>
                <w:sz w:val="18"/>
                <w:szCs w:val="18"/>
              </w:rPr>
            </w:pPr>
            <w:r w:rsidRPr="00847FAE">
              <w:rPr>
                <w:rFonts w:cs="Calibri"/>
                <w:iCs/>
                <w:color w:val="000000"/>
                <w:sz w:val="18"/>
                <w:szCs w:val="18"/>
              </w:rPr>
              <w:t>247</w:t>
            </w:r>
          </w:p>
        </w:tc>
        <w:tc>
          <w:tcPr>
            <w:tcW w:w="1417" w:type="dxa"/>
            <w:tcBorders>
              <w:top w:val="nil"/>
              <w:left w:val="nil"/>
              <w:bottom w:val="single" w:sz="4" w:space="0" w:color="auto"/>
              <w:right w:val="nil"/>
            </w:tcBorders>
            <w:noWrap/>
            <w:vAlign w:val="center"/>
          </w:tcPr>
          <w:p w14:paraId="01C95968" w14:textId="77777777" w:rsidR="00FD6F91" w:rsidRPr="00847FAE" w:rsidRDefault="00FD6F91" w:rsidP="00FD6F91">
            <w:pPr>
              <w:keepNext/>
              <w:widowControl w:val="0"/>
              <w:jc w:val="center"/>
              <w:rPr>
                <w:rFonts w:cs="Calibri"/>
                <w:iCs/>
                <w:color w:val="000000"/>
                <w:sz w:val="18"/>
                <w:szCs w:val="18"/>
              </w:rPr>
            </w:pPr>
            <w:r w:rsidRPr="00847FAE">
              <w:rPr>
                <w:rFonts w:cs="Calibri"/>
                <w:color w:val="000000"/>
                <w:sz w:val="18"/>
                <w:szCs w:val="18"/>
              </w:rPr>
              <w:t>59.3%</w:t>
            </w:r>
          </w:p>
        </w:tc>
      </w:tr>
      <w:tr w:rsidR="00FD6F91" w:rsidRPr="00847FAE" w14:paraId="3484FCD0" w14:textId="77777777" w:rsidTr="001F1F60">
        <w:trPr>
          <w:cantSplit/>
          <w:trHeight w:val="255"/>
        </w:trPr>
        <w:tc>
          <w:tcPr>
            <w:tcW w:w="4395" w:type="dxa"/>
            <w:gridSpan w:val="4"/>
            <w:tcBorders>
              <w:top w:val="single" w:sz="4" w:space="0" w:color="auto"/>
              <w:left w:val="nil"/>
              <w:bottom w:val="single" w:sz="4" w:space="0" w:color="auto"/>
              <w:right w:val="nil"/>
            </w:tcBorders>
            <w:shd w:val="clear" w:color="auto" w:fill="D0CECE" w:themeFill="background2" w:themeFillShade="E6"/>
            <w:noWrap/>
            <w:vAlign w:val="center"/>
          </w:tcPr>
          <w:p w14:paraId="1C2479F9" w14:textId="77777777" w:rsidR="00FD6F91" w:rsidRPr="00847FAE" w:rsidRDefault="00FD6F91" w:rsidP="00FD6F91">
            <w:pPr>
              <w:keepNext/>
              <w:widowControl w:val="0"/>
              <w:rPr>
                <w:rFonts w:cs="Calibri"/>
                <w:iCs/>
                <w:color w:val="FFFFFF" w:themeColor="background1"/>
                <w:sz w:val="18"/>
                <w:szCs w:val="18"/>
                <w:vertAlign w:val="superscript"/>
              </w:rPr>
            </w:pPr>
            <w:r w:rsidRPr="00847FAE">
              <w:rPr>
                <w:rFonts w:cs="Calibri"/>
                <w:iCs/>
                <w:sz w:val="18"/>
                <w:szCs w:val="18"/>
              </w:rPr>
              <w:t xml:space="preserve">CIVIL </w:t>
            </w:r>
          </w:p>
        </w:tc>
        <w:tc>
          <w:tcPr>
            <w:tcW w:w="1134" w:type="dxa"/>
            <w:tcBorders>
              <w:top w:val="single" w:sz="4" w:space="0" w:color="auto"/>
              <w:left w:val="nil"/>
              <w:bottom w:val="single" w:sz="4" w:space="0" w:color="auto"/>
              <w:right w:val="nil"/>
            </w:tcBorders>
            <w:shd w:val="clear" w:color="auto" w:fill="D0CECE" w:themeFill="background2" w:themeFillShade="E6"/>
            <w:noWrap/>
            <w:vAlign w:val="center"/>
          </w:tcPr>
          <w:p w14:paraId="3E680047" w14:textId="77777777" w:rsidR="00FD6F91" w:rsidRPr="00847FAE" w:rsidRDefault="00FD6F91" w:rsidP="00FD6F91">
            <w:pPr>
              <w:keepNext/>
              <w:widowControl w:val="0"/>
              <w:jc w:val="center"/>
              <w:rPr>
                <w:rFonts w:cs="Calibri"/>
                <w:iCs/>
                <w:color w:val="FFFFFF" w:themeColor="background1"/>
                <w:sz w:val="18"/>
                <w:szCs w:val="18"/>
              </w:rPr>
            </w:pPr>
          </w:p>
        </w:tc>
        <w:tc>
          <w:tcPr>
            <w:tcW w:w="1417" w:type="dxa"/>
            <w:tcBorders>
              <w:top w:val="single" w:sz="4" w:space="0" w:color="auto"/>
              <w:left w:val="nil"/>
              <w:bottom w:val="single" w:sz="4" w:space="0" w:color="auto"/>
              <w:right w:val="nil"/>
            </w:tcBorders>
            <w:shd w:val="clear" w:color="auto" w:fill="D0CECE" w:themeFill="background2" w:themeFillShade="E6"/>
            <w:noWrap/>
            <w:vAlign w:val="center"/>
          </w:tcPr>
          <w:p w14:paraId="36DF6DD3" w14:textId="77777777" w:rsidR="00FD6F91" w:rsidRPr="00847FAE" w:rsidRDefault="00FD6F91" w:rsidP="00FD6F91">
            <w:pPr>
              <w:keepNext/>
              <w:widowControl w:val="0"/>
              <w:jc w:val="center"/>
              <w:rPr>
                <w:rFonts w:cs="Calibri"/>
                <w:iCs/>
                <w:color w:val="FFFFFF" w:themeColor="background1"/>
                <w:sz w:val="18"/>
                <w:szCs w:val="18"/>
              </w:rPr>
            </w:pPr>
          </w:p>
        </w:tc>
      </w:tr>
      <w:tr w:rsidR="00FD6F91" w:rsidRPr="00847FAE" w14:paraId="7712D63C" w14:textId="77777777" w:rsidTr="001F1F60">
        <w:trPr>
          <w:cantSplit/>
          <w:trHeight w:val="255"/>
        </w:trPr>
        <w:tc>
          <w:tcPr>
            <w:tcW w:w="412" w:type="dxa"/>
            <w:tcBorders>
              <w:top w:val="single" w:sz="4" w:space="0" w:color="auto"/>
              <w:left w:val="nil"/>
              <w:bottom w:val="single" w:sz="4" w:space="0" w:color="auto"/>
              <w:right w:val="nil"/>
            </w:tcBorders>
            <w:noWrap/>
          </w:tcPr>
          <w:p w14:paraId="6CE38423" w14:textId="77777777" w:rsidR="00FD6F91" w:rsidRPr="00847FAE" w:rsidRDefault="00FD6F91" w:rsidP="00FD6F91">
            <w:pPr>
              <w:keepNext/>
              <w:widowControl w:val="0"/>
              <w:rPr>
                <w:rFonts w:cs="Calibri"/>
                <w:color w:val="000000"/>
                <w:sz w:val="18"/>
                <w:szCs w:val="18"/>
              </w:rPr>
            </w:pPr>
          </w:p>
        </w:tc>
        <w:tc>
          <w:tcPr>
            <w:tcW w:w="3983" w:type="dxa"/>
            <w:gridSpan w:val="3"/>
            <w:tcBorders>
              <w:top w:val="single" w:sz="4" w:space="0" w:color="auto"/>
              <w:left w:val="nil"/>
              <w:bottom w:val="single" w:sz="4" w:space="0" w:color="auto"/>
              <w:right w:val="nil"/>
            </w:tcBorders>
            <w:noWrap/>
          </w:tcPr>
          <w:p w14:paraId="6F5124FA"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Civil Court Fees</w:t>
            </w:r>
          </w:p>
        </w:tc>
        <w:tc>
          <w:tcPr>
            <w:tcW w:w="1134" w:type="dxa"/>
            <w:tcBorders>
              <w:top w:val="single" w:sz="4" w:space="0" w:color="auto"/>
              <w:left w:val="nil"/>
              <w:bottom w:val="single" w:sz="4" w:space="0" w:color="auto"/>
              <w:right w:val="nil"/>
            </w:tcBorders>
            <w:noWrap/>
            <w:vAlign w:val="center"/>
          </w:tcPr>
          <w:p w14:paraId="17048B2D" w14:textId="77777777" w:rsidR="00FD6F91" w:rsidRPr="00847FAE" w:rsidRDefault="00FD6F91" w:rsidP="00FD6F91">
            <w:pPr>
              <w:jc w:val="center"/>
              <w:rPr>
                <w:rFonts w:cs="Calibri"/>
                <w:color w:val="000000"/>
                <w:sz w:val="18"/>
                <w:szCs w:val="18"/>
              </w:rPr>
            </w:pPr>
            <w:r w:rsidRPr="00847FAE">
              <w:rPr>
                <w:rFonts w:cs="Calibri"/>
                <w:color w:val="000000"/>
                <w:sz w:val="18"/>
                <w:szCs w:val="18"/>
              </w:rPr>
              <w:t>593</w:t>
            </w:r>
          </w:p>
        </w:tc>
        <w:tc>
          <w:tcPr>
            <w:tcW w:w="1417" w:type="dxa"/>
            <w:tcBorders>
              <w:top w:val="single" w:sz="4" w:space="0" w:color="auto"/>
              <w:left w:val="nil"/>
              <w:bottom w:val="single" w:sz="4" w:space="0" w:color="auto"/>
              <w:right w:val="nil"/>
            </w:tcBorders>
            <w:noWrap/>
            <w:vAlign w:val="center"/>
          </w:tcPr>
          <w:p w14:paraId="245BF6AB" w14:textId="77777777" w:rsidR="00FD6F91" w:rsidRPr="00847FAE" w:rsidRDefault="00FD6F91" w:rsidP="00FD6F91">
            <w:pPr>
              <w:jc w:val="center"/>
              <w:rPr>
                <w:rFonts w:cs="Calibri"/>
                <w:color w:val="000000"/>
                <w:sz w:val="18"/>
                <w:szCs w:val="18"/>
              </w:rPr>
            </w:pPr>
            <w:r w:rsidRPr="00847FAE">
              <w:rPr>
                <w:rFonts w:cs="Calibri"/>
                <w:color w:val="000000"/>
                <w:sz w:val="18"/>
                <w:szCs w:val="18"/>
              </w:rPr>
              <w:t>17.6%</w:t>
            </w:r>
          </w:p>
        </w:tc>
      </w:tr>
      <w:tr w:rsidR="00FD6F91" w:rsidRPr="00847FAE" w14:paraId="4347379D" w14:textId="77777777" w:rsidTr="001F1F60">
        <w:trPr>
          <w:cantSplit/>
          <w:trHeight w:val="255"/>
        </w:trPr>
        <w:tc>
          <w:tcPr>
            <w:tcW w:w="6946" w:type="dxa"/>
            <w:gridSpan w:val="6"/>
            <w:tcBorders>
              <w:top w:val="single" w:sz="4" w:space="0" w:color="auto"/>
              <w:left w:val="nil"/>
              <w:bottom w:val="nil"/>
              <w:right w:val="nil"/>
            </w:tcBorders>
            <w:noWrap/>
          </w:tcPr>
          <w:p w14:paraId="4CED1534" w14:textId="77777777" w:rsidR="0096420A" w:rsidRPr="0096420A" w:rsidRDefault="0096420A" w:rsidP="0096420A">
            <w:pPr>
              <w:keepNext/>
              <w:widowControl w:val="0"/>
              <w:rPr>
                <w:rFonts w:cs="Calibri"/>
                <w:color w:val="000000"/>
                <w:sz w:val="15"/>
                <w:szCs w:val="15"/>
              </w:rPr>
            </w:pPr>
            <w:r w:rsidRPr="0096420A">
              <w:rPr>
                <w:rFonts w:cs="Calibri"/>
                <w:iCs/>
                <w:color w:val="000000"/>
                <w:sz w:val="15"/>
                <w:szCs w:val="15"/>
                <w:vertAlign w:val="superscript"/>
              </w:rPr>
              <w:t>1 ‘</w:t>
            </w:r>
            <w:r w:rsidRPr="0096420A">
              <w:rPr>
                <w:rFonts w:cs="Calibri"/>
                <w:color w:val="000000"/>
                <w:sz w:val="15"/>
                <w:szCs w:val="15"/>
              </w:rPr>
              <w:t xml:space="preserve">Other costs’ include special penalties, analysis fees, and other party costs.  </w:t>
            </w:r>
          </w:p>
          <w:p w14:paraId="28B1AD04" w14:textId="4164B70F" w:rsidR="00FD6F91" w:rsidRPr="00847FAE" w:rsidRDefault="00FD6F91" w:rsidP="00FD6F91">
            <w:pPr>
              <w:keepNext/>
              <w:widowControl w:val="0"/>
              <w:rPr>
                <w:rFonts w:cs="Calibri"/>
                <w:iCs/>
                <w:color w:val="000000"/>
                <w:sz w:val="18"/>
                <w:szCs w:val="18"/>
              </w:rPr>
            </w:pPr>
            <w:r w:rsidRPr="00847FAE">
              <w:rPr>
                <w:rFonts w:cs="Calibri"/>
                <w:i/>
                <w:color w:val="000000"/>
                <w:sz w:val="15"/>
                <w:szCs w:val="15"/>
              </w:rPr>
              <w:t>Source: CRIMESStats database; Civil Registry Management System (CRMS), FinanceOne.</w:t>
            </w:r>
          </w:p>
        </w:tc>
      </w:tr>
    </w:tbl>
    <w:p w14:paraId="4592AFAD" w14:textId="77777777" w:rsidR="00FD6F91" w:rsidRPr="00847FAE" w:rsidRDefault="00FD6F91" w:rsidP="00FD6F91">
      <w:pPr>
        <w:spacing w:line="259" w:lineRule="auto"/>
        <w:rPr>
          <w:rFonts w:eastAsiaTheme="majorEastAsia" w:cstheme="majorBidi"/>
          <w:sz w:val="28"/>
          <w:szCs w:val="32"/>
          <w:lang w:eastAsia="en-US"/>
        </w:rPr>
      </w:pPr>
      <w:r w:rsidRPr="00847FAE">
        <w:rPr>
          <w:rFonts w:eastAsiaTheme="minorHAnsi"/>
          <w:lang w:eastAsia="en-US"/>
        </w:rPr>
        <w:br w:type="page"/>
      </w:r>
    </w:p>
    <w:p w14:paraId="276A67DA" w14:textId="7770A910" w:rsidR="00FD6F91" w:rsidRPr="00847FAE" w:rsidRDefault="00FD6F91" w:rsidP="00FD6F91">
      <w:pPr>
        <w:widowControl w:val="0"/>
        <w:spacing w:before="240"/>
        <w:outlineLvl w:val="0"/>
        <w:rPr>
          <w:rFonts w:eastAsiaTheme="majorEastAsia" w:cstheme="majorBidi"/>
          <w:sz w:val="28"/>
          <w:szCs w:val="32"/>
          <w:lang w:eastAsia="en-US"/>
        </w:rPr>
      </w:pPr>
      <w:bookmarkStart w:id="373" w:name="_Toc529272651"/>
      <w:bookmarkStart w:id="374" w:name="_Toc1041182"/>
      <w:r w:rsidRPr="00847FAE">
        <w:rPr>
          <w:rFonts w:eastAsiaTheme="majorEastAsia" w:cstheme="majorBidi"/>
          <w:sz w:val="28"/>
          <w:szCs w:val="32"/>
          <w:lang w:eastAsia="en-US"/>
        </w:rPr>
        <w:lastRenderedPageBreak/>
        <w:t>2. Court Statistics</w:t>
      </w:r>
      <w:bookmarkEnd w:id="373"/>
      <w:bookmarkEnd w:id="374"/>
      <w:r w:rsidRPr="00847FAE">
        <w:rPr>
          <w:rFonts w:eastAsiaTheme="majorEastAsia" w:cstheme="majorBidi"/>
          <w:sz w:val="28"/>
          <w:szCs w:val="32"/>
          <w:lang w:eastAsia="en-US"/>
        </w:rPr>
        <w:t xml:space="preserve"> </w:t>
      </w:r>
    </w:p>
    <w:p w14:paraId="381ECE2B" w14:textId="77777777" w:rsidR="00FD6F91" w:rsidRPr="00847FAE" w:rsidRDefault="00FD6F91" w:rsidP="00FD6F91">
      <w:pPr>
        <w:rPr>
          <w:rFonts w:eastAsiaTheme="minorHAnsi"/>
          <w:lang w:eastAsia="en-US"/>
        </w:rPr>
      </w:pPr>
    </w:p>
    <w:p w14:paraId="10D81566" w14:textId="44A8F87A" w:rsidR="00FD6F91" w:rsidRPr="00847FAE" w:rsidRDefault="00FD6F91" w:rsidP="007175D2">
      <w:pPr>
        <w:keepNext/>
        <w:keepLines/>
        <w:spacing w:before="40"/>
        <w:outlineLvl w:val="1"/>
        <w:rPr>
          <w:rFonts w:eastAsiaTheme="majorEastAsia" w:cstheme="majorBidi"/>
          <w:lang w:eastAsia="en-US"/>
        </w:rPr>
      </w:pPr>
      <w:bookmarkStart w:id="375" w:name="_Toc1041183"/>
      <w:r w:rsidRPr="00847FAE">
        <w:rPr>
          <w:rFonts w:eastAsiaTheme="majorEastAsia" w:cstheme="majorBidi"/>
          <w:lang w:eastAsia="en-US"/>
        </w:rPr>
        <w:t>Table 5: Summary Statistics by Court Level, 2013-14 to 2017-18.</w:t>
      </w:r>
      <w:bookmarkEnd w:id="375"/>
      <w:r w:rsidRPr="00847FAE">
        <w:rPr>
          <w:rFonts w:eastAsiaTheme="majorEastAsia" w:cstheme="majorBidi"/>
          <w:lang w:eastAsia="en-US"/>
        </w:rPr>
        <w:t xml:space="preserve"> </w:t>
      </w:r>
    </w:p>
    <w:tbl>
      <w:tblPr>
        <w:tblStyle w:val="TableGrid1"/>
        <w:tblW w:w="8931" w:type="dxa"/>
        <w:tblLayout w:type="fixed"/>
        <w:tblCellMar>
          <w:top w:w="11" w:type="dxa"/>
          <w:bottom w:w="11" w:type="dxa"/>
        </w:tblCellMar>
        <w:tblLook w:val="04A0" w:firstRow="1" w:lastRow="0" w:firstColumn="1" w:lastColumn="0" w:noHBand="0" w:noVBand="1"/>
        <w:tblCaption w:val="Table5SummaryStatisticsbyCourtLevel2013_2014to2017_2018"/>
        <w:tblDescription w:val="Tabledescribingthesummaryofstatisticsbycourtlevelfrom2013_2014to2017_2018"/>
      </w:tblPr>
      <w:tblGrid>
        <w:gridCol w:w="3402"/>
        <w:gridCol w:w="879"/>
        <w:gridCol w:w="879"/>
        <w:gridCol w:w="879"/>
        <w:gridCol w:w="879"/>
        <w:gridCol w:w="879"/>
        <w:gridCol w:w="1134"/>
      </w:tblGrid>
      <w:tr w:rsidR="00FD6F91" w:rsidRPr="00847FAE" w14:paraId="7BCCDA42" w14:textId="77777777" w:rsidTr="007175D2">
        <w:trPr>
          <w:cantSplit/>
          <w:trHeight w:val="405"/>
          <w:tblHeader/>
        </w:trPr>
        <w:tc>
          <w:tcPr>
            <w:tcW w:w="3402" w:type="dxa"/>
            <w:tcBorders>
              <w:top w:val="single" w:sz="4" w:space="0" w:color="auto"/>
              <w:left w:val="nil"/>
              <w:bottom w:val="single" w:sz="4" w:space="0" w:color="auto"/>
              <w:right w:val="nil"/>
            </w:tcBorders>
            <w:noWrap/>
          </w:tcPr>
          <w:p w14:paraId="4CB9B25C" w14:textId="77777777" w:rsidR="00FD6F91" w:rsidRPr="00847FAE" w:rsidRDefault="00FD6F91" w:rsidP="00FD6F91">
            <w:pPr>
              <w:widowControl w:val="0"/>
              <w:rPr>
                <w:rFonts w:cs="Calibri"/>
                <w:color w:val="000000"/>
                <w:sz w:val="18"/>
                <w:szCs w:val="18"/>
              </w:rPr>
            </w:pPr>
          </w:p>
        </w:tc>
        <w:tc>
          <w:tcPr>
            <w:tcW w:w="879" w:type="dxa"/>
            <w:tcBorders>
              <w:top w:val="single" w:sz="4" w:space="0" w:color="auto"/>
              <w:left w:val="nil"/>
              <w:bottom w:val="single" w:sz="4" w:space="0" w:color="auto"/>
              <w:right w:val="nil"/>
            </w:tcBorders>
            <w:noWrap/>
            <w:vAlign w:val="bottom"/>
            <w:hideMark/>
          </w:tcPr>
          <w:p w14:paraId="0AFC5821" w14:textId="77777777" w:rsidR="00FD6F91" w:rsidRPr="00847FAE" w:rsidRDefault="00FD6F91" w:rsidP="00FD6F91">
            <w:pPr>
              <w:widowControl w:val="0"/>
              <w:rPr>
                <w:rFonts w:cs="Calibri"/>
                <w:bCs/>
                <w:color w:val="000000"/>
                <w:sz w:val="18"/>
                <w:szCs w:val="18"/>
                <w:vertAlign w:val="superscript"/>
              </w:rPr>
            </w:pPr>
            <w:r w:rsidRPr="00847FAE">
              <w:rPr>
                <w:rFonts w:cs="Calibri"/>
                <w:bCs/>
                <w:color w:val="000000"/>
                <w:sz w:val="18"/>
                <w:szCs w:val="18"/>
              </w:rPr>
              <w:t>2013-14</w:t>
            </w:r>
          </w:p>
        </w:tc>
        <w:tc>
          <w:tcPr>
            <w:tcW w:w="879" w:type="dxa"/>
            <w:tcBorders>
              <w:top w:val="single" w:sz="4" w:space="0" w:color="auto"/>
              <w:left w:val="nil"/>
              <w:bottom w:val="single" w:sz="4" w:space="0" w:color="auto"/>
              <w:right w:val="nil"/>
            </w:tcBorders>
            <w:noWrap/>
            <w:vAlign w:val="bottom"/>
            <w:hideMark/>
          </w:tcPr>
          <w:p w14:paraId="0DCDA243"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2014-15</w:t>
            </w:r>
          </w:p>
        </w:tc>
        <w:tc>
          <w:tcPr>
            <w:tcW w:w="879" w:type="dxa"/>
            <w:tcBorders>
              <w:top w:val="single" w:sz="4" w:space="0" w:color="auto"/>
              <w:left w:val="nil"/>
              <w:bottom w:val="single" w:sz="4" w:space="0" w:color="auto"/>
              <w:right w:val="nil"/>
            </w:tcBorders>
            <w:noWrap/>
            <w:vAlign w:val="bottom"/>
            <w:hideMark/>
          </w:tcPr>
          <w:p w14:paraId="24D6A7A1"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2015-16</w:t>
            </w:r>
          </w:p>
        </w:tc>
        <w:tc>
          <w:tcPr>
            <w:tcW w:w="879" w:type="dxa"/>
            <w:tcBorders>
              <w:top w:val="single" w:sz="4" w:space="0" w:color="auto"/>
              <w:left w:val="nil"/>
              <w:bottom w:val="single" w:sz="4" w:space="0" w:color="auto"/>
              <w:right w:val="nil"/>
            </w:tcBorders>
            <w:noWrap/>
            <w:vAlign w:val="bottom"/>
            <w:hideMark/>
          </w:tcPr>
          <w:p w14:paraId="59E9834F"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2016-17</w:t>
            </w:r>
          </w:p>
        </w:tc>
        <w:tc>
          <w:tcPr>
            <w:tcW w:w="879" w:type="dxa"/>
            <w:tcBorders>
              <w:top w:val="single" w:sz="4" w:space="0" w:color="auto"/>
              <w:left w:val="nil"/>
              <w:bottom w:val="single" w:sz="4" w:space="0" w:color="auto"/>
              <w:right w:val="nil"/>
            </w:tcBorders>
            <w:noWrap/>
            <w:vAlign w:val="bottom"/>
            <w:hideMark/>
          </w:tcPr>
          <w:p w14:paraId="6E5F53E6"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left w:val="nil"/>
              <w:bottom w:val="single" w:sz="4" w:space="0" w:color="auto"/>
              <w:right w:val="nil"/>
            </w:tcBorders>
            <w:vAlign w:val="bottom"/>
            <w:hideMark/>
          </w:tcPr>
          <w:p w14:paraId="5A229577"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54357ED5" w14:textId="77777777" w:rsidTr="001F1F60">
        <w:trPr>
          <w:cantSplit/>
          <w:trHeight w:val="227"/>
        </w:trPr>
        <w:tc>
          <w:tcPr>
            <w:tcW w:w="3402" w:type="dxa"/>
            <w:tcBorders>
              <w:top w:val="single" w:sz="4" w:space="0" w:color="auto"/>
              <w:left w:val="nil"/>
              <w:bottom w:val="single" w:sz="4" w:space="0" w:color="auto"/>
              <w:right w:val="nil"/>
            </w:tcBorders>
            <w:shd w:val="clear" w:color="auto" w:fill="D9D9D9" w:themeFill="background1" w:themeFillShade="D9"/>
            <w:noWrap/>
            <w:vAlign w:val="center"/>
            <w:hideMark/>
          </w:tcPr>
          <w:p w14:paraId="7CDE029F" w14:textId="77777777" w:rsidR="00FD6F91" w:rsidRPr="00847FAE" w:rsidRDefault="00FD6F91" w:rsidP="00FD6F91">
            <w:pPr>
              <w:widowControl w:val="0"/>
              <w:rPr>
                <w:rFonts w:cs="Calibri"/>
                <w:b/>
                <w:color w:val="FFFFFF" w:themeColor="background1"/>
                <w:sz w:val="18"/>
                <w:szCs w:val="18"/>
              </w:rPr>
            </w:pPr>
            <w:r w:rsidRPr="00847FAE">
              <w:rPr>
                <w:rFonts w:cs="Calibri"/>
                <w:b/>
                <w:iCs/>
                <w:color w:val="FFFFFF" w:themeColor="background1"/>
                <w:sz w:val="18"/>
                <w:szCs w:val="18"/>
              </w:rPr>
              <w:t xml:space="preserve">CRIMINAL </w:t>
            </w:r>
          </w:p>
        </w:tc>
        <w:tc>
          <w:tcPr>
            <w:tcW w:w="879" w:type="dxa"/>
            <w:tcBorders>
              <w:top w:val="single" w:sz="4" w:space="0" w:color="auto"/>
              <w:left w:val="nil"/>
              <w:bottom w:val="single" w:sz="4" w:space="0" w:color="auto"/>
              <w:right w:val="nil"/>
            </w:tcBorders>
            <w:shd w:val="clear" w:color="auto" w:fill="D9D9D9" w:themeFill="background1" w:themeFillShade="D9"/>
            <w:noWrap/>
            <w:vAlign w:val="center"/>
            <w:hideMark/>
          </w:tcPr>
          <w:p w14:paraId="6C177649" w14:textId="77777777" w:rsidR="00FD6F91" w:rsidRPr="00847FAE" w:rsidRDefault="00FD6F91" w:rsidP="00FD6F91">
            <w:pPr>
              <w:widowControl w:val="0"/>
              <w:rPr>
                <w:rFonts w:cs="Calibri"/>
                <w:color w:val="FFFFFF" w:themeColor="background1"/>
                <w:sz w:val="18"/>
                <w:szCs w:val="18"/>
              </w:rPr>
            </w:pPr>
            <w:r w:rsidRPr="00847FAE">
              <w:rPr>
                <w:rFonts w:cs="Calibri"/>
                <w:color w:val="FFFFFF" w:themeColor="background1"/>
                <w:sz w:val="18"/>
                <w:szCs w:val="18"/>
              </w:rPr>
              <w:t> </w:t>
            </w:r>
          </w:p>
        </w:tc>
        <w:tc>
          <w:tcPr>
            <w:tcW w:w="879" w:type="dxa"/>
            <w:tcBorders>
              <w:top w:val="single" w:sz="4" w:space="0" w:color="auto"/>
              <w:left w:val="nil"/>
              <w:bottom w:val="single" w:sz="4" w:space="0" w:color="auto"/>
              <w:right w:val="nil"/>
            </w:tcBorders>
            <w:shd w:val="clear" w:color="auto" w:fill="D9D9D9" w:themeFill="background1" w:themeFillShade="D9"/>
            <w:noWrap/>
            <w:vAlign w:val="center"/>
            <w:hideMark/>
          </w:tcPr>
          <w:p w14:paraId="5B21B758" w14:textId="77777777" w:rsidR="00FD6F91" w:rsidRPr="00847FAE" w:rsidRDefault="00FD6F91" w:rsidP="00FD6F91">
            <w:pPr>
              <w:widowControl w:val="0"/>
              <w:rPr>
                <w:rFonts w:cs="Calibri"/>
                <w:color w:val="FFFFFF" w:themeColor="background1"/>
                <w:sz w:val="18"/>
                <w:szCs w:val="18"/>
              </w:rPr>
            </w:pPr>
            <w:r w:rsidRPr="00847FAE">
              <w:rPr>
                <w:rFonts w:cs="Calibri"/>
                <w:color w:val="FFFFFF" w:themeColor="background1"/>
                <w:sz w:val="18"/>
                <w:szCs w:val="18"/>
              </w:rPr>
              <w:t> </w:t>
            </w:r>
          </w:p>
        </w:tc>
        <w:tc>
          <w:tcPr>
            <w:tcW w:w="879" w:type="dxa"/>
            <w:tcBorders>
              <w:top w:val="single" w:sz="4" w:space="0" w:color="auto"/>
              <w:left w:val="nil"/>
              <w:bottom w:val="single" w:sz="4" w:space="0" w:color="auto"/>
              <w:right w:val="nil"/>
            </w:tcBorders>
            <w:shd w:val="clear" w:color="auto" w:fill="D9D9D9" w:themeFill="background1" w:themeFillShade="D9"/>
            <w:noWrap/>
            <w:vAlign w:val="center"/>
            <w:hideMark/>
          </w:tcPr>
          <w:p w14:paraId="3783894E" w14:textId="77777777" w:rsidR="00FD6F91" w:rsidRPr="00847FAE" w:rsidRDefault="00FD6F91" w:rsidP="00FD6F91">
            <w:pPr>
              <w:widowControl w:val="0"/>
              <w:rPr>
                <w:rFonts w:cs="Calibri"/>
                <w:color w:val="FFFFFF" w:themeColor="background1"/>
                <w:sz w:val="18"/>
                <w:szCs w:val="18"/>
              </w:rPr>
            </w:pPr>
            <w:r w:rsidRPr="00847FAE">
              <w:rPr>
                <w:rFonts w:cs="Calibri"/>
                <w:color w:val="FFFFFF" w:themeColor="background1"/>
                <w:sz w:val="18"/>
                <w:szCs w:val="18"/>
              </w:rPr>
              <w:t> </w:t>
            </w:r>
          </w:p>
        </w:tc>
        <w:tc>
          <w:tcPr>
            <w:tcW w:w="879" w:type="dxa"/>
            <w:tcBorders>
              <w:top w:val="single" w:sz="4" w:space="0" w:color="auto"/>
              <w:left w:val="nil"/>
              <w:bottom w:val="single" w:sz="4" w:space="0" w:color="auto"/>
              <w:right w:val="nil"/>
            </w:tcBorders>
            <w:shd w:val="clear" w:color="auto" w:fill="D9D9D9" w:themeFill="background1" w:themeFillShade="D9"/>
            <w:noWrap/>
            <w:vAlign w:val="center"/>
            <w:hideMark/>
          </w:tcPr>
          <w:p w14:paraId="4C37431C" w14:textId="77777777" w:rsidR="00FD6F91" w:rsidRPr="00847FAE" w:rsidRDefault="00FD6F91" w:rsidP="00FD6F91">
            <w:pPr>
              <w:widowControl w:val="0"/>
              <w:rPr>
                <w:rFonts w:cs="Calibri"/>
                <w:color w:val="FFFFFF" w:themeColor="background1"/>
                <w:sz w:val="18"/>
                <w:szCs w:val="18"/>
              </w:rPr>
            </w:pPr>
            <w:r w:rsidRPr="00847FAE">
              <w:rPr>
                <w:rFonts w:cs="Calibri"/>
                <w:color w:val="FFFFFF" w:themeColor="background1"/>
                <w:sz w:val="18"/>
                <w:szCs w:val="18"/>
              </w:rPr>
              <w:t> </w:t>
            </w:r>
          </w:p>
        </w:tc>
        <w:tc>
          <w:tcPr>
            <w:tcW w:w="879" w:type="dxa"/>
            <w:tcBorders>
              <w:top w:val="single" w:sz="4" w:space="0" w:color="auto"/>
              <w:left w:val="nil"/>
              <w:bottom w:val="single" w:sz="4" w:space="0" w:color="auto"/>
              <w:right w:val="nil"/>
            </w:tcBorders>
            <w:shd w:val="clear" w:color="auto" w:fill="D9D9D9" w:themeFill="background1" w:themeFillShade="D9"/>
            <w:noWrap/>
            <w:vAlign w:val="center"/>
            <w:hideMark/>
          </w:tcPr>
          <w:p w14:paraId="7F1677D6" w14:textId="77777777" w:rsidR="00FD6F91" w:rsidRPr="00847FAE" w:rsidRDefault="00FD6F91" w:rsidP="00FD6F91">
            <w:pPr>
              <w:widowControl w:val="0"/>
              <w:rPr>
                <w:rFonts w:cs="Calibri"/>
                <w:color w:val="FFFFFF" w:themeColor="background1"/>
                <w:sz w:val="18"/>
                <w:szCs w:val="18"/>
              </w:rPr>
            </w:pPr>
            <w:r w:rsidRPr="00847FAE">
              <w:rPr>
                <w:rFonts w:cs="Calibri"/>
                <w:color w:val="FFFFFF" w:themeColor="background1"/>
                <w:sz w:val="18"/>
                <w:szCs w:val="18"/>
              </w:rPr>
              <w:t> </w:t>
            </w:r>
          </w:p>
        </w:tc>
        <w:tc>
          <w:tcPr>
            <w:tcW w:w="1134" w:type="dxa"/>
            <w:tcBorders>
              <w:top w:val="single" w:sz="4" w:space="0" w:color="auto"/>
              <w:left w:val="nil"/>
              <w:bottom w:val="single" w:sz="4" w:space="0" w:color="auto"/>
              <w:right w:val="nil"/>
            </w:tcBorders>
            <w:shd w:val="clear" w:color="auto" w:fill="D9D9D9" w:themeFill="background1" w:themeFillShade="D9"/>
            <w:noWrap/>
            <w:vAlign w:val="center"/>
            <w:hideMark/>
          </w:tcPr>
          <w:p w14:paraId="1C0057D0" w14:textId="77777777" w:rsidR="00FD6F91" w:rsidRPr="00847FAE" w:rsidRDefault="00FD6F91" w:rsidP="00FD6F91">
            <w:pPr>
              <w:widowControl w:val="0"/>
              <w:rPr>
                <w:rFonts w:cs="Calibri"/>
                <w:color w:val="FFFFFF" w:themeColor="background1"/>
                <w:sz w:val="18"/>
                <w:szCs w:val="18"/>
              </w:rPr>
            </w:pPr>
            <w:r w:rsidRPr="00847FAE">
              <w:rPr>
                <w:rFonts w:cs="Calibri"/>
                <w:color w:val="FFFFFF" w:themeColor="background1"/>
                <w:sz w:val="18"/>
                <w:szCs w:val="18"/>
              </w:rPr>
              <w:t> </w:t>
            </w:r>
          </w:p>
        </w:tc>
      </w:tr>
      <w:tr w:rsidR="00FD6F91" w:rsidRPr="00847FAE" w14:paraId="3D5867C6" w14:textId="77777777" w:rsidTr="001F1F60">
        <w:trPr>
          <w:cantSplit/>
          <w:trHeight w:val="20"/>
        </w:trPr>
        <w:tc>
          <w:tcPr>
            <w:tcW w:w="3402" w:type="dxa"/>
            <w:tcBorders>
              <w:top w:val="single" w:sz="4" w:space="0" w:color="auto"/>
              <w:left w:val="nil"/>
              <w:bottom w:val="single" w:sz="4" w:space="0" w:color="auto"/>
              <w:right w:val="nil"/>
            </w:tcBorders>
            <w:noWrap/>
          </w:tcPr>
          <w:p w14:paraId="234F9B08"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CRIMINAL MAGISTRATES COURT</w:t>
            </w:r>
          </w:p>
        </w:tc>
        <w:tc>
          <w:tcPr>
            <w:tcW w:w="879" w:type="dxa"/>
            <w:tcBorders>
              <w:top w:val="single" w:sz="4" w:space="0" w:color="auto"/>
              <w:left w:val="nil"/>
              <w:bottom w:val="single" w:sz="4" w:space="0" w:color="auto"/>
              <w:right w:val="nil"/>
            </w:tcBorders>
            <w:noWrap/>
            <w:vAlign w:val="center"/>
          </w:tcPr>
          <w:p w14:paraId="3FFB39BA"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single" w:sz="4" w:space="0" w:color="auto"/>
              <w:right w:val="nil"/>
            </w:tcBorders>
            <w:noWrap/>
            <w:vAlign w:val="center"/>
          </w:tcPr>
          <w:p w14:paraId="23E27AC6"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single" w:sz="4" w:space="0" w:color="auto"/>
              <w:right w:val="nil"/>
            </w:tcBorders>
            <w:noWrap/>
            <w:vAlign w:val="center"/>
          </w:tcPr>
          <w:p w14:paraId="428CCE7A"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single" w:sz="4" w:space="0" w:color="auto"/>
              <w:right w:val="nil"/>
            </w:tcBorders>
            <w:noWrap/>
            <w:vAlign w:val="center"/>
          </w:tcPr>
          <w:p w14:paraId="2EDA0247"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single" w:sz="4" w:space="0" w:color="auto"/>
              <w:right w:val="nil"/>
            </w:tcBorders>
            <w:noWrap/>
            <w:vAlign w:val="center"/>
          </w:tcPr>
          <w:p w14:paraId="7C961D1B" w14:textId="77777777" w:rsidR="00FD6F91" w:rsidRPr="00847FAE" w:rsidRDefault="00FD6F91" w:rsidP="00FD6F91">
            <w:pPr>
              <w:jc w:val="right"/>
              <w:rPr>
                <w:rFonts w:cs="Calibri"/>
                <w:iCs/>
                <w:color w:val="000000"/>
                <w:sz w:val="18"/>
                <w:szCs w:val="18"/>
              </w:rPr>
            </w:pPr>
          </w:p>
        </w:tc>
        <w:tc>
          <w:tcPr>
            <w:tcW w:w="1134" w:type="dxa"/>
            <w:tcBorders>
              <w:top w:val="single" w:sz="4" w:space="0" w:color="auto"/>
              <w:left w:val="nil"/>
              <w:bottom w:val="single" w:sz="4" w:space="0" w:color="auto"/>
              <w:right w:val="nil"/>
            </w:tcBorders>
            <w:noWrap/>
            <w:vAlign w:val="center"/>
          </w:tcPr>
          <w:p w14:paraId="25E7814F" w14:textId="77777777" w:rsidR="00FD6F91" w:rsidRPr="00847FAE" w:rsidRDefault="00FD6F91" w:rsidP="00FD6F91">
            <w:pPr>
              <w:jc w:val="center"/>
              <w:rPr>
                <w:rFonts w:cs="Calibri"/>
                <w:iCs/>
                <w:color w:val="000000"/>
                <w:sz w:val="18"/>
                <w:szCs w:val="18"/>
              </w:rPr>
            </w:pPr>
          </w:p>
        </w:tc>
      </w:tr>
      <w:tr w:rsidR="00FD6F91" w:rsidRPr="00847FAE" w14:paraId="2E3DCE1C" w14:textId="77777777" w:rsidTr="001F1F60">
        <w:trPr>
          <w:cantSplit/>
          <w:trHeight w:val="255"/>
        </w:trPr>
        <w:tc>
          <w:tcPr>
            <w:tcW w:w="3402" w:type="dxa"/>
            <w:tcBorders>
              <w:top w:val="single" w:sz="4" w:space="0" w:color="auto"/>
              <w:left w:val="nil"/>
              <w:bottom w:val="nil"/>
              <w:right w:val="nil"/>
            </w:tcBorders>
            <w:noWrap/>
            <w:hideMark/>
          </w:tcPr>
          <w:p w14:paraId="0391F9FD" w14:textId="77777777" w:rsidR="00FD6F91" w:rsidRPr="00847FAE" w:rsidRDefault="00FD6F91" w:rsidP="00FD6F91">
            <w:pPr>
              <w:widowControl w:val="0"/>
              <w:rPr>
                <w:rFonts w:cs="Calibri"/>
                <w:b/>
                <w:color w:val="000000"/>
                <w:sz w:val="18"/>
                <w:szCs w:val="18"/>
              </w:rPr>
            </w:pPr>
            <w:r w:rsidRPr="00847FAE">
              <w:rPr>
                <w:rFonts w:cs="Calibri"/>
                <w:b/>
                <w:iCs/>
                <w:color w:val="000000"/>
                <w:sz w:val="18"/>
                <w:szCs w:val="18"/>
              </w:rPr>
              <w:t>Lodgements</w:t>
            </w:r>
          </w:p>
        </w:tc>
        <w:tc>
          <w:tcPr>
            <w:tcW w:w="879" w:type="dxa"/>
            <w:tcBorders>
              <w:top w:val="single" w:sz="4" w:space="0" w:color="auto"/>
              <w:left w:val="nil"/>
              <w:bottom w:val="nil"/>
              <w:right w:val="nil"/>
            </w:tcBorders>
            <w:noWrap/>
            <w:vAlign w:val="center"/>
          </w:tcPr>
          <w:p w14:paraId="12301756"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nil"/>
              <w:right w:val="nil"/>
            </w:tcBorders>
            <w:noWrap/>
            <w:vAlign w:val="center"/>
          </w:tcPr>
          <w:p w14:paraId="59FBE91A"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nil"/>
              <w:right w:val="nil"/>
            </w:tcBorders>
            <w:noWrap/>
            <w:vAlign w:val="center"/>
          </w:tcPr>
          <w:p w14:paraId="302A6064"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nil"/>
              <w:right w:val="nil"/>
            </w:tcBorders>
            <w:noWrap/>
            <w:vAlign w:val="center"/>
          </w:tcPr>
          <w:p w14:paraId="64C09CEA"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nil"/>
              <w:right w:val="nil"/>
            </w:tcBorders>
            <w:noWrap/>
            <w:vAlign w:val="center"/>
          </w:tcPr>
          <w:p w14:paraId="4C50ACE0" w14:textId="77777777" w:rsidR="00FD6F91" w:rsidRPr="00847FAE" w:rsidRDefault="00FD6F91" w:rsidP="00FD6F91">
            <w:pPr>
              <w:jc w:val="right"/>
              <w:rPr>
                <w:rFonts w:cs="Calibri"/>
                <w:iCs/>
                <w:color w:val="000000"/>
                <w:sz w:val="18"/>
                <w:szCs w:val="18"/>
              </w:rPr>
            </w:pPr>
          </w:p>
        </w:tc>
        <w:tc>
          <w:tcPr>
            <w:tcW w:w="1134" w:type="dxa"/>
            <w:tcBorders>
              <w:top w:val="single" w:sz="4" w:space="0" w:color="auto"/>
              <w:left w:val="nil"/>
              <w:bottom w:val="nil"/>
              <w:right w:val="nil"/>
            </w:tcBorders>
            <w:noWrap/>
            <w:vAlign w:val="center"/>
          </w:tcPr>
          <w:p w14:paraId="4E04EE7B" w14:textId="77777777" w:rsidR="00FD6F91" w:rsidRPr="00847FAE" w:rsidRDefault="00FD6F91" w:rsidP="00FD6F91">
            <w:pPr>
              <w:jc w:val="center"/>
              <w:rPr>
                <w:rFonts w:cs="Calibri"/>
                <w:iCs/>
                <w:color w:val="000000"/>
                <w:sz w:val="18"/>
                <w:szCs w:val="18"/>
              </w:rPr>
            </w:pPr>
          </w:p>
        </w:tc>
      </w:tr>
      <w:tr w:rsidR="00FD6F91" w:rsidRPr="00847FAE" w14:paraId="60FDACD9" w14:textId="77777777" w:rsidTr="001F1F60">
        <w:trPr>
          <w:cantSplit/>
          <w:trHeight w:val="255"/>
        </w:trPr>
        <w:tc>
          <w:tcPr>
            <w:tcW w:w="3402" w:type="dxa"/>
            <w:tcBorders>
              <w:top w:val="nil"/>
              <w:left w:val="nil"/>
              <w:bottom w:val="nil"/>
              <w:right w:val="nil"/>
            </w:tcBorders>
            <w:noWrap/>
          </w:tcPr>
          <w:p w14:paraId="1418D174"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Criminal complaints</w:t>
            </w:r>
            <w:r w:rsidRPr="00847FAE">
              <w:rPr>
                <w:rFonts w:cs="Calibri"/>
                <w:iCs/>
                <w:color w:val="000000"/>
                <w:sz w:val="18"/>
                <w:szCs w:val="18"/>
                <w:vertAlign w:val="superscript"/>
              </w:rPr>
              <w:t>1</w:t>
            </w:r>
          </w:p>
        </w:tc>
        <w:tc>
          <w:tcPr>
            <w:tcW w:w="879" w:type="dxa"/>
            <w:tcBorders>
              <w:top w:val="nil"/>
              <w:left w:val="nil"/>
              <w:bottom w:val="nil"/>
              <w:right w:val="nil"/>
            </w:tcBorders>
            <w:noWrap/>
            <w:vAlign w:val="center"/>
          </w:tcPr>
          <w:p w14:paraId="17281B58" w14:textId="77777777" w:rsidR="00FD6F91" w:rsidRPr="00847FAE" w:rsidRDefault="00FD6F91" w:rsidP="00FD6F91">
            <w:pPr>
              <w:jc w:val="center"/>
              <w:rPr>
                <w:rFonts w:cs="Calibri"/>
                <w:color w:val="000000"/>
                <w:sz w:val="18"/>
                <w:szCs w:val="18"/>
              </w:rPr>
            </w:pPr>
            <w:r w:rsidRPr="00847FAE">
              <w:rPr>
                <w:rFonts w:cs="Calibri"/>
                <w:color w:val="000000"/>
                <w:sz w:val="18"/>
                <w:szCs w:val="18"/>
              </w:rPr>
              <w:t>15,640</w:t>
            </w:r>
          </w:p>
        </w:tc>
        <w:tc>
          <w:tcPr>
            <w:tcW w:w="879" w:type="dxa"/>
            <w:tcBorders>
              <w:top w:val="nil"/>
              <w:left w:val="nil"/>
              <w:bottom w:val="nil"/>
              <w:right w:val="nil"/>
            </w:tcBorders>
            <w:noWrap/>
            <w:vAlign w:val="center"/>
          </w:tcPr>
          <w:p w14:paraId="78ADCE64" w14:textId="77777777" w:rsidR="00FD6F91" w:rsidRPr="00847FAE" w:rsidRDefault="00FD6F91" w:rsidP="00FD6F91">
            <w:pPr>
              <w:jc w:val="center"/>
              <w:rPr>
                <w:rFonts w:cs="Calibri"/>
                <w:color w:val="000000"/>
                <w:sz w:val="18"/>
                <w:szCs w:val="18"/>
              </w:rPr>
            </w:pPr>
            <w:r w:rsidRPr="00847FAE">
              <w:rPr>
                <w:rFonts w:cs="Calibri"/>
                <w:color w:val="000000"/>
                <w:sz w:val="18"/>
                <w:szCs w:val="18"/>
              </w:rPr>
              <w:t>17,024</w:t>
            </w:r>
          </w:p>
        </w:tc>
        <w:tc>
          <w:tcPr>
            <w:tcW w:w="879" w:type="dxa"/>
            <w:tcBorders>
              <w:top w:val="nil"/>
              <w:left w:val="nil"/>
              <w:bottom w:val="nil"/>
              <w:right w:val="nil"/>
            </w:tcBorders>
            <w:noWrap/>
            <w:vAlign w:val="center"/>
          </w:tcPr>
          <w:p w14:paraId="3ED3C0D9" w14:textId="77777777" w:rsidR="00FD6F91" w:rsidRPr="00847FAE" w:rsidRDefault="00FD6F91" w:rsidP="00FD6F91">
            <w:pPr>
              <w:jc w:val="center"/>
              <w:rPr>
                <w:rFonts w:cs="Calibri"/>
                <w:color w:val="000000"/>
                <w:sz w:val="18"/>
                <w:szCs w:val="18"/>
              </w:rPr>
            </w:pPr>
            <w:r w:rsidRPr="00847FAE">
              <w:rPr>
                <w:rFonts w:cs="Calibri"/>
                <w:color w:val="000000"/>
                <w:sz w:val="18"/>
                <w:szCs w:val="18"/>
              </w:rPr>
              <w:t>17,664</w:t>
            </w:r>
          </w:p>
        </w:tc>
        <w:tc>
          <w:tcPr>
            <w:tcW w:w="879" w:type="dxa"/>
            <w:tcBorders>
              <w:top w:val="nil"/>
              <w:left w:val="nil"/>
              <w:bottom w:val="nil"/>
              <w:right w:val="nil"/>
            </w:tcBorders>
            <w:noWrap/>
            <w:vAlign w:val="center"/>
          </w:tcPr>
          <w:p w14:paraId="5C9A1BAC" w14:textId="77777777" w:rsidR="00FD6F91" w:rsidRPr="00847FAE" w:rsidRDefault="00FD6F91" w:rsidP="00FD6F91">
            <w:pPr>
              <w:jc w:val="center"/>
              <w:rPr>
                <w:rFonts w:cs="Calibri"/>
                <w:color w:val="000000"/>
                <w:sz w:val="18"/>
                <w:szCs w:val="18"/>
              </w:rPr>
            </w:pPr>
            <w:r w:rsidRPr="00847FAE">
              <w:rPr>
                <w:rFonts w:cs="Calibri"/>
                <w:color w:val="000000"/>
                <w:sz w:val="18"/>
                <w:szCs w:val="18"/>
              </w:rPr>
              <w:t>18,061</w:t>
            </w:r>
          </w:p>
        </w:tc>
        <w:tc>
          <w:tcPr>
            <w:tcW w:w="879" w:type="dxa"/>
            <w:tcBorders>
              <w:top w:val="nil"/>
              <w:left w:val="nil"/>
              <w:bottom w:val="nil"/>
              <w:right w:val="nil"/>
            </w:tcBorders>
            <w:noWrap/>
            <w:vAlign w:val="center"/>
          </w:tcPr>
          <w:p w14:paraId="1F248355" w14:textId="77777777" w:rsidR="00FD6F91" w:rsidRPr="00847FAE" w:rsidRDefault="00FD6F91" w:rsidP="00FD6F91">
            <w:pPr>
              <w:jc w:val="center"/>
              <w:rPr>
                <w:rFonts w:cs="Calibri"/>
                <w:color w:val="000000"/>
                <w:sz w:val="18"/>
                <w:szCs w:val="18"/>
              </w:rPr>
            </w:pPr>
            <w:r w:rsidRPr="00847FAE">
              <w:rPr>
                <w:rFonts w:cs="Calibri"/>
                <w:color w:val="000000"/>
                <w:sz w:val="18"/>
                <w:szCs w:val="18"/>
              </w:rPr>
              <w:t>18,187</w:t>
            </w:r>
          </w:p>
        </w:tc>
        <w:tc>
          <w:tcPr>
            <w:tcW w:w="1134" w:type="dxa"/>
            <w:tcBorders>
              <w:top w:val="nil"/>
              <w:left w:val="nil"/>
              <w:bottom w:val="nil"/>
              <w:right w:val="nil"/>
            </w:tcBorders>
            <w:noWrap/>
            <w:vAlign w:val="center"/>
          </w:tcPr>
          <w:p w14:paraId="56CF124B" w14:textId="77777777" w:rsidR="00FD6F91" w:rsidRPr="00847FAE" w:rsidRDefault="00FD6F91" w:rsidP="00FD6F91">
            <w:pPr>
              <w:jc w:val="center"/>
              <w:rPr>
                <w:rFonts w:cs="Calibri"/>
                <w:color w:val="000000"/>
                <w:sz w:val="18"/>
                <w:szCs w:val="18"/>
              </w:rPr>
            </w:pPr>
            <w:r w:rsidRPr="00847FAE">
              <w:rPr>
                <w:rFonts w:cs="Calibri"/>
                <w:color w:val="000000"/>
                <w:sz w:val="18"/>
                <w:szCs w:val="18"/>
              </w:rPr>
              <w:t>0.7%</w:t>
            </w:r>
          </w:p>
        </w:tc>
      </w:tr>
      <w:tr w:rsidR="00FD6F91" w:rsidRPr="00847FAE" w14:paraId="2083EEB4" w14:textId="77777777" w:rsidTr="001F1F60">
        <w:trPr>
          <w:cantSplit/>
          <w:trHeight w:val="255"/>
        </w:trPr>
        <w:tc>
          <w:tcPr>
            <w:tcW w:w="3402" w:type="dxa"/>
            <w:tcBorders>
              <w:top w:val="nil"/>
              <w:left w:val="nil"/>
              <w:bottom w:val="nil"/>
              <w:right w:val="nil"/>
            </w:tcBorders>
            <w:noWrap/>
            <w:hideMark/>
          </w:tcPr>
          <w:p w14:paraId="7EDCE65B"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Breaches of orders</w:t>
            </w:r>
            <w:r w:rsidRPr="00847FAE">
              <w:rPr>
                <w:rFonts w:cs="Calibri"/>
                <w:iCs/>
                <w:color w:val="000000"/>
                <w:sz w:val="18"/>
                <w:szCs w:val="18"/>
                <w:vertAlign w:val="superscript"/>
              </w:rPr>
              <w:t>2</w:t>
            </w:r>
          </w:p>
        </w:tc>
        <w:tc>
          <w:tcPr>
            <w:tcW w:w="879" w:type="dxa"/>
            <w:tcBorders>
              <w:top w:val="nil"/>
              <w:left w:val="nil"/>
              <w:bottom w:val="nil"/>
              <w:right w:val="nil"/>
            </w:tcBorders>
            <w:noWrap/>
            <w:vAlign w:val="center"/>
          </w:tcPr>
          <w:p w14:paraId="7B7E35FA" w14:textId="77777777" w:rsidR="00FD6F91" w:rsidRPr="00847FAE" w:rsidRDefault="00FD6F91" w:rsidP="00FD6F91">
            <w:pPr>
              <w:jc w:val="center"/>
              <w:rPr>
                <w:rFonts w:cs="Calibri"/>
                <w:color w:val="000000"/>
                <w:sz w:val="18"/>
                <w:szCs w:val="18"/>
              </w:rPr>
            </w:pPr>
            <w:r w:rsidRPr="00847FAE">
              <w:rPr>
                <w:rFonts w:cs="Calibri"/>
                <w:color w:val="000000"/>
                <w:sz w:val="18"/>
                <w:szCs w:val="18"/>
              </w:rPr>
              <w:t>3,307</w:t>
            </w:r>
          </w:p>
        </w:tc>
        <w:tc>
          <w:tcPr>
            <w:tcW w:w="879" w:type="dxa"/>
            <w:tcBorders>
              <w:top w:val="nil"/>
              <w:left w:val="nil"/>
              <w:bottom w:val="nil"/>
              <w:right w:val="nil"/>
            </w:tcBorders>
            <w:noWrap/>
            <w:vAlign w:val="center"/>
          </w:tcPr>
          <w:p w14:paraId="33E9C104" w14:textId="77777777" w:rsidR="00FD6F91" w:rsidRPr="00847FAE" w:rsidRDefault="00FD6F91" w:rsidP="00FD6F91">
            <w:pPr>
              <w:jc w:val="center"/>
              <w:rPr>
                <w:rFonts w:cs="Calibri"/>
                <w:color w:val="000000"/>
                <w:sz w:val="18"/>
                <w:szCs w:val="18"/>
              </w:rPr>
            </w:pPr>
            <w:r w:rsidRPr="00847FAE">
              <w:rPr>
                <w:rFonts w:cs="Calibri"/>
                <w:color w:val="000000"/>
                <w:sz w:val="18"/>
                <w:szCs w:val="18"/>
              </w:rPr>
              <w:t>3,728</w:t>
            </w:r>
          </w:p>
        </w:tc>
        <w:tc>
          <w:tcPr>
            <w:tcW w:w="879" w:type="dxa"/>
            <w:tcBorders>
              <w:top w:val="nil"/>
              <w:left w:val="nil"/>
              <w:bottom w:val="nil"/>
              <w:right w:val="nil"/>
            </w:tcBorders>
            <w:noWrap/>
            <w:vAlign w:val="center"/>
          </w:tcPr>
          <w:p w14:paraId="299E8069" w14:textId="77777777" w:rsidR="00FD6F91" w:rsidRPr="00847FAE" w:rsidRDefault="00FD6F91" w:rsidP="00FD6F91">
            <w:pPr>
              <w:jc w:val="center"/>
              <w:rPr>
                <w:rFonts w:cs="Calibri"/>
                <w:color w:val="000000"/>
                <w:sz w:val="18"/>
                <w:szCs w:val="18"/>
              </w:rPr>
            </w:pPr>
            <w:r w:rsidRPr="00847FAE">
              <w:rPr>
                <w:rFonts w:cs="Calibri"/>
                <w:color w:val="000000"/>
                <w:sz w:val="18"/>
                <w:szCs w:val="18"/>
              </w:rPr>
              <w:t>4,247</w:t>
            </w:r>
          </w:p>
        </w:tc>
        <w:tc>
          <w:tcPr>
            <w:tcW w:w="879" w:type="dxa"/>
            <w:tcBorders>
              <w:top w:val="nil"/>
              <w:left w:val="nil"/>
              <w:bottom w:val="nil"/>
              <w:right w:val="nil"/>
            </w:tcBorders>
            <w:noWrap/>
            <w:vAlign w:val="center"/>
          </w:tcPr>
          <w:p w14:paraId="40B0FA56" w14:textId="77777777" w:rsidR="00FD6F91" w:rsidRPr="00847FAE" w:rsidRDefault="00FD6F91" w:rsidP="00FD6F91">
            <w:pPr>
              <w:jc w:val="center"/>
              <w:rPr>
                <w:rFonts w:cs="Calibri"/>
                <w:color w:val="000000"/>
                <w:sz w:val="18"/>
                <w:szCs w:val="18"/>
              </w:rPr>
            </w:pPr>
            <w:r w:rsidRPr="00847FAE">
              <w:rPr>
                <w:rFonts w:cs="Calibri"/>
                <w:color w:val="000000"/>
                <w:sz w:val="18"/>
                <w:szCs w:val="18"/>
              </w:rPr>
              <w:t>4,466</w:t>
            </w:r>
          </w:p>
        </w:tc>
        <w:tc>
          <w:tcPr>
            <w:tcW w:w="879" w:type="dxa"/>
            <w:tcBorders>
              <w:top w:val="nil"/>
              <w:left w:val="nil"/>
              <w:bottom w:val="nil"/>
              <w:right w:val="nil"/>
            </w:tcBorders>
            <w:noWrap/>
            <w:vAlign w:val="center"/>
          </w:tcPr>
          <w:p w14:paraId="608085F0" w14:textId="77777777" w:rsidR="00FD6F91" w:rsidRPr="00847FAE" w:rsidRDefault="00FD6F91" w:rsidP="00FD6F91">
            <w:pPr>
              <w:jc w:val="center"/>
              <w:rPr>
                <w:rFonts w:cs="Calibri"/>
                <w:color w:val="000000"/>
                <w:sz w:val="18"/>
                <w:szCs w:val="18"/>
              </w:rPr>
            </w:pPr>
            <w:r w:rsidRPr="00847FAE">
              <w:rPr>
                <w:rFonts w:cs="Calibri"/>
                <w:color w:val="000000"/>
                <w:sz w:val="18"/>
                <w:szCs w:val="18"/>
              </w:rPr>
              <w:t>4,847</w:t>
            </w:r>
          </w:p>
        </w:tc>
        <w:tc>
          <w:tcPr>
            <w:tcW w:w="1134" w:type="dxa"/>
            <w:tcBorders>
              <w:top w:val="nil"/>
              <w:left w:val="nil"/>
              <w:bottom w:val="nil"/>
              <w:right w:val="nil"/>
            </w:tcBorders>
            <w:noWrap/>
            <w:vAlign w:val="center"/>
          </w:tcPr>
          <w:p w14:paraId="3D9F3A14" w14:textId="77777777" w:rsidR="00FD6F91" w:rsidRPr="00847FAE" w:rsidRDefault="00FD6F91" w:rsidP="00FD6F91">
            <w:pPr>
              <w:jc w:val="center"/>
              <w:rPr>
                <w:rFonts w:cs="Calibri"/>
                <w:color w:val="000000"/>
                <w:sz w:val="18"/>
                <w:szCs w:val="18"/>
              </w:rPr>
            </w:pPr>
            <w:r w:rsidRPr="00847FAE">
              <w:rPr>
                <w:rFonts w:cs="Calibri"/>
                <w:color w:val="000000"/>
                <w:sz w:val="18"/>
                <w:szCs w:val="18"/>
              </w:rPr>
              <w:t>8.5%</w:t>
            </w:r>
          </w:p>
        </w:tc>
      </w:tr>
      <w:tr w:rsidR="00FD6F91" w:rsidRPr="00847FAE" w14:paraId="175CD97B" w14:textId="77777777" w:rsidTr="001F1F60">
        <w:trPr>
          <w:cantSplit/>
          <w:trHeight w:val="255"/>
        </w:trPr>
        <w:tc>
          <w:tcPr>
            <w:tcW w:w="3402" w:type="dxa"/>
            <w:tcBorders>
              <w:top w:val="nil"/>
              <w:left w:val="nil"/>
              <w:bottom w:val="nil"/>
              <w:right w:val="nil"/>
            </w:tcBorders>
            <w:noWrap/>
          </w:tcPr>
          <w:p w14:paraId="00693647" w14:textId="1140E639"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w:t>
            </w:r>
            <w:r w:rsidR="0096420A" w:rsidRPr="00D52BC8">
              <w:rPr>
                <w:rFonts w:eastAsia="Times New Roman" w:cs="Calibri"/>
                <w:iCs/>
                <w:color w:val="000000"/>
                <w:sz w:val="18"/>
                <w:szCs w:val="18"/>
                <w:lang w:eastAsia="en-AU"/>
              </w:rPr>
              <w:t>Applications to grant or vary bail</w:t>
            </w:r>
            <w:r w:rsidR="0096420A">
              <w:rPr>
                <w:rFonts w:eastAsia="Times New Roman" w:cs="Calibri"/>
                <w:iCs/>
                <w:color w:val="000000"/>
                <w:sz w:val="18"/>
                <w:szCs w:val="18"/>
                <w:vertAlign w:val="superscript"/>
                <w:lang w:eastAsia="en-AU"/>
              </w:rPr>
              <w:t>3</w:t>
            </w:r>
          </w:p>
        </w:tc>
        <w:tc>
          <w:tcPr>
            <w:tcW w:w="879" w:type="dxa"/>
            <w:tcBorders>
              <w:top w:val="nil"/>
              <w:left w:val="nil"/>
              <w:bottom w:val="nil"/>
              <w:right w:val="nil"/>
            </w:tcBorders>
            <w:noWrap/>
            <w:vAlign w:val="center"/>
          </w:tcPr>
          <w:p w14:paraId="5F53EED3" w14:textId="77777777" w:rsidR="00FD6F91" w:rsidRPr="00847FAE" w:rsidRDefault="00FD6F91" w:rsidP="00FD6F91">
            <w:pPr>
              <w:jc w:val="center"/>
              <w:rPr>
                <w:rFonts w:cs="Calibri"/>
                <w:color w:val="000000"/>
                <w:sz w:val="18"/>
                <w:szCs w:val="18"/>
              </w:rPr>
            </w:pPr>
            <w:r w:rsidRPr="00847FAE">
              <w:rPr>
                <w:rFonts w:cs="Calibri"/>
                <w:color w:val="000000"/>
                <w:sz w:val="18"/>
                <w:szCs w:val="18"/>
              </w:rPr>
              <w:t>390</w:t>
            </w:r>
          </w:p>
        </w:tc>
        <w:tc>
          <w:tcPr>
            <w:tcW w:w="879" w:type="dxa"/>
            <w:tcBorders>
              <w:top w:val="nil"/>
              <w:left w:val="nil"/>
              <w:bottom w:val="nil"/>
              <w:right w:val="nil"/>
            </w:tcBorders>
            <w:noWrap/>
            <w:vAlign w:val="center"/>
          </w:tcPr>
          <w:p w14:paraId="31FDF4DD" w14:textId="77777777" w:rsidR="00FD6F91" w:rsidRPr="00847FAE" w:rsidRDefault="00FD6F91" w:rsidP="00FD6F91">
            <w:pPr>
              <w:jc w:val="center"/>
              <w:rPr>
                <w:rFonts w:cs="Calibri"/>
                <w:color w:val="000000"/>
                <w:sz w:val="18"/>
                <w:szCs w:val="18"/>
              </w:rPr>
            </w:pPr>
            <w:r w:rsidRPr="00847FAE">
              <w:rPr>
                <w:rFonts w:cs="Calibri"/>
                <w:color w:val="000000"/>
                <w:sz w:val="18"/>
                <w:szCs w:val="18"/>
              </w:rPr>
              <w:t>355</w:t>
            </w:r>
          </w:p>
        </w:tc>
        <w:tc>
          <w:tcPr>
            <w:tcW w:w="879" w:type="dxa"/>
            <w:tcBorders>
              <w:top w:val="nil"/>
              <w:left w:val="nil"/>
              <w:bottom w:val="nil"/>
              <w:right w:val="nil"/>
            </w:tcBorders>
            <w:noWrap/>
            <w:vAlign w:val="center"/>
          </w:tcPr>
          <w:p w14:paraId="76A78CD6" w14:textId="77777777" w:rsidR="00FD6F91" w:rsidRPr="00847FAE" w:rsidRDefault="00FD6F91" w:rsidP="00FD6F91">
            <w:pPr>
              <w:jc w:val="center"/>
              <w:rPr>
                <w:rFonts w:cs="Calibri"/>
                <w:color w:val="000000"/>
                <w:sz w:val="18"/>
                <w:szCs w:val="18"/>
              </w:rPr>
            </w:pPr>
            <w:r w:rsidRPr="00847FAE">
              <w:rPr>
                <w:rFonts w:cs="Calibri"/>
                <w:color w:val="000000"/>
                <w:sz w:val="18"/>
                <w:szCs w:val="18"/>
              </w:rPr>
              <w:t>455</w:t>
            </w:r>
          </w:p>
        </w:tc>
        <w:tc>
          <w:tcPr>
            <w:tcW w:w="879" w:type="dxa"/>
            <w:tcBorders>
              <w:top w:val="nil"/>
              <w:left w:val="nil"/>
              <w:bottom w:val="nil"/>
              <w:right w:val="nil"/>
            </w:tcBorders>
            <w:noWrap/>
            <w:vAlign w:val="center"/>
          </w:tcPr>
          <w:p w14:paraId="14D2E3AF" w14:textId="77777777" w:rsidR="00FD6F91" w:rsidRPr="00847FAE" w:rsidRDefault="00FD6F91" w:rsidP="00FD6F91">
            <w:pPr>
              <w:jc w:val="center"/>
              <w:rPr>
                <w:rFonts w:cs="Calibri"/>
                <w:color w:val="000000"/>
                <w:sz w:val="18"/>
                <w:szCs w:val="18"/>
              </w:rPr>
            </w:pPr>
            <w:r w:rsidRPr="00847FAE">
              <w:rPr>
                <w:rFonts w:cs="Calibri"/>
                <w:color w:val="000000"/>
                <w:sz w:val="18"/>
                <w:szCs w:val="18"/>
              </w:rPr>
              <w:t>436</w:t>
            </w:r>
          </w:p>
        </w:tc>
        <w:tc>
          <w:tcPr>
            <w:tcW w:w="879" w:type="dxa"/>
            <w:tcBorders>
              <w:top w:val="nil"/>
              <w:left w:val="nil"/>
              <w:bottom w:val="nil"/>
              <w:right w:val="nil"/>
            </w:tcBorders>
            <w:noWrap/>
            <w:vAlign w:val="center"/>
          </w:tcPr>
          <w:p w14:paraId="79756073" w14:textId="77777777" w:rsidR="00FD6F91" w:rsidRPr="00847FAE" w:rsidRDefault="00FD6F91" w:rsidP="00FD6F91">
            <w:pPr>
              <w:jc w:val="center"/>
              <w:rPr>
                <w:rFonts w:cs="Calibri"/>
                <w:color w:val="000000"/>
                <w:sz w:val="18"/>
                <w:szCs w:val="18"/>
              </w:rPr>
            </w:pPr>
            <w:r w:rsidRPr="00847FAE">
              <w:rPr>
                <w:rFonts w:cs="Calibri"/>
                <w:color w:val="000000"/>
                <w:sz w:val="18"/>
                <w:szCs w:val="18"/>
              </w:rPr>
              <w:t>458</w:t>
            </w:r>
          </w:p>
        </w:tc>
        <w:tc>
          <w:tcPr>
            <w:tcW w:w="1134" w:type="dxa"/>
            <w:tcBorders>
              <w:top w:val="nil"/>
              <w:left w:val="nil"/>
              <w:bottom w:val="nil"/>
              <w:right w:val="nil"/>
            </w:tcBorders>
            <w:noWrap/>
            <w:vAlign w:val="center"/>
          </w:tcPr>
          <w:p w14:paraId="27021E9B" w14:textId="77777777" w:rsidR="00FD6F91" w:rsidRPr="00847FAE" w:rsidRDefault="00FD6F91" w:rsidP="00FD6F91">
            <w:pPr>
              <w:jc w:val="center"/>
              <w:rPr>
                <w:rFonts w:cs="Calibri"/>
                <w:color w:val="000000"/>
                <w:sz w:val="18"/>
                <w:szCs w:val="18"/>
              </w:rPr>
            </w:pPr>
            <w:r w:rsidRPr="00847FAE">
              <w:rPr>
                <w:rFonts w:cs="Calibri"/>
                <w:color w:val="000000"/>
                <w:sz w:val="18"/>
                <w:szCs w:val="18"/>
              </w:rPr>
              <w:t>5.0%</w:t>
            </w:r>
          </w:p>
        </w:tc>
      </w:tr>
      <w:tr w:rsidR="00FD6F91" w:rsidRPr="00847FAE" w14:paraId="2592C679" w14:textId="77777777" w:rsidTr="001F1F60">
        <w:trPr>
          <w:cantSplit/>
          <w:trHeight w:val="255"/>
        </w:trPr>
        <w:tc>
          <w:tcPr>
            <w:tcW w:w="3402" w:type="dxa"/>
            <w:tcBorders>
              <w:top w:val="nil"/>
              <w:left w:val="nil"/>
              <w:bottom w:val="nil"/>
              <w:right w:val="nil"/>
            </w:tcBorders>
            <w:noWrap/>
          </w:tcPr>
          <w:p w14:paraId="60100DDC" w14:textId="726B824F" w:rsidR="00FD6F91" w:rsidRPr="00847FAE" w:rsidRDefault="0096420A" w:rsidP="00FD6F91">
            <w:pPr>
              <w:widowControl w:val="0"/>
              <w:rPr>
                <w:rFonts w:cs="Calibri"/>
                <w:iCs/>
                <w:color w:val="000000"/>
                <w:sz w:val="18"/>
                <w:szCs w:val="18"/>
              </w:rPr>
            </w:pPr>
            <w:r w:rsidRPr="00D52BC8">
              <w:rPr>
                <w:rFonts w:eastAsia="Times New Roman" w:cs="Calibri"/>
                <w:iCs/>
                <w:color w:val="000000"/>
                <w:sz w:val="18"/>
                <w:szCs w:val="18"/>
                <w:lang w:eastAsia="en-AU"/>
              </w:rPr>
              <w:t xml:space="preserve">   Applications for restricted driver licence</w:t>
            </w:r>
            <w:r>
              <w:rPr>
                <w:rFonts w:eastAsia="Times New Roman" w:cs="Calibri"/>
                <w:iCs/>
                <w:color w:val="000000"/>
                <w:sz w:val="18"/>
                <w:szCs w:val="18"/>
                <w:vertAlign w:val="superscript"/>
                <w:lang w:eastAsia="en-AU"/>
              </w:rPr>
              <w:t>4</w:t>
            </w:r>
          </w:p>
        </w:tc>
        <w:tc>
          <w:tcPr>
            <w:tcW w:w="879" w:type="dxa"/>
            <w:tcBorders>
              <w:top w:val="nil"/>
              <w:left w:val="nil"/>
              <w:bottom w:val="nil"/>
              <w:right w:val="nil"/>
            </w:tcBorders>
            <w:noWrap/>
            <w:vAlign w:val="center"/>
          </w:tcPr>
          <w:p w14:paraId="62F0AA61" w14:textId="77777777" w:rsidR="00FD6F91" w:rsidRPr="00847FAE" w:rsidRDefault="00FD6F91" w:rsidP="00FD6F91">
            <w:pPr>
              <w:jc w:val="center"/>
              <w:rPr>
                <w:rFonts w:cs="Calibri"/>
                <w:color w:val="000000"/>
                <w:sz w:val="18"/>
                <w:szCs w:val="18"/>
              </w:rPr>
            </w:pPr>
            <w:r w:rsidRPr="00847FAE">
              <w:rPr>
                <w:rFonts w:cs="Calibri"/>
                <w:color w:val="000000"/>
                <w:sz w:val="18"/>
                <w:szCs w:val="18"/>
              </w:rPr>
              <w:t>481</w:t>
            </w:r>
          </w:p>
        </w:tc>
        <w:tc>
          <w:tcPr>
            <w:tcW w:w="879" w:type="dxa"/>
            <w:tcBorders>
              <w:top w:val="nil"/>
              <w:left w:val="nil"/>
              <w:bottom w:val="nil"/>
              <w:right w:val="nil"/>
            </w:tcBorders>
            <w:noWrap/>
            <w:vAlign w:val="center"/>
          </w:tcPr>
          <w:p w14:paraId="45C535F0" w14:textId="77777777" w:rsidR="00FD6F91" w:rsidRPr="00847FAE" w:rsidRDefault="00FD6F91" w:rsidP="00FD6F91">
            <w:pPr>
              <w:jc w:val="center"/>
              <w:rPr>
                <w:rFonts w:cs="Calibri"/>
                <w:color w:val="000000"/>
                <w:sz w:val="18"/>
                <w:szCs w:val="18"/>
              </w:rPr>
            </w:pPr>
            <w:r w:rsidRPr="00847FAE">
              <w:rPr>
                <w:rFonts w:cs="Calibri"/>
                <w:color w:val="000000"/>
                <w:sz w:val="18"/>
                <w:szCs w:val="18"/>
              </w:rPr>
              <w:t>604</w:t>
            </w:r>
          </w:p>
        </w:tc>
        <w:tc>
          <w:tcPr>
            <w:tcW w:w="879" w:type="dxa"/>
            <w:tcBorders>
              <w:top w:val="nil"/>
              <w:left w:val="nil"/>
              <w:bottom w:val="nil"/>
              <w:right w:val="nil"/>
            </w:tcBorders>
            <w:noWrap/>
            <w:vAlign w:val="center"/>
          </w:tcPr>
          <w:p w14:paraId="39B304D7" w14:textId="77777777" w:rsidR="00FD6F91" w:rsidRPr="00847FAE" w:rsidRDefault="00FD6F91" w:rsidP="00FD6F91">
            <w:pPr>
              <w:jc w:val="center"/>
              <w:rPr>
                <w:rFonts w:cs="Calibri"/>
                <w:color w:val="000000"/>
                <w:sz w:val="18"/>
                <w:szCs w:val="18"/>
              </w:rPr>
            </w:pPr>
            <w:r w:rsidRPr="00847FAE">
              <w:rPr>
                <w:rFonts w:cs="Calibri"/>
                <w:color w:val="000000"/>
                <w:sz w:val="18"/>
                <w:szCs w:val="18"/>
              </w:rPr>
              <w:t>596</w:t>
            </w:r>
          </w:p>
        </w:tc>
        <w:tc>
          <w:tcPr>
            <w:tcW w:w="879" w:type="dxa"/>
            <w:tcBorders>
              <w:top w:val="nil"/>
              <w:left w:val="nil"/>
              <w:bottom w:val="nil"/>
              <w:right w:val="nil"/>
            </w:tcBorders>
            <w:noWrap/>
            <w:vAlign w:val="center"/>
          </w:tcPr>
          <w:p w14:paraId="23CD7EFA" w14:textId="77777777" w:rsidR="00FD6F91" w:rsidRPr="00847FAE" w:rsidRDefault="00FD6F91" w:rsidP="00FD6F91">
            <w:pPr>
              <w:jc w:val="center"/>
              <w:rPr>
                <w:rFonts w:cs="Calibri"/>
                <w:color w:val="000000"/>
                <w:sz w:val="18"/>
                <w:szCs w:val="18"/>
              </w:rPr>
            </w:pPr>
            <w:r w:rsidRPr="00847FAE">
              <w:rPr>
                <w:rFonts w:cs="Calibri"/>
                <w:color w:val="000000"/>
                <w:sz w:val="18"/>
                <w:szCs w:val="18"/>
              </w:rPr>
              <w:t>588</w:t>
            </w:r>
          </w:p>
        </w:tc>
        <w:tc>
          <w:tcPr>
            <w:tcW w:w="879" w:type="dxa"/>
            <w:tcBorders>
              <w:top w:val="nil"/>
              <w:left w:val="nil"/>
              <w:bottom w:val="nil"/>
              <w:right w:val="nil"/>
            </w:tcBorders>
            <w:noWrap/>
            <w:vAlign w:val="center"/>
          </w:tcPr>
          <w:p w14:paraId="1D8D129E" w14:textId="77777777" w:rsidR="00FD6F91" w:rsidRPr="00847FAE" w:rsidRDefault="00FD6F91" w:rsidP="00FD6F91">
            <w:pPr>
              <w:jc w:val="center"/>
              <w:rPr>
                <w:rFonts w:cs="Calibri"/>
                <w:color w:val="000000"/>
                <w:sz w:val="18"/>
                <w:szCs w:val="18"/>
              </w:rPr>
            </w:pPr>
            <w:r w:rsidRPr="00847FAE">
              <w:rPr>
                <w:rFonts w:cs="Calibri"/>
                <w:color w:val="000000"/>
                <w:sz w:val="18"/>
                <w:szCs w:val="18"/>
              </w:rPr>
              <w:t>532</w:t>
            </w:r>
          </w:p>
        </w:tc>
        <w:tc>
          <w:tcPr>
            <w:tcW w:w="1134" w:type="dxa"/>
            <w:tcBorders>
              <w:top w:val="nil"/>
              <w:left w:val="nil"/>
              <w:bottom w:val="nil"/>
              <w:right w:val="nil"/>
            </w:tcBorders>
            <w:noWrap/>
            <w:vAlign w:val="center"/>
          </w:tcPr>
          <w:p w14:paraId="480FEA0D" w14:textId="77777777" w:rsidR="00FD6F91" w:rsidRPr="00847FAE" w:rsidRDefault="00FD6F91" w:rsidP="00FD6F91">
            <w:pPr>
              <w:jc w:val="center"/>
              <w:rPr>
                <w:rFonts w:cs="Calibri"/>
                <w:color w:val="000000"/>
                <w:sz w:val="18"/>
                <w:szCs w:val="18"/>
              </w:rPr>
            </w:pPr>
            <w:r w:rsidRPr="00847FAE">
              <w:rPr>
                <w:rFonts w:cs="Calibri"/>
                <w:color w:val="000000"/>
                <w:sz w:val="18"/>
                <w:szCs w:val="18"/>
              </w:rPr>
              <w:t>-9.5%</w:t>
            </w:r>
          </w:p>
        </w:tc>
      </w:tr>
      <w:tr w:rsidR="00FD6F91" w:rsidRPr="00847FAE" w14:paraId="66873AD2" w14:textId="77777777" w:rsidTr="001F1F60">
        <w:trPr>
          <w:cantSplit/>
          <w:trHeight w:val="255"/>
        </w:trPr>
        <w:tc>
          <w:tcPr>
            <w:tcW w:w="3402" w:type="dxa"/>
            <w:tcBorders>
              <w:top w:val="nil"/>
              <w:left w:val="nil"/>
              <w:bottom w:val="nil"/>
              <w:right w:val="nil"/>
            </w:tcBorders>
            <w:noWrap/>
          </w:tcPr>
          <w:p w14:paraId="0AD4C9F5" w14:textId="5178163C"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w:t>
            </w:r>
            <w:r w:rsidR="0096420A" w:rsidRPr="00D52BC8">
              <w:rPr>
                <w:rFonts w:cs="Calibri"/>
                <w:iCs/>
                <w:color w:val="000000"/>
                <w:sz w:val="18"/>
                <w:szCs w:val="18"/>
              </w:rPr>
              <w:t>Other applications</w:t>
            </w:r>
            <w:r w:rsidR="0096420A">
              <w:rPr>
                <w:rFonts w:eastAsia="Times New Roman" w:cs="Calibri"/>
                <w:iCs/>
                <w:color w:val="000000"/>
                <w:sz w:val="18"/>
                <w:szCs w:val="18"/>
                <w:vertAlign w:val="superscript"/>
                <w:lang w:eastAsia="en-AU"/>
              </w:rPr>
              <w:t>5</w:t>
            </w:r>
          </w:p>
        </w:tc>
        <w:tc>
          <w:tcPr>
            <w:tcW w:w="879" w:type="dxa"/>
            <w:tcBorders>
              <w:top w:val="nil"/>
              <w:left w:val="nil"/>
              <w:bottom w:val="nil"/>
              <w:right w:val="nil"/>
            </w:tcBorders>
            <w:noWrap/>
            <w:vAlign w:val="center"/>
          </w:tcPr>
          <w:p w14:paraId="20545FBF" w14:textId="77777777" w:rsidR="00FD6F91" w:rsidRPr="00847FAE" w:rsidRDefault="00FD6F91" w:rsidP="00FD6F91">
            <w:pPr>
              <w:jc w:val="center"/>
              <w:rPr>
                <w:rFonts w:cs="Calibri"/>
                <w:color w:val="000000"/>
                <w:sz w:val="18"/>
                <w:szCs w:val="18"/>
              </w:rPr>
            </w:pPr>
            <w:r w:rsidRPr="00847FAE">
              <w:rPr>
                <w:rFonts w:cs="Calibri"/>
                <w:color w:val="000000"/>
                <w:sz w:val="18"/>
                <w:szCs w:val="18"/>
              </w:rPr>
              <w:t>984</w:t>
            </w:r>
          </w:p>
        </w:tc>
        <w:tc>
          <w:tcPr>
            <w:tcW w:w="879" w:type="dxa"/>
            <w:tcBorders>
              <w:top w:val="nil"/>
              <w:left w:val="nil"/>
              <w:bottom w:val="nil"/>
              <w:right w:val="nil"/>
            </w:tcBorders>
            <w:noWrap/>
            <w:vAlign w:val="center"/>
          </w:tcPr>
          <w:p w14:paraId="5FE9EE83" w14:textId="77777777" w:rsidR="00FD6F91" w:rsidRPr="00847FAE" w:rsidRDefault="00FD6F91" w:rsidP="00FD6F91">
            <w:pPr>
              <w:jc w:val="center"/>
              <w:rPr>
                <w:rFonts w:cs="Calibri"/>
                <w:color w:val="000000"/>
                <w:sz w:val="18"/>
                <w:szCs w:val="18"/>
              </w:rPr>
            </w:pPr>
            <w:r w:rsidRPr="00847FAE">
              <w:rPr>
                <w:rFonts w:cs="Calibri"/>
                <w:color w:val="000000"/>
                <w:sz w:val="18"/>
                <w:szCs w:val="18"/>
              </w:rPr>
              <w:t>894</w:t>
            </w:r>
          </w:p>
        </w:tc>
        <w:tc>
          <w:tcPr>
            <w:tcW w:w="879" w:type="dxa"/>
            <w:tcBorders>
              <w:top w:val="nil"/>
              <w:left w:val="nil"/>
              <w:bottom w:val="nil"/>
              <w:right w:val="nil"/>
            </w:tcBorders>
            <w:noWrap/>
            <w:vAlign w:val="center"/>
          </w:tcPr>
          <w:p w14:paraId="2C700669" w14:textId="77777777" w:rsidR="00FD6F91" w:rsidRPr="00847FAE" w:rsidRDefault="00FD6F91" w:rsidP="00FD6F91">
            <w:pPr>
              <w:jc w:val="center"/>
              <w:rPr>
                <w:rFonts w:cs="Calibri"/>
                <w:color w:val="000000"/>
                <w:sz w:val="18"/>
                <w:szCs w:val="18"/>
              </w:rPr>
            </w:pPr>
            <w:r w:rsidRPr="00847FAE">
              <w:rPr>
                <w:rFonts w:cs="Calibri"/>
                <w:color w:val="000000"/>
                <w:sz w:val="18"/>
                <w:szCs w:val="18"/>
              </w:rPr>
              <w:t>970</w:t>
            </w:r>
          </w:p>
        </w:tc>
        <w:tc>
          <w:tcPr>
            <w:tcW w:w="879" w:type="dxa"/>
            <w:tcBorders>
              <w:top w:val="nil"/>
              <w:left w:val="nil"/>
              <w:bottom w:val="nil"/>
              <w:right w:val="nil"/>
            </w:tcBorders>
            <w:noWrap/>
            <w:vAlign w:val="center"/>
          </w:tcPr>
          <w:p w14:paraId="60B2B66B" w14:textId="77777777" w:rsidR="00FD6F91" w:rsidRPr="00847FAE" w:rsidRDefault="00FD6F91" w:rsidP="00FD6F91">
            <w:pPr>
              <w:jc w:val="center"/>
              <w:rPr>
                <w:rFonts w:cs="Calibri"/>
                <w:color w:val="000000"/>
                <w:sz w:val="18"/>
                <w:szCs w:val="18"/>
              </w:rPr>
            </w:pPr>
            <w:r w:rsidRPr="00847FAE">
              <w:rPr>
                <w:rFonts w:cs="Calibri"/>
                <w:color w:val="000000"/>
                <w:sz w:val="18"/>
                <w:szCs w:val="18"/>
              </w:rPr>
              <w:t>906</w:t>
            </w:r>
          </w:p>
        </w:tc>
        <w:tc>
          <w:tcPr>
            <w:tcW w:w="879" w:type="dxa"/>
            <w:tcBorders>
              <w:top w:val="nil"/>
              <w:left w:val="nil"/>
              <w:bottom w:val="nil"/>
              <w:right w:val="nil"/>
            </w:tcBorders>
            <w:noWrap/>
            <w:vAlign w:val="center"/>
          </w:tcPr>
          <w:p w14:paraId="430D23A0" w14:textId="77777777" w:rsidR="00FD6F91" w:rsidRPr="00847FAE" w:rsidRDefault="00FD6F91" w:rsidP="00FD6F91">
            <w:pPr>
              <w:jc w:val="center"/>
              <w:rPr>
                <w:rFonts w:cs="Calibri"/>
                <w:color w:val="000000"/>
                <w:sz w:val="18"/>
                <w:szCs w:val="18"/>
              </w:rPr>
            </w:pPr>
            <w:r w:rsidRPr="00847FAE">
              <w:rPr>
                <w:rFonts w:cs="Calibri"/>
                <w:color w:val="000000"/>
                <w:sz w:val="18"/>
                <w:szCs w:val="18"/>
              </w:rPr>
              <w:t>982</w:t>
            </w:r>
          </w:p>
        </w:tc>
        <w:tc>
          <w:tcPr>
            <w:tcW w:w="1134" w:type="dxa"/>
            <w:tcBorders>
              <w:top w:val="nil"/>
              <w:left w:val="nil"/>
              <w:bottom w:val="nil"/>
              <w:right w:val="nil"/>
            </w:tcBorders>
            <w:noWrap/>
            <w:vAlign w:val="center"/>
          </w:tcPr>
          <w:p w14:paraId="6A1C9B85" w14:textId="77777777" w:rsidR="00FD6F91" w:rsidRPr="00847FAE" w:rsidRDefault="00FD6F91" w:rsidP="00FD6F91">
            <w:pPr>
              <w:jc w:val="center"/>
              <w:rPr>
                <w:rFonts w:cs="Calibri"/>
                <w:color w:val="000000"/>
                <w:sz w:val="18"/>
                <w:szCs w:val="18"/>
              </w:rPr>
            </w:pPr>
            <w:r w:rsidRPr="00847FAE">
              <w:rPr>
                <w:rFonts w:cs="Calibri"/>
                <w:color w:val="000000"/>
                <w:sz w:val="18"/>
                <w:szCs w:val="18"/>
              </w:rPr>
              <w:t>8.4%</w:t>
            </w:r>
          </w:p>
        </w:tc>
      </w:tr>
      <w:tr w:rsidR="00FD6F91" w:rsidRPr="00847FAE" w14:paraId="5E995EFE" w14:textId="77777777" w:rsidTr="001F1F60">
        <w:trPr>
          <w:cantSplit/>
          <w:trHeight w:val="255"/>
        </w:trPr>
        <w:tc>
          <w:tcPr>
            <w:tcW w:w="3402" w:type="dxa"/>
            <w:tcBorders>
              <w:top w:val="nil"/>
              <w:left w:val="nil"/>
              <w:bottom w:val="nil"/>
              <w:right w:val="nil"/>
            </w:tcBorders>
            <w:noWrap/>
          </w:tcPr>
          <w:p w14:paraId="6CE86DA4" w14:textId="77777777" w:rsidR="00FD6F91" w:rsidRPr="00847FAE" w:rsidRDefault="00FD6F91" w:rsidP="00FD6F91">
            <w:pPr>
              <w:widowControl w:val="0"/>
              <w:rPr>
                <w:rFonts w:cs="Calibri"/>
                <w:b/>
                <w:iCs/>
                <w:color w:val="000000"/>
                <w:sz w:val="18"/>
                <w:szCs w:val="18"/>
              </w:rPr>
            </w:pPr>
            <w:r w:rsidRPr="00847FAE">
              <w:rPr>
                <w:rFonts w:cs="Calibri"/>
                <w:b/>
                <w:iCs/>
                <w:color w:val="000000"/>
                <w:sz w:val="18"/>
                <w:szCs w:val="18"/>
              </w:rPr>
              <w:t>Finalisations</w:t>
            </w:r>
          </w:p>
        </w:tc>
        <w:tc>
          <w:tcPr>
            <w:tcW w:w="879" w:type="dxa"/>
            <w:tcBorders>
              <w:top w:val="nil"/>
              <w:left w:val="nil"/>
              <w:bottom w:val="nil"/>
              <w:right w:val="nil"/>
            </w:tcBorders>
            <w:noWrap/>
            <w:vAlign w:val="center"/>
          </w:tcPr>
          <w:p w14:paraId="2BC3273D"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noWrap/>
            <w:vAlign w:val="center"/>
          </w:tcPr>
          <w:p w14:paraId="78C50FF8"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noWrap/>
            <w:vAlign w:val="center"/>
          </w:tcPr>
          <w:p w14:paraId="3B02A1DE"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noWrap/>
            <w:vAlign w:val="center"/>
          </w:tcPr>
          <w:p w14:paraId="6F089664"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noWrap/>
            <w:vAlign w:val="center"/>
          </w:tcPr>
          <w:p w14:paraId="377E64E1" w14:textId="77777777" w:rsidR="00FD6F91" w:rsidRPr="00847FAE" w:rsidRDefault="00FD6F91" w:rsidP="00FD6F91">
            <w:pPr>
              <w:jc w:val="right"/>
              <w:rPr>
                <w:rFonts w:cs="Calibri"/>
                <w:iCs/>
                <w:color w:val="000000"/>
                <w:sz w:val="18"/>
                <w:szCs w:val="18"/>
              </w:rPr>
            </w:pPr>
          </w:p>
        </w:tc>
        <w:tc>
          <w:tcPr>
            <w:tcW w:w="1134" w:type="dxa"/>
            <w:tcBorders>
              <w:top w:val="nil"/>
              <w:left w:val="nil"/>
              <w:bottom w:val="nil"/>
              <w:right w:val="nil"/>
            </w:tcBorders>
            <w:noWrap/>
            <w:vAlign w:val="center"/>
          </w:tcPr>
          <w:p w14:paraId="06F0CA9B" w14:textId="77777777" w:rsidR="00FD6F91" w:rsidRPr="00847FAE" w:rsidRDefault="00FD6F91" w:rsidP="00FD6F91">
            <w:pPr>
              <w:jc w:val="center"/>
              <w:rPr>
                <w:rFonts w:cs="Calibri"/>
                <w:iCs/>
                <w:color w:val="000000"/>
                <w:sz w:val="18"/>
                <w:szCs w:val="18"/>
              </w:rPr>
            </w:pPr>
          </w:p>
        </w:tc>
      </w:tr>
      <w:tr w:rsidR="00FD6F91" w:rsidRPr="00847FAE" w14:paraId="30C53B18" w14:textId="77777777" w:rsidTr="001F1F60">
        <w:trPr>
          <w:cantSplit/>
          <w:trHeight w:val="255"/>
        </w:trPr>
        <w:tc>
          <w:tcPr>
            <w:tcW w:w="3402" w:type="dxa"/>
            <w:tcBorders>
              <w:top w:val="nil"/>
              <w:left w:val="nil"/>
              <w:bottom w:val="nil"/>
              <w:right w:val="nil"/>
            </w:tcBorders>
            <w:noWrap/>
          </w:tcPr>
          <w:p w14:paraId="3CDE2970"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Criminal complaints</w:t>
            </w:r>
            <w:r w:rsidRPr="00847FAE">
              <w:rPr>
                <w:rFonts w:cs="Calibri"/>
                <w:iCs/>
                <w:color w:val="000000"/>
                <w:sz w:val="18"/>
                <w:szCs w:val="18"/>
                <w:vertAlign w:val="superscript"/>
              </w:rPr>
              <w:t>1</w:t>
            </w:r>
          </w:p>
        </w:tc>
        <w:tc>
          <w:tcPr>
            <w:tcW w:w="879" w:type="dxa"/>
            <w:tcBorders>
              <w:top w:val="nil"/>
              <w:left w:val="nil"/>
              <w:bottom w:val="nil"/>
              <w:right w:val="nil"/>
            </w:tcBorders>
            <w:noWrap/>
            <w:vAlign w:val="center"/>
          </w:tcPr>
          <w:p w14:paraId="31E88E7F" w14:textId="77777777" w:rsidR="00FD6F91" w:rsidRPr="00847FAE" w:rsidRDefault="00FD6F91" w:rsidP="00FD6F91">
            <w:pPr>
              <w:jc w:val="center"/>
              <w:rPr>
                <w:rFonts w:cs="Calibri"/>
                <w:color w:val="000000"/>
                <w:sz w:val="18"/>
                <w:szCs w:val="18"/>
              </w:rPr>
            </w:pPr>
            <w:r w:rsidRPr="00847FAE">
              <w:rPr>
                <w:rFonts w:cs="Calibri"/>
                <w:color w:val="000000"/>
                <w:sz w:val="18"/>
                <w:szCs w:val="18"/>
              </w:rPr>
              <w:t>14,505</w:t>
            </w:r>
          </w:p>
        </w:tc>
        <w:tc>
          <w:tcPr>
            <w:tcW w:w="879" w:type="dxa"/>
            <w:tcBorders>
              <w:top w:val="nil"/>
              <w:left w:val="nil"/>
              <w:bottom w:val="nil"/>
              <w:right w:val="nil"/>
            </w:tcBorders>
            <w:noWrap/>
            <w:vAlign w:val="center"/>
          </w:tcPr>
          <w:p w14:paraId="41AF6BB0" w14:textId="77777777" w:rsidR="00FD6F91" w:rsidRPr="00847FAE" w:rsidRDefault="00FD6F91" w:rsidP="00FD6F91">
            <w:pPr>
              <w:jc w:val="center"/>
              <w:rPr>
                <w:rFonts w:cs="Calibri"/>
                <w:color w:val="000000"/>
                <w:sz w:val="18"/>
                <w:szCs w:val="18"/>
              </w:rPr>
            </w:pPr>
            <w:r w:rsidRPr="00847FAE">
              <w:rPr>
                <w:rFonts w:cs="Calibri"/>
                <w:color w:val="000000"/>
                <w:sz w:val="18"/>
                <w:szCs w:val="18"/>
              </w:rPr>
              <w:t>15,390</w:t>
            </w:r>
          </w:p>
        </w:tc>
        <w:tc>
          <w:tcPr>
            <w:tcW w:w="879" w:type="dxa"/>
            <w:tcBorders>
              <w:top w:val="nil"/>
              <w:left w:val="nil"/>
              <w:bottom w:val="nil"/>
              <w:right w:val="nil"/>
            </w:tcBorders>
            <w:noWrap/>
            <w:vAlign w:val="center"/>
          </w:tcPr>
          <w:p w14:paraId="01C318B5" w14:textId="77777777" w:rsidR="00FD6F91" w:rsidRPr="00847FAE" w:rsidRDefault="00FD6F91" w:rsidP="00FD6F91">
            <w:pPr>
              <w:jc w:val="center"/>
              <w:rPr>
                <w:rFonts w:cs="Calibri"/>
                <w:color w:val="000000"/>
                <w:sz w:val="18"/>
                <w:szCs w:val="18"/>
              </w:rPr>
            </w:pPr>
            <w:r w:rsidRPr="00847FAE">
              <w:rPr>
                <w:rFonts w:cs="Calibri"/>
                <w:color w:val="000000"/>
                <w:sz w:val="18"/>
                <w:szCs w:val="18"/>
              </w:rPr>
              <w:t>16,653</w:t>
            </w:r>
          </w:p>
        </w:tc>
        <w:tc>
          <w:tcPr>
            <w:tcW w:w="879" w:type="dxa"/>
            <w:tcBorders>
              <w:top w:val="nil"/>
              <w:left w:val="nil"/>
              <w:bottom w:val="nil"/>
              <w:right w:val="nil"/>
            </w:tcBorders>
            <w:noWrap/>
            <w:vAlign w:val="center"/>
          </w:tcPr>
          <w:p w14:paraId="34977C18" w14:textId="77777777" w:rsidR="00FD6F91" w:rsidRPr="00847FAE" w:rsidRDefault="00FD6F91" w:rsidP="00FD6F91">
            <w:pPr>
              <w:jc w:val="center"/>
              <w:rPr>
                <w:rFonts w:cs="Calibri"/>
                <w:color w:val="000000"/>
                <w:sz w:val="18"/>
                <w:szCs w:val="18"/>
              </w:rPr>
            </w:pPr>
            <w:r w:rsidRPr="00847FAE">
              <w:rPr>
                <w:rFonts w:cs="Calibri"/>
                <w:color w:val="000000"/>
                <w:sz w:val="18"/>
                <w:szCs w:val="18"/>
              </w:rPr>
              <w:t>16,415</w:t>
            </w:r>
          </w:p>
        </w:tc>
        <w:tc>
          <w:tcPr>
            <w:tcW w:w="879" w:type="dxa"/>
            <w:tcBorders>
              <w:top w:val="nil"/>
              <w:left w:val="nil"/>
              <w:bottom w:val="nil"/>
              <w:right w:val="nil"/>
            </w:tcBorders>
            <w:noWrap/>
            <w:vAlign w:val="center"/>
          </w:tcPr>
          <w:p w14:paraId="3280823C" w14:textId="77777777" w:rsidR="00FD6F91" w:rsidRPr="00847FAE" w:rsidRDefault="00FD6F91" w:rsidP="00FD6F91">
            <w:pPr>
              <w:jc w:val="center"/>
              <w:rPr>
                <w:rFonts w:cs="Calibri"/>
                <w:color w:val="000000"/>
                <w:sz w:val="18"/>
                <w:szCs w:val="18"/>
              </w:rPr>
            </w:pPr>
            <w:r w:rsidRPr="00847FAE">
              <w:rPr>
                <w:rFonts w:cs="Calibri"/>
                <w:color w:val="000000"/>
                <w:sz w:val="18"/>
                <w:szCs w:val="18"/>
              </w:rPr>
              <w:t>18,047</w:t>
            </w:r>
          </w:p>
        </w:tc>
        <w:tc>
          <w:tcPr>
            <w:tcW w:w="1134" w:type="dxa"/>
            <w:tcBorders>
              <w:top w:val="nil"/>
              <w:left w:val="nil"/>
              <w:bottom w:val="nil"/>
              <w:right w:val="nil"/>
            </w:tcBorders>
            <w:noWrap/>
            <w:vAlign w:val="center"/>
          </w:tcPr>
          <w:p w14:paraId="0710F64A" w14:textId="77777777" w:rsidR="00FD6F91" w:rsidRPr="00847FAE" w:rsidRDefault="00FD6F91" w:rsidP="00FD6F91">
            <w:pPr>
              <w:jc w:val="center"/>
              <w:rPr>
                <w:rFonts w:cs="Calibri"/>
                <w:color w:val="000000"/>
                <w:sz w:val="18"/>
                <w:szCs w:val="18"/>
              </w:rPr>
            </w:pPr>
            <w:r w:rsidRPr="00847FAE">
              <w:rPr>
                <w:rFonts w:cs="Calibri"/>
                <w:color w:val="000000"/>
                <w:sz w:val="18"/>
                <w:szCs w:val="18"/>
              </w:rPr>
              <w:t>9.9%</w:t>
            </w:r>
          </w:p>
        </w:tc>
      </w:tr>
      <w:tr w:rsidR="00FD6F91" w:rsidRPr="00847FAE" w14:paraId="6ACB2FBD" w14:textId="77777777" w:rsidTr="001F1F60">
        <w:trPr>
          <w:cantSplit/>
          <w:trHeight w:val="255"/>
        </w:trPr>
        <w:tc>
          <w:tcPr>
            <w:tcW w:w="3402" w:type="dxa"/>
            <w:tcBorders>
              <w:top w:val="nil"/>
              <w:left w:val="nil"/>
              <w:bottom w:val="nil"/>
              <w:right w:val="nil"/>
            </w:tcBorders>
            <w:noWrap/>
          </w:tcPr>
          <w:p w14:paraId="1978C2C4" w14:textId="0B9256D1" w:rsidR="00FD6F91" w:rsidRPr="00847FAE" w:rsidRDefault="00FD6F91" w:rsidP="00FD6F91">
            <w:pPr>
              <w:widowControl w:val="0"/>
              <w:rPr>
                <w:rFonts w:cs="Calibri"/>
                <w:i/>
                <w:iCs/>
                <w:color w:val="000000"/>
                <w:sz w:val="18"/>
                <w:szCs w:val="18"/>
              </w:rPr>
            </w:pPr>
            <w:r w:rsidRPr="00847FAE">
              <w:rPr>
                <w:rFonts w:cs="Calibri"/>
                <w:i/>
                <w:iCs/>
                <w:color w:val="000000"/>
                <w:sz w:val="18"/>
                <w:szCs w:val="18"/>
              </w:rPr>
              <w:t>Committal Proceedings</w:t>
            </w:r>
          </w:p>
        </w:tc>
        <w:tc>
          <w:tcPr>
            <w:tcW w:w="879" w:type="dxa"/>
            <w:tcBorders>
              <w:top w:val="nil"/>
              <w:left w:val="nil"/>
              <w:bottom w:val="nil"/>
              <w:right w:val="nil"/>
            </w:tcBorders>
            <w:noWrap/>
            <w:vAlign w:val="center"/>
          </w:tcPr>
          <w:p w14:paraId="48D491C6" w14:textId="77777777" w:rsidR="00FD6F91" w:rsidRPr="00847FAE" w:rsidRDefault="00FD6F91" w:rsidP="00FD6F91">
            <w:pPr>
              <w:jc w:val="center"/>
              <w:rPr>
                <w:rFonts w:cs="Calibri"/>
                <w:color w:val="000000"/>
                <w:sz w:val="18"/>
                <w:szCs w:val="18"/>
              </w:rPr>
            </w:pPr>
            <w:r w:rsidRPr="00847FAE">
              <w:rPr>
                <w:rFonts w:cs="Calibri"/>
                <w:color w:val="000000"/>
                <w:sz w:val="18"/>
                <w:szCs w:val="18"/>
              </w:rPr>
              <w:t>246</w:t>
            </w:r>
          </w:p>
        </w:tc>
        <w:tc>
          <w:tcPr>
            <w:tcW w:w="879" w:type="dxa"/>
            <w:tcBorders>
              <w:top w:val="nil"/>
              <w:left w:val="nil"/>
              <w:bottom w:val="nil"/>
              <w:right w:val="nil"/>
            </w:tcBorders>
            <w:noWrap/>
            <w:vAlign w:val="center"/>
          </w:tcPr>
          <w:p w14:paraId="1DE93817" w14:textId="77777777" w:rsidR="00FD6F91" w:rsidRPr="00847FAE" w:rsidRDefault="00FD6F91" w:rsidP="00FD6F91">
            <w:pPr>
              <w:jc w:val="center"/>
              <w:rPr>
                <w:rFonts w:cs="Calibri"/>
                <w:color w:val="000000"/>
                <w:sz w:val="18"/>
                <w:szCs w:val="18"/>
              </w:rPr>
            </w:pPr>
            <w:r w:rsidRPr="00847FAE">
              <w:rPr>
                <w:rFonts w:cs="Calibri"/>
                <w:color w:val="000000"/>
                <w:sz w:val="18"/>
                <w:szCs w:val="18"/>
              </w:rPr>
              <w:t>261</w:t>
            </w:r>
          </w:p>
        </w:tc>
        <w:tc>
          <w:tcPr>
            <w:tcW w:w="879" w:type="dxa"/>
            <w:tcBorders>
              <w:top w:val="nil"/>
              <w:left w:val="nil"/>
              <w:bottom w:val="nil"/>
              <w:right w:val="nil"/>
            </w:tcBorders>
            <w:noWrap/>
            <w:vAlign w:val="center"/>
          </w:tcPr>
          <w:p w14:paraId="1719980F" w14:textId="77777777" w:rsidR="00FD6F91" w:rsidRPr="00847FAE" w:rsidRDefault="00FD6F91" w:rsidP="00FD6F91">
            <w:pPr>
              <w:jc w:val="center"/>
              <w:rPr>
                <w:rFonts w:cs="Calibri"/>
                <w:color w:val="000000"/>
                <w:sz w:val="18"/>
                <w:szCs w:val="18"/>
              </w:rPr>
            </w:pPr>
            <w:r w:rsidRPr="00847FAE">
              <w:rPr>
                <w:rFonts w:cs="Calibri"/>
                <w:color w:val="000000"/>
                <w:sz w:val="18"/>
                <w:szCs w:val="18"/>
              </w:rPr>
              <w:t>249</w:t>
            </w:r>
          </w:p>
        </w:tc>
        <w:tc>
          <w:tcPr>
            <w:tcW w:w="879" w:type="dxa"/>
            <w:tcBorders>
              <w:top w:val="nil"/>
              <w:left w:val="nil"/>
              <w:bottom w:val="nil"/>
              <w:right w:val="nil"/>
            </w:tcBorders>
            <w:noWrap/>
            <w:vAlign w:val="center"/>
          </w:tcPr>
          <w:p w14:paraId="4BEB38C9" w14:textId="77777777" w:rsidR="00FD6F91" w:rsidRPr="00847FAE" w:rsidRDefault="00FD6F91" w:rsidP="00FD6F91">
            <w:pPr>
              <w:jc w:val="center"/>
              <w:rPr>
                <w:rFonts w:cs="Calibri"/>
                <w:color w:val="000000"/>
                <w:sz w:val="18"/>
                <w:szCs w:val="18"/>
              </w:rPr>
            </w:pPr>
            <w:r w:rsidRPr="00847FAE">
              <w:rPr>
                <w:rFonts w:cs="Calibri"/>
                <w:color w:val="000000"/>
                <w:sz w:val="18"/>
                <w:szCs w:val="18"/>
              </w:rPr>
              <w:t>246</w:t>
            </w:r>
          </w:p>
        </w:tc>
        <w:tc>
          <w:tcPr>
            <w:tcW w:w="879" w:type="dxa"/>
            <w:tcBorders>
              <w:top w:val="nil"/>
              <w:left w:val="nil"/>
              <w:bottom w:val="nil"/>
              <w:right w:val="nil"/>
            </w:tcBorders>
            <w:noWrap/>
            <w:vAlign w:val="center"/>
          </w:tcPr>
          <w:p w14:paraId="19EE5FD9" w14:textId="77777777" w:rsidR="00FD6F91" w:rsidRPr="00847FAE" w:rsidRDefault="00FD6F91" w:rsidP="00FD6F91">
            <w:pPr>
              <w:jc w:val="center"/>
              <w:rPr>
                <w:rFonts w:cs="Calibri"/>
                <w:color w:val="000000"/>
                <w:sz w:val="18"/>
                <w:szCs w:val="18"/>
              </w:rPr>
            </w:pPr>
            <w:r w:rsidRPr="00847FAE">
              <w:rPr>
                <w:rFonts w:cs="Calibri"/>
                <w:color w:val="000000"/>
                <w:sz w:val="18"/>
                <w:szCs w:val="18"/>
              </w:rPr>
              <w:t>298</w:t>
            </w:r>
          </w:p>
        </w:tc>
        <w:tc>
          <w:tcPr>
            <w:tcW w:w="1134" w:type="dxa"/>
            <w:tcBorders>
              <w:top w:val="nil"/>
              <w:left w:val="nil"/>
              <w:bottom w:val="nil"/>
              <w:right w:val="nil"/>
            </w:tcBorders>
            <w:noWrap/>
            <w:vAlign w:val="center"/>
          </w:tcPr>
          <w:p w14:paraId="68DFBFBA" w14:textId="77777777" w:rsidR="00FD6F91" w:rsidRPr="00847FAE" w:rsidRDefault="00FD6F91" w:rsidP="00FD6F91">
            <w:pPr>
              <w:jc w:val="center"/>
              <w:rPr>
                <w:rFonts w:cs="Calibri"/>
                <w:color w:val="000000"/>
                <w:sz w:val="18"/>
                <w:szCs w:val="18"/>
              </w:rPr>
            </w:pPr>
            <w:r w:rsidRPr="00847FAE">
              <w:rPr>
                <w:rFonts w:cs="Calibri"/>
                <w:color w:val="000000"/>
                <w:sz w:val="18"/>
                <w:szCs w:val="18"/>
              </w:rPr>
              <w:t>21.1%</w:t>
            </w:r>
          </w:p>
        </w:tc>
      </w:tr>
      <w:tr w:rsidR="00FD6F91" w:rsidRPr="00847FAE" w14:paraId="1CE0D24D" w14:textId="77777777" w:rsidTr="001F1F60">
        <w:trPr>
          <w:cantSplit/>
          <w:trHeight w:val="255"/>
        </w:trPr>
        <w:tc>
          <w:tcPr>
            <w:tcW w:w="3402" w:type="dxa"/>
            <w:tcBorders>
              <w:top w:val="nil"/>
              <w:left w:val="nil"/>
              <w:bottom w:val="nil"/>
              <w:right w:val="nil"/>
            </w:tcBorders>
            <w:noWrap/>
          </w:tcPr>
          <w:p w14:paraId="0FF35874"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Breaches of orders</w:t>
            </w:r>
            <w:r w:rsidRPr="00847FAE">
              <w:rPr>
                <w:rFonts w:cs="Calibri"/>
                <w:iCs/>
                <w:color w:val="000000"/>
                <w:sz w:val="18"/>
                <w:szCs w:val="18"/>
                <w:vertAlign w:val="superscript"/>
              </w:rPr>
              <w:t>2</w:t>
            </w:r>
          </w:p>
        </w:tc>
        <w:tc>
          <w:tcPr>
            <w:tcW w:w="879" w:type="dxa"/>
            <w:tcBorders>
              <w:top w:val="nil"/>
              <w:left w:val="nil"/>
              <w:bottom w:val="nil"/>
              <w:right w:val="nil"/>
            </w:tcBorders>
            <w:noWrap/>
            <w:vAlign w:val="center"/>
          </w:tcPr>
          <w:p w14:paraId="0595181C" w14:textId="77777777" w:rsidR="00FD6F91" w:rsidRPr="00847FAE" w:rsidRDefault="00FD6F91" w:rsidP="00FD6F91">
            <w:pPr>
              <w:jc w:val="center"/>
              <w:rPr>
                <w:rFonts w:cs="Calibri"/>
                <w:color w:val="000000"/>
                <w:sz w:val="18"/>
                <w:szCs w:val="18"/>
              </w:rPr>
            </w:pPr>
            <w:r w:rsidRPr="00847FAE">
              <w:rPr>
                <w:rFonts w:cs="Calibri"/>
                <w:color w:val="000000"/>
                <w:sz w:val="18"/>
                <w:szCs w:val="18"/>
              </w:rPr>
              <w:t>3,069</w:t>
            </w:r>
          </w:p>
        </w:tc>
        <w:tc>
          <w:tcPr>
            <w:tcW w:w="879" w:type="dxa"/>
            <w:tcBorders>
              <w:top w:val="nil"/>
              <w:left w:val="nil"/>
              <w:bottom w:val="nil"/>
              <w:right w:val="nil"/>
            </w:tcBorders>
            <w:noWrap/>
            <w:vAlign w:val="center"/>
          </w:tcPr>
          <w:p w14:paraId="43CAA5F7" w14:textId="77777777" w:rsidR="00FD6F91" w:rsidRPr="00847FAE" w:rsidRDefault="00FD6F91" w:rsidP="00FD6F91">
            <w:pPr>
              <w:jc w:val="center"/>
              <w:rPr>
                <w:rFonts w:cs="Calibri"/>
                <w:color w:val="000000"/>
                <w:sz w:val="18"/>
                <w:szCs w:val="18"/>
              </w:rPr>
            </w:pPr>
            <w:r w:rsidRPr="00847FAE">
              <w:rPr>
                <w:rFonts w:cs="Calibri"/>
                <w:color w:val="000000"/>
                <w:sz w:val="18"/>
                <w:szCs w:val="18"/>
              </w:rPr>
              <w:t>3,145</w:t>
            </w:r>
          </w:p>
        </w:tc>
        <w:tc>
          <w:tcPr>
            <w:tcW w:w="879" w:type="dxa"/>
            <w:tcBorders>
              <w:top w:val="nil"/>
              <w:left w:val="nil"/>
              <w:bottom w:val="nil"/>
              <w:right w:val="nil"/>
            </w:tcBorders>
            <w:noWrap/>
            <w:vAlign w:val="center"/>
          </w:tcPr>
          <w:p w14:paraId="504DCC9F" w14:textId="77777777" w:rsidR="00FD6F91" w:rsidRPr="00847FAE" w:rsidRDefault="00FD6F91" w:rsidP="00FD6F91">
            <w:pPr>
              <w:jc w:val="center"/>
              <w:rPr>
                <w:rFonts w:cs="Calibri"/>
                <w:color w:val="000000"/>
                <w:sz w:val="18"/>
                <w:szCs w:val="18"/>
              </w:rPr>
            </w:pPr>
            <w:r w:rsidRPr="00847FAE">
              <w:rPr>
                <w:rFonts w:cs="Calibri"/>
                <w:color w:val="000000"/>
                <w:sz w:val="18"/>
                <w:szCs w:val="18"/>
              </w:rPr>
              <w:t>4,144</w:t>
            </w:r>
          </w:p>
        </w:tc>
        <w:tc>
          <w:tcPr>
            <w:tcW w:w="879" w:type="dxa"/>
            <w:tcBorders>
              <w:top w:val="nil"/>
              <w:left w:val="nil"/>
              <w:bottom w:val="nil"/>
              <w:right w:val="nil"/>
            </w:tcBorders>
            <w:noWrap/>
            <w:vAlign w:val="center"/>
          </w:tcPr>
          <w:p w14:paraId="53AFCC13" w14:textId="77777777" w:rsidR="00FD6F91" w:rsidRPr="00847FAE" w:rsidRDefault="00FD6F91" w:rsidP="00FD6F91">
            <w:pPr>
              <w:jc w:val="center"/>
              <w:rPr>
                <w:rFonts w:cs="Calibri"/>
                <w:color w:val="000000"/>
                <w:sz w:val="18"/>
                <w:szCs w:val="18"/>
              </w:rPr>
            </w:pPr>
            <w:r w:rsidRPr="00847FAE">
              <w:rPr>
                <w:rFonts w:cs="Calibri"/>
                <w:color w:val="000000"/>
                <w:sz w:val="18"/>
                <w:szCs w:val="18"/>
              </w:rPr>
              <w:t>3,995</w:t>
            </w:r>
          </w:p>
        </w:tc>
        <w:tc>
          <w:tcPr>
            <w:tcW w:w="879" w:type="dxa"/>
            <w:tcBorders>
              <w:top w:val="nil"/>
              <w:left w:val="nil"/>
              <w:bottom w:val="nil"/>
              <w:right w:val="nil"/>
            </w:tcBorders>
            <w:noWrap/>
            <w:vAlign w:val="center"/>
          </w:tcPr>
          <w:p w14:paraId="1A34C65A" w14:textId="77777777" w:rsidR="00FD6F91" w:rsidRPr="00847FAE" w:rsidRDefault="00FD6F91" w:rsidP="00FD6F91">
            <w:pPr>
              <w:jc w:val="center"/>
              <w:rPr>
                <w:rFonts w:cs="Calibri"/>
                <w:color w:val="000000"/>
                <w:sz w:val="18"/>
                <w:szCs w:val="18"/>
              </w:rPr>
            </w:pPr>
            <w:r w:rsidRPr="00847FAE">
              <w:rPr>
                <w:rFonts w:cs="Calibri"/>
                <w:color w:val="000000"/>
                <w:sz w:val="18"/>
                <w:szCs w:val="18"/>
              </w:rPr>
              <w:t>4,403</w:t>
            </w:r>
          </w:p>
        </w:tc>
        <w:tc>
          <w:tcPr>
            <w:tcW w:w="1134" w:type="dxa"/>
            <w:tcBorders>
              <w:top w:val="nil"/>
              <w:left w:val="nil"/>
              <w:bottom w:val="nil"/>
              <w:right w:val="nil"/>
            </w:tcBorders>
            <w:noWrap/>
            <w:vAlign w:val="center"/>
          </w:tcPr>
          <w:p w14:paraId="75AA2F2D" w14:textId="77777777" w:rsidR="00FD6F91" w:rsidRPr="00847FAE" w:rsidRDefault="00FD6F91" w:rsidP="00FD6F91">
            <w:pPr>
              <w:jc w:val="center"/>
              <w:rPr>
                <w:rFonts w:cs="Calibri"/>
                <w:color w:val="000000"/>
                <w:sz w:val="18"/>
                <w:szCs w:val="18"/>
              </w:rPr>
            </w:pPr>
            <w:r w:rsidRPr="00847FAE">
              <w:rPr>
                <w:rFonts w:cs="Calibri"/>
                <w:color w:val="000000"/>
                <w:sz w:val="18"/>
                <w:szCs w:val="18"/>
              </w:rPr>
              <w:t>10.2%</w:t>
            </w:r>
          </w:p>
        </w:tc>
      </w:tr>
      <w:tr w:rsidR="00FD6F91" w:rsidRPr="00847FAE" w14:paraId="7A8BCD7B" w14:textId="77777777" w:rsidTr="001F1F60">
        <w:trPr>
          <w:cantSplit/>
          <w:trHeight w:val="255"/>
        </w:trPr>
        <w:tc>
          <w:tcPr>
            <w:tcW w:w="3402" w:type="dxa"/>
            <w:tcBorders>
              <w:top w:val="nil"/>
              <w:left w:val="nil"/>
              <w:bottom w:val="nil"/>
              <w:right w:val="nil"/>
            </w:tcBorders>
            <w:noWrap/>
          </w:tcPr>
          <w:p w14:paraId="77F09EAC"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Applications to grant or vary bail</w:t>
            </w:r>
          </w:p>
        </w:tc>
        <w:tc>
          <w:tcPr>
            <w:tcW w:w="879" w:type="dxa"/>
            <w:tcBorders>
              <w:top w:val="nil"/>
              <w:left w:val="nil"/>
              <w:bottom w:val="nil"/>
              <w:right w:val="nil"/>
            </w:tcBorders>
            <w:noWrap/>
            <w:vAlign w:val="center"/>
          </w:tcPr>
          <w:p w14:paraId="6504305B" w14:textId="77777777" w:rsidR="00FD6F91" w:rsidRPr="00847FAE" w:rsidRDefault="00FD6F91" w:rsidP="00FD6F91">
            <w:pPr>
              <w:jc w:val="center"/>
              <w:rPr>
                <w:rFonts w:cs="Calibri"/>
                <w:color w:val="000000"/>
                <w:sz w:val="18"/>
                <w:szCs w:val="18"/>
              </w:rPr>
            </w:pPr>
            <w:r w:rsidRPr="00847FAE">
              <w:rPr>
                <w:rFonts w:cs="Calibri"/>
                <w:color w:val="000000"/>
                <w:sz w:val="18"/>
                <w:szCs w:val="18"/>
              </w:rPr>
              <w:t>321</w:t>
            </w:r>
          </w:p>
        </w:tc>
        <w:tc>
          <w:tcPr>
            <w:tcW w:w="879" w:type="dxa"/>
            <w:tcBorders>
              <w:top w:val="nil"/>
              <w:left w:val="nil"/>
              <w:bottom w:val="nil"/>
              <w:right w:val="nil"/>
            </w:tcBorders>
            <w:noWrap/>
            <w:vAlign w:val="center"/>
          </w:tcPr>
          <w:p w14:paraId="6CC00745" w14:textId="77777777" w:rsidR="00FD6F91" w:rsidRPr="00847FAE" w:rsidRDefault="00FD6F91" w:rsidP="00FD6F91">
            <w:pPr>
              <w:jc w:val="center"/>
              <w:rPr>
                <w:rFonts w:cs="Calibri"/>
                <w:color w:val="000000"/>
                <w:sz w:val="18"/>
                <w:szCs w:val="18"/>
              </w:rPr>
            </w:pPr>
            <w:r w:rsidRPr="00847FAE">
              <w:rPr>
                <w:rFonts w:cs="Calibri"/>
                <w:color w:val="000000"/>
                <w:sz w:val="18"/>
                <w:szCs w:val="18"/>
              </w:rPr>
              <w:t>288</w:t>
            </w:r>
          </w:p>
        </w:tc>
        <w:tc>
          <w:tcPr>
            <w:tcW w:w="879" w:type="dxa"/>
            <w:tcBorders>
              <w:top w:val="nil"/>
              <w:left w:val="nil"/>
              <w:bottom w:val="nil"/>
              <w:right w:val="nil"/>
            </w:tcBorders>
            <w:noWrap/>
            <w:vAlign w:val="center"/>
          </w:tcPr>
          <w:p w14:paraId="1DE3D7B5" w14:textId="77777777" w:rsidR="00FD6F91" w:rsidRPr="00847FAE" w:rsidRDefault="00FD6F91" w:rsidP="00FD6F91">
            <w:pPr>
              <w:jc w:val="center"/>
              <w:rPr>
                <w:rFonts w:cs="Calibri"/>
                <w:color w:val="000000"/>
                <w:sz w:val="18"/>
                <w:szCs w:val="18"/>
              </w:rPr>
            </w:pPr>
            <w:r w:rsidRPr="00847FAE">
              <w:rPr>
                <w:rFonts w:cs="Calibri"/>
                <w:color w:val="000000"/>
                <w:sz w:val="18"/>
                <w:szCs w:val="18"/>
              </w:rPr>
              <w:t>352</w:t>
            </w:r>
          </w:p>
        </w:tc>
        <w:tc>
          <w:tcPr>
            <w:tcW w:w="879" w:type="dxa"/>
            <w:tcBorders>
              <w:top w:val="nil"/>
              <w:left w:val="nil"/>
              <w:bottom w:val="nil"/>
              <w:right w:val="nil"/>
            </w:tcBorders>
            <w:noWrap/>
            <w:vAlign w:val="center"/>
          </w:tcPr>
          <w:p w14:paraId="48D6F51F" w14:textId="77777777" w:rsidR="00FD6F91" w:rsidRPr="00847FAE" w:rsidRDefault="00FD6F91" w:rsidP="00FD6F91">
            <w:pPr>
              <w:jc w:val="center"/>
              <w:rPr>
                <w:rFonts w:cs="Calibri"/>
                <w:color w:val="000000"/>
                <w:sz w:val="18"/>
                <w:szCs w:val="18"/>
              </w:rPr>
            </w:pPr>
            <w:r w:rsidRPr="00847FAE">
              <w:rPr>
                <w:rFonts w:cs="Calibri"/>
                <w:color w:val="000000"/>
                <w:sz w:val="18"/>
                <w:szCs w:val="18"/>
              </w:rPr>
              <w:t>298</w:t>
            </w:r>
          </w:p>
        </w:tc>
        <w:tc>
          <w:tcPr>
            <w:tcW w:w="879" w:type="dxa"/>
            <w:tcBorders>
              <w:top w:val="nil"/>
              <w:left w:val="nil"/>
              <w:bottom w:val="nil"/>
              <w:right w:val="nil"/>
            </w:tcBorders>
            <w:noWrap/>
            <w:vAlign w:val="center"/>
          </w:tcPr>
          <w:p w14:paraId="79869334" w14:textId="77777777" w:rsidR="00FD6F91" w:rsidRPr="00847FAE" w:rsidRDefault="00FD6F91" w:rsidP="00FD6F91">
            <w:pPr>
              <w:jc w:val="center"/>
              <w:rPr>
                <w:rFonts w:cs="Calibri"/>
                <w:color w:val="000000"/>
                <w:sz w:val="18"/>
                <w:szCs w:val="18"/>
              </w:rPr>
            </w:pPr>
            <w:r w:rsidRPr="00847FAE">
              <w:rPr>
                <w:rFonts w:cs="Calibri"/>
                <w:color w:val="000000"/>
                <w:sz w:val="18"/>
                <w:szCs w:val="18"/>
              </w:rPr>
              <w:t>297</w:t>
            </w:r>
          </w:p>
        </w:tc>
        <w:tc>
          <w:tcPr>
            <w:tcW w:w="1134" w:type="dxa"/>
            <w:tcBorders>
              <w:top w:val="nil"/>
              <w:left w:val="nil"/>
              <w:bottom w:val="nil"/>
              <w:right w:val="nil"/>
            </w:tcBorders>
            <w:noWrap/>
            <w:vAlign w:val="center"/>
          </w:tcPr>
          <w:p w14:paraId="3ACA3624" w14:textId="77777777" w:rsidR="00FD6F91" w:rsidRPr="00847FAE" w:rsidRDefault="00FD6F91" w:rsidP="00FD6F91">
            <w:pPr>
              <w:jc w:val="center"/>
              <w:rPr>
                <w:rFonts w:cs="Calibri"/>
                <w:color w:val="000000"/>
                <w:sz w:val="18"/>
                <w:szCs w:val="18"/>
              </w:rPr>
            </w:pPr>
            <w:r w:rsidRPr="00847FAE">
              <w:rPr>
                <w:rFonts w:cs="Calibri"/>
                <w:color w:val="000000"/>
                <w:sz w:val="18"/>
                <w:szCs w:val="18"/>
              </w:rPr>
              <w:t>-0.3%</w:t>
            </w:r>
          </w:p>
        </w:tc>
      </w:tr>
      <w:tr w:rsidR="00FD6F91" w:rsidRPr="00847FAE" w14:paraId="3AE710CE" w14:textId="77777777" w:rsidTr="001F1F60">
        <w:trPr>
          <w:cantSplit/>
          <w:trHeight w:val="255"/>
        </w:trPr>
        <w:tc>
          <w:tcPr>
            <w:tcW w:w="3402" w:type="dxa"/>
            <w:tcBorders>
              <w:top w:val="nil"/>
              <w:left w:val="nil"/>
              <w:bottom w:val="nil"/>
              <w:right w:val="nil"/>
            </w:tcBorders>
            <w:noWrap/>
          </w:tcPr>
          <w:p w14:paraId="6056CFAF"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Applications for restricted driver licence</w:t>
            </w:r>
          </w:p>
        </w:tc>
        <w:tc>
          <w:tcPr>
            <w:tcW w:w="879" w:type="dxa"/>
            <w:tcBorders>
              <w:top w:val="nil"/>
              <w:left w:val="nil"/>
              <w:bottom w:val="nil"/>
              <w:right w:val="nil"/>
            </w:tcBorders>
            <w:noWrap/>
            <w:vAlign w:val="center"/>
          </w:tcPr>
          <w:p w14:paraId="7D6A4AE8" w14:textId="77777777" w:rsidR="00FD6F91" w:rsidRPr="00847FAE" w:rsidRDefault="00FD6F91" w:rsidP="00FD6F91">
            <w:pPr>
              <w:jc w:val="center"/>
              <w:rPr>
                <w:rFonts w:cs="Calibri"/>
                <w:color w:val="000000"/>
                <w:sz w:val="18"/>
                <w:szCs w:val="18"/>
              </w:rPr>
            </w:pPr>
            <w:r w:rsidRPr="00847FAE">
              <w:rPr>
                <w:rFonts w:cs="Calibri"/>
                <w:color w:val="000000"/>
                <w:sz w:val="18"/>
                <w:szCs w:val="18"/>
              </w:rPr>
              <w:t>466</w:t>
            </w:r>
          </w:p>
        </w:tc>
        <w:tc>
          <w:tcPr>
            <w:tcW w:w="879" w:type="dxa"/>
            <w:tcBorders>
              <w:top w:val="nil"/>
              <w:left w:val="nil"/>
              <w:bottom w:val="nil"/>
              <w:right w:val="nil"/>
            </w:tcBorders>
            <w:noWrap/>
            <w:vAlign w:val="center"/>
          </w:tcPr>
          <w:p w14:paraId="71C89A6B" w14:textId="77777777" w:rsidR="00FD6F91" w:rsidRPr="00847FAE" w:rsidRDefault="00FD6F91" w:rsidP="00FD6F91">
            <w:pPr>
              <w:jc w:val="center"/>
              <w:rPr>
                <w:rFonts w:cs="Calibri"/>
                <w:color w:val="000000"/>
                <w:sz w:val="18"/>
                <w:szCs w:val="18"/>
              </w:rPr>
            </w:pPr>
            <w:r w:rsidRPr="00847FAE">
              <w:rPr>
                <w:rFonts w:cs="Calibri"/>
                <w:color w:val="000000"/>
                <w:sz w:val="18"/>
                <w:szCs w:val="18"/>
              </w:rPr>
              <w:t>551</w:t>
            </w:r>
          </w:p>
        </w:tc>
        <w:tc>
          <w:tcPr>
            <w:tcW w:w="879" w:type="dxa"/>
            <w:tcBorders>
              <w:top w:val="nil"/>
              <w:left w:val="nil"/>
              <w:bottom w:val="nil"/>
              <w:right w:val="nil"/>
            </w:tcBorders>
            <w:noWrap/>
            <w:vAlign w:val="center"/>
          </w:tcPr>
          <w:p w14:paraId="37D8E9B1" w14:textId="77777777" w:rsidR="00FD6F91" w:rsidRPr="00847FAE" w:rsidRDefault="00FD6F91" w:rsidP="00FD6F91">
            <w:pPr>
              <w:jc w:val="center"/>
              <w:rPr>
                <w:rFonts w:cs="Calibri"/>
                <w:color w:val="000000"/>
                <w:sz w:val="18"/>
                <w:szCs w:val="18"/>
              </w:rPr>
            </w:pPr>
            <w:r w:rsidRPr="00847FAE">
              <w:rPr>
                <w:rFonts w:cs="Calibri"/>
                <w:color w:val="000000"/>
                <w:sz w:val="18"/>
                <w:szCs w:val="18"/>
              </w:rPr>
              <w:t>577</w:t>
            </w:r>
          </w:p>
        </w:tc>
        <w:tc>
          <w:tcPr>
            <w:tcW w:w="879" w:type="dxa"/>
            <w:tcBorders>
              <w:top w:val="nil"/>
              <w:left w:val="nil"/>
              <w:bottom w:val="nil"/>
              <w:right w:val="nil"/>
            </w:tcBorders>
            <w:noWrap/>
            <w:vAlign w:val="center"/>
          </w:tcPr>
          <w:p w14:paraId="1789F7A8" w14:textId="77777777" w:rsidR="00FD6F91" w:rsidRPr="00847FAE" w:rsidRDefault="00FD6F91" w:rsidP="00FD6F91">
            <w:pPr>
              <w:jc w:val="center"/>
              <w:rPr>
                <w:rFonts w:cs="Calibri"/>
                <w:color w:val="000000"/>
                <w:sz w:val="18"/>
                <w:szCs w:val="18"/>
              </w:rPr>
            </w:pPr>
            <w:r w:rsidRPr="00847FAE">
              <w:rPr>
                <w:rFonts w:cs="Calibri"/>
                <w:color w:val="000000"/>
                <w:sz w:val="18"/>
                <w:szCs w:val="18"/>
              </w:rPr>
              <w:t>567</w:t>
            </w:r>
          </w:p>
        </w:tc>
        <w:tc>
          <w:tcPr>
            <w:tcW w:w="879" w:type="dxa"/>
            <w:tcBorders>
              <w:top w:val="nil"/>
              <w:left w:val="nil"/>
              <w:bottom w:val="nil"/>
              <w:right w:val="nil"/>
            </w:tcBorders>
            <w:noWrap/>
            <w:vAlign w:val="center"/>
          </w:tcPr>
          <w:p w14:paraId="22EE9F08" w14:textId="77777777" w:rsidR="00FD6F91" w:rsidRPr="00847FAE" w:rsidRDefault="00FD6F91" w:rsidP="00FD6F91">
            <w:pPr>
              <w:jc w:val="center"/>
              <w:rPr>
                <w:rFonts w:cs="Calibri"/>
                <w:color w:val="000000"/>
                <w:sz w:val="18"/>
                <w:szCs w:val="18"/>
              </w:rPr>
            </w:pPr>
            <w:r w:rsidRPr="00847FAE">
              <w:rPr>
                <w:rFonts w:cs="Calibri"/>
                <w:color w:val="000000"/>
                <w:sz w:val="18"/>
                <w:szCs w:val="18"/>
              </w:rPr>
              <w:t>526</w:t>
            </w:r>
          </w:p>
        </w:tc>
        <w:tc>
          <w:tcPr>
            <w:tcW w:w="1134" w:type="dxa"/>
            <w:tcBorders>
              <w:top w:val="nil"/>
              <w:left w:val="nil"/>
              <w:bottom w:val="nil"/>
              <w:right w:val="nil"/>
            </w:tcBorders>
            <w:noWrap/>
            <w:vAlign w:val="center"/>
          </w:tcPr>
          <w:p w14:paraId="3757B5D2" w14:textId="77777777" w:rsidR="00FD6F91" w:rsidRPr="00847FAE" w:rsidRDefault="00FD6F91" w:rsidP="00FD6F91">
            <w:pPr>
              <w:jc w:val="center"/>
              <w:rPr>
                <w:rFonts w:cs="Calibri"/>
                <w:color w:val="000000"/>
                <w:sz w:val="18"/>
                <w:szCs w:val="18"/>
              </w:rPr>
            </w:pPr>
            <w:r w:rsidRPr="00847FAE">
              <w:rPr>
                <w:rFonts w:cs="Calibri"/>
                <w:color w:val="000000"/>
                <w:sz w:val="18"/>
                <w:szCs w:val="18"/>
              </w:rPr>
              <w:t>-7.2%</w:t>
            </w:r>
          </w:p>
        </w:tc>
      </w:tr>
      <w:tr w:rsidR="00FD6F91" w:rsidRPr="00847FAE" w14:paraId="12013A57" w14:textId="77777777" w:rsidTr="001F1F60">
        <w:trPr>
          <w:cantSplit/>
          <w:trHeight w:val="255"/>
        </w:trPr>
        <w:tc>
          <w:tcPr>
            <w:tcW w:w="3402" w:type="dxa"/>
            <w:tcBorders>
              <w:top w:val="nil"/>
              <w:left w:val="nil"/>
              <w:bottom w:val="single" w:sz="4" w:space="0" w:color="auto"/>
              <w:right w:val="nil"/>
            </w:tcBorders>
            <w:noWrap/>
          </w:tcPr>
          <w:p w14:paraId="4D7C8EAB"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Other applications</w:t>
            </w:r>
          </w:p>
        </w:tc>
        <w:tc>
          <w:tcPr>
            <w:tcW w:w="879" w:type="dxa"/>
            <w:tcBorders>
              <w:top w:val="nil"/>
              <w:left w:val="nil"/>
              <w:bottom w:val="single" w:sz="4" w:space="0" w:color="auto"/>
              <w:right w:val="nil"/>
            </w:tcBorders>
            <w:noWrap/>
            <w:vAlign w:val="center"/>
          </w:tcPr>
          <w:p w14:paraId="3E7A1C2D" w14:textId="77777777" w:rsidR="00FD6F91" w:rsidRPr="00847FAE" w:rsidRDefault="00FD6F91" w:rsidP="00FD6F91">
            <w:pPr>
              <w:jc w:val="center"/>
              <w:rPr>
                <w:rFonts w:cs="Calibri"/>
                <w:color w:val="000000"/>
                <w:sz w:val="18"/>
                <w:szCs w:val="18"/>
              </w:rPr>
            </w:pPr>
            <w:r w:rsidRPr="00847FAE">
              <w:rPr>
                <w:rFonts w:cs="Calibri"/>
                <w:color w:val="000000"/>
                <w:sz w:val="18"/>
                <w:szCs w:val="18"/>
              </w:rPr>
              <w:t>895</w:t>
            </w:r>
          </w:p>
        </w:tc>
        <w:tc>
          <w:tcPr>
            <w:tcW w:w="879" w:type="dxa"/>
            <w:tcBorders>
              <w:top w:val="nil"/>
              <w:left w:val="nil"/>
              <w:bottom w:val="single" w:sz="4" w:space="0" w:color="auto"/>
              <w:right w:val="nil"/>
            </w:tcBorders>
            <w:noWrap/>
            <w:vAlign w:val="center"/>
          </w:tcPr>
          <w:p w14:paraId="6D97ACF5" w14:textId="77777777" w:rsidR="00FD6F91" w:rsidRPr="00847FAE" w:rsidRDefault="00FD6F91" w:rsidP="00FD6F91">
            <w:pPr>
              <w:jc w:val="center"/>
              <w:rPr>
                <w:rFonts w:cs="Calibri"/>
                <w:color w:val="000000"/>
                <w:sz w:val="18"/>
                <w:szCs w:val="18"/>
              </w:rPr>
            </w:pPr>
            <w:r w:rsidRPr="00847FAE">
              <w:rPr>
                <w:rFonts w:cs="Calibri"/>
                <w:color w:val="000000"/>
                <w:sz w:val="18"/>
                <w:szCs w:val="18"/>
              </w:rPr>
              <w:t>795</w:t>
            </w:r>
          </w:p>
        </w:tc>
        <w:tc>
          <w:tcPr>
            <w:tcW w:w="879" w:type="dxa"/>
            <w:tcBorders>
              <w:top w:val="nil"/>
              <w:left w:val="nil"/>
              <w:bottom w:val="single" w:sz="4" w:space="0" w:color="auto"/>
              <w:right w:val="nil"/>
            </w:tcBorders>
            <w:noWrap/>
            <w:vAlign w:val="center"/>
          </w:tcPr>
          <w:p w14:paraId="6ED31F33" w14:textId="77777777" w:rsidR="00FD6F91" w:rsidRPr="00847FAE" w:rsidRDefault="00FD6F91" w:rsidP="00FD6F91">
            <w:pPr>
              <w:jc w:val="center"/>
              <w:rPr>
                <w:rFonts w:cs="Calibri"/>
                <w:color w:val="000000"/>
                <w:sz w:val="18"/>
                <w:szCs w:val="18"/>
              </w:rPr>
            </w:pPr>
            <w:r w:rsidRPr="00847FAE">
              <w:rPr>
                <w:rFonts w:cs="Calibri"/>
                <w:color w:val="000000"/>
                <w:sz w:val="18"/>
                <w:szCs w:val="18"/>
              </w:rPr>
              <w:t>857</w:t>
            </w:r>
          </w:p>
        </w:tc>
        <w:tc>
          <w:tcPr>
            <w:tcW w:w="879" w:type="dxa"/>
            <w:tcBorders>
              <w:top w:val="nil"/>
              <w:left w:val="nil"/>
              <w:bottom w:val="single" w:sz="4" w:space="0" w:color="auto"/>
              <w:right w:val="nil"/>
            </w:tcBorders>
            <w:noWrap/>
            <w:vAlign w:val="center"/>
          </w:tcPr>
          <w:p w14:paraId="3460CC75" w14:textId="77777777" w:rsidR="00FD6F91" w:rsidRPr="00847FAE" w:rsidRDefault="00FD6F91" w:rsidP="00FD6F91">
            <w:pPr>
              <w:jc w:val="center"/>
              <w:rPr>
                <w:rFonts w:cs="Calibri"/>
                <w:color w:val="000000"/>
                <w:sz w:val="18"/>
                <w:szCs w:val="18"/>
              </w:rPr>
            </w:pPr>
            <w:r w:rsidRPr="00847FAE">
              <w:rPr>
                <w:rFonts w:cs="Calibri"/>
                <w:color w:val="000000"/>
                <w:sz w:val="18"/>
                <w:szCs w:val="18"/>
              </w:rPr>
              <w:t>762</w:t>
            </w:r>
          </w:p>
        </w:tc>
        <w:tc>
          <w:tcPr>
            <w:tcW w:w="879" w:type="dxa"/>
            <w:tcBorders>
              <w:top w:val="nil"/>
              <w:left w:val="nil"/>
              <w:bottom w:val="single" w:sz="4" w:space="0" w:color="auto"/>
              <w:right w:val="nil"/>
            </w:tcBorders>
            <w:noWrap/>
            <w:vAlign w:val="center"/>
          </w:tcPr>
          <w:p w14:paraId="009071C2" w14:textId="77777777" w:rsidR="00FD6F91" w:rsidRPr="00847FAE" w:rsidRDefault="00FD6F91" w:rsidP="00FD6F91">
            <w:pPr>
              <w:jc w:val="center"/>
              <w:rPr>
                <w:rFonts w:cs="Calibri"/>
                <w:color w:val="000000"/>
                <w:sz w:val="18"/>
                <w:szCs w:val="18"/>
              </w:rPr>
            </w:pPr>
            <w:r w:rsidRPr="00847FAE">
              <w:rPr>
                <w:rFonts w:cs="Calibri"/>
                <w:color w:val="000000"/>
                <w:sz w:val="18"/>
                <w:szCs w:val="18"/>
              </w:rPr>
              <w:t>821</w:t>
            </w:r>
          </w:p>
        </w:tc>
        <w:tc>
          <w:tcPr>
            <w:tcW w:w="1134" w:type="dxa"/>
            <w:tcBorders>
              <w:top w:val="nil"/>
              <w:left w:val="nil"/>
              <w:bottom w:val="single" w:sz="4" w:space="0" w:color="auto"/>
              <w:right w:val="nil"/>
            </w:tcBorders>
            <w:noWrap/>
            <w:vAlign w:val="center"/>
          </w:tcPr>
          <w:p w14:paraId="4068DD5E" w14:textId="77777777" w:rsidR="00FD6F91" w:rsidRPr="00847FAE" w:rsidRDefault="00FD6F91" w:rsidP="00FD6F91">
            <w:pPr>
              <w:jc w:val="center"/>
              <w:rPr>
                <w:rFonts w:cs="Calibri"/>
                <w:color w:val="000000"/>
                <w:sz w:val="18"/>
                <w:szCs w:val="18"/>
              </w:rPr>
            </w:pPr>
            <w:r w:rsidRPr="00847FAE">
              <w:rPr>
                <w:rFonts w:cs="Calibri"/>
                <w:color w:val="000000"/>
                <w:sz w:val="18"/>
                <w:szCs w:val="18"/>
              </w:rPr>
              <w:t>7.7%</w:t>
            </w:r>
          </w:p>
        </w:tc>
      </w:tr>
      <w:tr w:rsidR="00FD6F91" w:rsidRPr="00847FAE" w14:paraId="4EC09522" w14:textId="77777777" w:rsidTr="001F1F60">
        <w:trPr>
          <w:cantSplit/>
          <w:trHeight w:val="255"/>
        </w:trPr>
        <w:tc>
          <w:tcPr>
            <w:tcW w:w="3402" w:type="dxa"/>
            <w:tcBorders>
              <w:top w:val="single" w:sz="4" w:space="0" w:color="auto"/>
              <w:left w:val="nil"/>
              <w:bottom w:val="single" w:sz="4" w:space="0" w:color="auto"/>
              <w:right w:val="nil"/>
            </w:tcBorders>
            <w:noWrap/>
            <w:vAlign w:val="center"/>
          </w:tcPr>
          <w:p w14:paraId="5427DCB8" w14:textId="77777777" w:rsidR="00FD6F91" w:rsidRPr="00847FAE" w:rsidRDefault="00FD6F91" w:rsidP="00FD6F91">
            <w:pPr>
              <w:widowControl w:val="0"/>
              <w:rPr>
                <w:rFonts w:cs="Calibri"/>
                <w:i/>
                <w:iCs/>
                <w:color w:val="000000"/>
                <w:sz w:val="18"/>
                <w:szCs w:val="18"/>
              </w:rPr>
            </w:pPr>
            <w:r w:rsidRPr="00847FAE">
              <w:rPr>
                <w:rFonts w:cs="Calibri"/>
                <w:color w:val="000000"/>
                <w:sz w:val="18"/>
                <w:szCs w:val="18"/>
              </w:rPr>
              <w:t>YOUTH JUSTICE COURT</w:t>
            </w:r>
          </w:p>
        </w:tc>
        <w:tc>
          <w:tcPr>
            <w:tcW w:w="879" w:type="dxa"/>
            <w:tcBorders>
              <w:top w:val="single" w:sz="4" w:space="0" w:color="auto"/>
              <w:left w:val="nil"/>
              <w:bottom w:val="single" w:sz="4" w:space="0" w:color="auto"/>
              <w:right w:val="nil"/>
            </w:tcBorders>
            <w:noWrap/>
          </w:tcPr>
          <w:p w14:paraId="184B52C4"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noWrap/>
          </w:tcPr>
          <w:p w14:paraId="1CB2ED77"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noWrap/>
          </w:tcPr>
          <w:p w14:paraId="174CB3EB"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noWrap/>
          </w:tcPr>
          <w:p w14:paraId="749EEEFF"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noWrap/>
          </w:tcPr>
          <w:p w14:paraId="1043A86C"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single" w:sz="4" w:space="0" w:color="auto"/>
              <w:right w:val="nil"/>
            </w:tcBorders>
            <w:noWrap/>
          </w:tcPr>
          <w:p w14:paraId="0EA0ED69" w14:textId="77777777" w:rsidR="00FD6F91" w:rsidRPr="00847FAE" w:rsidRDefault="00FD6F91" w:rsidP="00FD6F91">
            <w:pPr>
              <w:widowControl w:val="0"/>
              <w:jc w:val="center"/>
              <w:rPr>
                <w:sz w:val="18"/>
                <w:szCs w:val="18"/>
              </w:rPr>
            </w:pPr>
          </w:p>
        </w:tc>
      </w:tr>
      <w:tr w:rsidR="00FD6F91" w:rsidRPr="00847FAE" w14:paraId="290DC68B" w14:textId="77777777" w:rsidTr="001F1F60">
        <w:trPr>
          <w:cantSplit/>
          <w:trHeight w:val="255"/>
        </w:trPr>
        <w:tc>
          <w:tcPr>
            <w:tcW w:w="3402" w:type="dxa"/>
            <w:tcBorders>
              <w:top w:val="single" w:sz="4" w:space="0" w:color="auto"/>
              <w:left w:val="nil"/>
              <w:bottom w:val="nil"/>
              <w:right w:val="nil"/>
            </w:tcBorders>
            <w:noWrap/>
          </w:tcPr>
          <w:p w14:paraId="4D2617D6" w14:textId="77777777" w:rsidR="00FD6F91" w:rsidRPr="00847FAE" w:rsidRDefault="00FD6F91" w:rsidP="00FD6F91">
            <w:pPr>
              <w:widowControl w:val="0"/>
              <w:rPr>
                <w:rFonts w:cs="Calibri"/>
                <w:b/>
                <w:color w:val="000000"/>
                <w:sz w:val="18"/>
                <w:szCs w:val="18"/>
              </w:rPr>
            </w:pPr>
            <w:r w:rsidRPr="00847FAE">
              <w:rPr>
                <w:rFonts w:cs="Calibri"/>
                <w:b/>
                <w:iCs/>
                <w:color w:val="000000"/>
                <w:sz w:val="18"/>
                <w:szCs w:val="18"/>
              </w:rPr>
              <w:t>Lodgements</w:t>
            </w:r>
          </w:p>
        </w:tc>
        <w:tc>
          <w:tcPr>
            <w:tcW w:w="879" w:type="dxa"/>
            <w:tcBorders>
              <w:top w:val="single" w:sz="4" w:space="0" w:color="auto"/>
              <w:left w:val="nil"/>
              <w:bottom w:val="nil"/>
              <w:right w:val="nil"/>
            </w:tcBorders>
            <w:noWrap/>
          </w:tcPr>
          <w:p w14:paraId="496D4874"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noWrap/>
          </w:tcPr>
          <w:p w14:paraId="00817092"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noWrap/>
          </w:tcPr>
          <w:p w14:paraId="00C85022"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noWrap/>
          </w:tcPr>
          <w:p w14:paraId="1FB6D995"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noWrap/>
          </w:tcPr>
          <w:p w14:paraId="44C5F511"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nil"/>
              <w:right w:val="nil"/>
            </w:tcBorders>
            <w:noWrap/>
          </w:tcPr>
          <w:p w14:paraId="795766C0" w14:textId="77777777" w:rsidR="00FD6F91" w:rsidRPr="00847FAE" w:rsidRDefault="00FD6F91" w:rsidP="00FD6F91">
            <w:pPr>
              <w:widowControl w:val="0"/>
              <w:jc w:val="center"/>
              <w:rPr>
                <w:sz w:val="18"/>
                <w:szCs w:val="18"/>
              </w:rPr>
            </w:pPr>
          </w:p>
        </w:tc>
      </w:tr>
      <w:tr w:rsidR="00FD6F91" w:rsidRPr="00847FAE" w14:paraId="0BBB8CD5" w14:textId="77777777" w:rsidTr="001F1F60">
        <w:trPr>
          <w:cantSplit/>
          <w:trHeight w:val="255"/>
        </w:trPr>
        <w:tc>
          <w:tcPr>
            <w:tcW w:w="3402" w:type="dxa"/>
            <w:tcBorders>
              <w:top w:val="nil"/>
              <w:left w:val="nil"/>
              <w:bottom w:val="nil"/>
              <w:right w:val="nil"/>
            </w:tcBorders>
            <w:noWrap/>
          </w:tcPr>
          <w:p w14:paraId="10868077"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Criminal complaints</w:t>
            </w:r>
            <w:r w:rsidRPr="00847FAE">
              <w:rPr>
                <w:rFonts w:cs="Calibri"/>
                <w:iCs/>
                <w:color w:val="000000"/>
                <w:sz w:val="18"/>
                <w:szCs w:val="18"/>
                <w:vertAlign w:val="superscript"/>
              </w:rPr>
              <w:t>1</w:t>
            </w:r>
          </w:p>
        </w:tc>
        <w:tc>
          <w:tcPr>
            <w:tcW w:w="879" w:type="dxa"/>
            <w:tcBorders>
              <w:top w:val="nil"/>
              <w:left w:val="nil"/>
              <w:bottom w:val="nil"/>
              <w:right w:val="nil"/>
            </w:tcBorders>
            <w:noWrap/>
            <w:vAlign w:val="center"/>
          </w:tcPr>
          <w:p w14:paraId="12FB1107" w14:textId="77777777" w:rsidR="00FD6F91" w:rsidRPr="00847FAE" w:rsidRDefault="00FD6F91" w:rsidP="00FD6F91">
            <w:pPr>
              <w:jc w:val="center"/>
              <w:rPr>
                <w:rFonts w:cs="Calibri"/>
                <w:color w:val="000000"/>
                <w:sz w:val="18"/>
                <w:szCs w:val="18"/>
              </w:rPr>
            </w:pPr>
            <w:r w:rsidRPr="00847FAE">
              <w:rPr>
                <w:rFonts w:cs="Calibri"/>
                <w:color w:val="000000"/>
                <w:sz w:val="18"/>
                <w:szCs w:val="18"/>
              </w:rPr>
              <w:t>1,305</w:t>
            </w:r>
          </w:p>
        </w:tc>
        <w:tc>
          <w:tcPr>
            <w:tcW w:w="879" w:type="dxa"/>
            <w:tcBorders>
              <w:top w:val="nil"/>
              <w:left w:val="nil"/>
              <w:bottom w:val="nil"/>
              <w:right w:val="nil"/>
            </w:tcBorders>
            <w:noWrap/>
            <w:vAlign w:val="center"/>
          </w:tcPr>
          <w:p w14:paraId="44C8EB12" w14:textId="77777777" w:rsidR="00FD6F91" w:rsidRPr="00847FAE" w:rsidRDefault="00FD6F91" w:rsidP="00FD6F91">
            <w:pPr>
              <w:jc w:val="center"/>
              <w:rPr>
                <w:rFonts w:cs="Calibri"/>
                <w:color w:val="000000"/>
                <w:sz w:val="18"/>
                <w:szCs w:val="18"/>
              </w:rPr>
            </w:pPr>
            <w:r w:rsidRPr="00847FAE">
              <w:rPr>
                <w:rFonts w:cs="Calibri"/>
                <w:color w:val="000000"/>
                <w:sz w:val="18"/>
                <w:szCs w:val="18"/>
              </w:rPr>
              <w:t>1,230</w:t>
            </w:r>
          </w:p>
        </w:tc>
        <w:tc>
          <w:tcPr>
            <w:tcW w:w="879" w:type="dxa"/>
            <w:tcBorders>
              <w:top w:val="nil"/>
              <w:left w:val="nil"/>
              <w:bottom w:val="nil"/>
              <w:right w:val="nil"/>
            </w:tcBorders>
            <w:noWrap/>
            <w:vAlign w:val="center"/>
          </w:tcPr>
          <w:p w14:paraId="6AEEEDD9" w14:textId="77777777" w:rsidR="00FD6F91" w:rsidRPr="00847FAE" w:rsidRDefault="00FD6F91" w:rsidP="00FD6F91">
            <w:pPr>
              <w:jc w:val="center"/>
              <w:rPr>
                <w:rFonts w:cs="Calibri"/>
                <w:color w:val="000000"/>
                <w:sz w:val="18"/>
                <w:szCs w:val="18"/>
              </w:rPr>
            </w:pPr>
            <w:r w:rsidRPr="00847FAE">
              <w:rPr>
                <w:rFonts w:cs="Calibri"/>
                <w:color w:val="000000"/>
                <w:sz w:val="18"/>
                <w:szCs w:val="18"/>
              </w:rPr>
              <w:t>1,109</w:t>
            </w:r>
          </w:p>
        </w:tc>
        <w:tc>
          <w:tcPr>
            <w:tcW w:w="879" w:type="dxa"/>
            <w:tcBorders>
              <w:top w:val="nil"/>
              <w:left w:val="nil"/>
              <w:bottom w:val="nil"/>
              <w:right w:val="nil"/>
            </w:tcBorders>
            <w:noWrap/>
            <w:vAlign w:val="center"/>
          </w:tcPr>
          <w:p w14:paraId="6B2795A4" w14:textId="77777777" w:rsidR="00FD6F91" w:rsidRPr="00847FAE" w:rsidRDefault="00FD6F91" w:rsidP="00FD6F91">
            <w:pPr>
              <w:jc w:val="center"/>
              <w:rPr>
                <w:rFonts w:cs="Calibri"/>
                <w:color w:val="000000"/>
                <w:sz w:val="18"/>
                <w:szCs w:val="18"/>
              </w:rPr>
            </w:pPr>
            <w:r w:rsidRPr="00847FAE">
              <w:rPr>
                <w:rFonts w:cs="Calibri"/>
                <w:color w:val="000000"/>
                <w:sz w:val="18"/>
                <w:szCs w:val="18"/>
              </w:rPr>
              <w:t>1,283</w:t>
            </w:r>
          </w:p>
        </w:tc>
        <w:tc>
          <w:tcPr>
            <w:tcW w:w="879" w:type="dxa"/>
            <w:tcBorders>
              <w:top w:val="nil"/>
              <w:left w:val="nil"/>
              <w:bottom w:val="nil"/>
              <w:right w:val="nil"/>
            </w:tcBorders>
            <w:noWrap/>
            <w:vAlign w:val="center"/>
          </w:tcPr>
          <w:p w14:paraId="68A49F80" w14:textId="77777777" w:rsidR="00FD6F91" w:rsidRPr="00847FAE" w:rsidRDefault="00FD6F91" w:rsidP="00FD6F91">
            <w:pPr>
              <w:jc w:val="center"/>
              <w:rPr>
                <w:rFonts w:cs="Calibri"/>
                <w:color w:val="000000"/>
                <w:sz w:val="18"/>
                <w:szCs w:val="18"/>
              </w:rPr>
            </w:pPr>
            <w:r w:rsidRPr="00847FAE">
              <w:rPr>
                <w:rFonts w:cs="Calibri"/>
                <w:color w:val="000000"/>
                <w:sz w:val="18"/>
                <w:szCs w:val="18"/>
              </w:rPr>
              <w:t>1,370</w:t>
            </w:r>
          </w:p>
        </w:tc>
        <w:tc>
          <w:tcPr>
            <w:tcW w:w="1134" w:type="dxa"/>
            <w:tcBorders>
              <w:top w:val="nil"/>
              <w:left w:val="nil"/>
              <w:bottom w:val="nil"/>
              <w:right w:val="nil"/>
            </w:tcBorders>
            <w:noWrap/>
            <w:vAlign w:val="center"/>
          </w:tcPr>
          <w:p w14:paraId="0E87D323" w14:textId="77777777" w:rsidR="00FD6F91" w:rsidRPr="00847FAE" w:rsidRDefault="00FD6F91" w:rsidP="00FD6F91">
            <w:pPr>
              <w:jc w:val="center"/>
              <w:rPr>
                <w:rFonts w:cs="Calibri"/>
                <w:color w:val="000000"/>
                <w:sz w:val="18"/>
                <w:szCs w:val="18"/>
              </w:rPr>
            </w:pPr>
            <w:r w:rsidRPr="00847FAE">
              <w:rPr>
                <w:rFonts w:cs="Calibri"/>
                <w:color w:val="000000"/>
                <w:sz w:val="18"/>
                <w:szCs w:val="18"/>
              </w:rPr>
              <w:t>6.8%</w:t>
            </w:r>
          </w:p>
        </w:tc>
      </w:tr>
      <w:tr w:rsidR="00FD6F91" w:rsidRPr="00847FAE" w14:paraId="1570579A" w14:textId="77777777" w:rsidTr="001F1F60">
        <w:trPr>
          <w:cantSplit/>
          <w:trHeight w:val="255"/>
        </w:trPr>
        <w:tc>
          <w:tcPr>
            <w:tcW w:w="3402" w:type="dxa"/>
            <w:tcBorders>
              <w:top w:val="nil"/>
              <w:left w:val="nil"/>
              <w:bottom w:val="nil"/>
              <w:right w:val="nil"/>
            </w:tcBorders>
            <w:noWrap/>
          </w:tcPr>
          <w:p w14:paraId="351673D0"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Breaches of orders</w:t>
            </w:r>
            <w:r w:rsidRPr="00847FAE">
              <w:rPr>
                <w:rFonts w:cs="Calibri"/>
                <w:iCs/>
                <w:color w:val="000000"/>
                <w:sz w:val="18"/>
                <w:szCs w:val="18"/>
                <w:vertAlign w:val="superscript"/>
              </w:rPr>
              <w:t>2</w:t>
            </w:r>
          </w:p>
        </w:tc>
        <w:tc>
          <w:tcPr>
            <w:tcW w:w="879" w:type="dxa"/>
            <w:tcBorders>
              <w:top w:val="nil"/>
              <w:left w:val="nil"/>
              <w:bottom w:val="nil"/>
              <w:right w:val="nil"/>
            </w:tcBorders>
            <w:noWrap/>
            <w:vAlign w:val="center"/>
          </w:tcPr>
          <w:p w14:paraId="3965C163" w14:textId="77777777" w:rsidR="00FD6F91" w:rsidRPr="00847FAE" w:rsidRDefault="00FD6F91" w:rsidP="00FD6F91">
            <w:pPr>
              <w:jc w:val="center"/>
              <w:rPr>
                <w:rFonts w:cs="Calibri"/>
                <w:color w:val="000000"/>
                <w:sz w:val="18"/>
                <w:szCs w:val="18"/>
              </w:rPr>
            </w:pPr>
            <w:r w:rsidRPr="00847FAE">
              <w:rPr>
                <w:rFonts w:cs="Calibri"/>
                <w:color w:val="000000"/>
                <w:sz w:val="18"/>
                <w:szCs w:val="18"/>
              </w:rPr>
              <w:t>574</w:t>
            </w:r>
          </w:p>
        </w:tc>
        <w:tc>
          <w:tcPr>
            <w:tcW w:w="879" w:type="dxa"/>
            <w:tcBorders>
              <w:top w:val="nil"/>
              <w:left w:val="nil"/>
              <w:bottom w:val="nil"/>
              <w:right w:val="nil"/>
            </w:tcBorders>
            <w:noWrap/>
            <w:vAlign w:val="center"/>
          </w:tcPr>
          <w:p w14:paraId="0FB8D01B" w14:textId="77777777" w:rsidR="00FD6F91" w:rsidRPr="00847FAE" w:rsidRDefault="00FD6F91" w:rsidP="00FD6F91">
            <w:pPr>
              <w:jc w:val="center"/>
              <w:rPr>
                <w:rFonts w:cs="Calibri"/>
                <w:color w:val="000000"/>
                <w:sz w:val="18"/>
                <w:szCs w:val="18"/>
              </w:rPr>
            </w:pPr>
            <w:r w:rsidRPr="00847FAE">
              <w:rPr>
                <w:rFonts w:cs="Calibri"/>
                <w:color w:val="000000"/>
                <w:sz w:val="18"/>
                <w:szCs w:val="18"/>
              </w:rPr>
              <w:t>237</w:t>
            </w:r>
          </w:p>
        </w:tc>
        <w:tc>
          <w:tcPr>
            <w:tcW w:w="879" w:type="dxa"/>
            <w:tcBorders>
              <w:top w:val="nil"/>
              <w:left w:val="nil"/>
              <w:bottom w:val="nil"/>
              <w:right w:val="nil"/>
            </w:tcBorders>
            <w:noWrap/>
            <w:vAlign w:val="center"/>
          </w:tcPr>
          <w:p w14:paraId="401446D1" w14:textId="77777777" w:rsidR="00FD6F91" w:rsidRPr="00847FAE" w:rsidRDefault="00FD6F91" w:rsidP="00FD6F91">
            <w:pPr>
              <w:jc w:val="center"/>
              <w:rPr>
                <w:rFonts w:cs="Calibri"/>
                <w:color w:val="000000"/>
                <w:sz w:val="18"/>
                <w:szCs w:val="18"/>
              </w:rPr>
            </w:pPr>
            <w:r w:rsidRPr="00847FAE">
              <w:rPr>
                <w:rFonts w:cs="Calibri"/>
                <w:color w:val="000000"/>
                <w:sz w:val="18"/>
                <w:szCs w:val="18"/>
              </w:rPr>
              <w:t>221</w:t>
            </w:r>
          </w:p>
        </w:tc>
        <w:tc>
          <w:tcPr>
            <w:tcW w:w="879" w:type="dxa"/>
            <w:tcBorders>
              <w:top w:val="nil"/>
              <w:left w:val="nil"/>
              <w:bottom w:val="nil"/>
              <w:right w:val="nil"/>
            </w:tcBorders>
            <w:noWrap/>
            <w:vAlign w:val="center"/>
          </w:tcPr>
          <w:p w14:paraId="64EDA3CE" w14:textId="77777777" w:rsidR="00FD6F91" w:rsidRPr="00847FAE" w:rsidRDefault="00FD6F91" w:rsidP="00FD6F91">
            <w:pPr>
              <w:jc w:val="center"/>
              <w:rPr>
                <w:rFonts w:cs="Calibri"/>
                <w:color w:val="000000"/>
                <w:sz w:val="18"/>
                <w:szCs w:val="18"/>
              </w:rPr>
            </w:pPr>
            <w:r w:rsidRPr="00847FAE">
              <w:rPr>
                <w:rFonts w:cs="Calibri"/>
                <w:color w:val="000000"/>
                <w:sz w:val="18"/>
                <w:szCs w:val="18"/>
              </w:rPr>
              <w:t>249</w:t>
            </w:r>
          </w:p>
        </w:tc>
        <w:tc>
          <w:tcPr>
            <w:tcW w:w="879" w:type="dxa"/>
            <w:tcBorders>
              <w:top w:val="nil"/>
              <w:left w:val="nil"/>
              <w:bottom w:val="nil"/>
              <w:right w:val="nil"/>
            </w:tcBorders>
            <w:noWrap/>
            <w:vAlign w:val="center"/>
          </w:tcPr>
          <w:p w14:paraId="0BB1F48C" w14:textId="77777777" w:rsidR="00FD6F91" w:rsidRPr="00847FAE" w:rsidRDefault="00FD6F91" w:rsidP="00FD6F91">
            <w:pPr>
              <w:jc w:val="center"/>
              <w:rPr>
                <w:rFonts w:cs="Calibri"/>
                <w:color w:val="000000"/>
                <w:sz w:val="18"/>
                <w:szCs w:val="18"/>
              </w:rPr>
            </w:pPr>
            <w:r w:rsidRPr="00847FAE">
              <w:rPr>
                <w:rFonts w:cs="Calibri"/>
                <w:color w:val="000000"/>
                <w:sz w:val="18"/>
                <w:szCs w:val="18"/>
              </w:rPr>
              <w:t>199</w:t>
            </w:r>
          </w:p>
        </w:tc>
        <w:tc>
          <w:tcPr>
            <w:tcW w:w="1134" w:type="dxa"/>
            <w:tcBorders>
              <w:top w:val="nil"/>
              <w:left w:val="nil"/>
              <w:bottom w:val="nil"/>
              <w:right w:val="nil"/>
            </w:tcBorders>
            <w:noWrap/>
            <w:vAlign w:val="center"/>
          </w:tcPr>
          <w:p w14:paraId="44FF691D" w14:textId="77777777" w:rsidR="00FD6F91" w:rsidRPr="00847FAE" w:rsidRDefault="00FD6F91" w:rsidP="00FD6F91">
            <w:pPr>
              <w:jc w:val="center"/>
              <w:rPr>
                <w:rFonts w:cs="Calibri"/>
                <w:color w:val="000000"/>
                <w:sz w:val="18"/>
                <w:szCs w:val="18"/>
              </w:rPr>
            </w:pPr>
            <w:r w:rsidRPr="00847FAE">
              <w:rPr>
                <w:rFonts w:cs="Calibri"/>
                <w:color w:val="000000"/>
                <w:sz w:val="18"/>
                <w:szCs w:val="18"/>
              </w:rPr>
              <w:t>-20.1%</w:t>
            </w:r>
          </w:p>
        </w:tc>
      </w:tr>
      <w:tr w:rsidR="00FD6F91" w:rsidRPr="00847FAE" w14:paraId="03824091" w14:textId="77777777" w:rsidTr="001F1F60">
        <w:trPr>
          <w:cantSplit/>
          <w:trHeight w:val="255"/>
        </w:trPr>
        <w:tc>
          <w:tcPr>
            <w:tcW w:w="3402" w:type="dxa"/>
            <w:tcBorders>
              <w:top w:val="nil"/>
              <w:left w:val="nil"/>
              <w:bottom w:val="nil"/>
              <w:right w:val="nil"/>
            </w:tcBorders>
            <w:noWrap/>
          </w:tcPr>
          <w:p w14:paraId="11DD6F29" w14:textId="20C153A3" w:rsidR="00FD6F91" w:rsidRPr="00CD2234"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Applications to grant or vary bail</w:t>
            </w:r>
            <w:r w:rsidR="00CD2234">
              <w:rPr>
                <w:rFonts w:cs="Calibri"/>
                <w:iCs/>
                <w:color w:val="000000"/>
                <w:sz w:val="18"/>
                <w:szCs w:val="18"/>
                <w:vertAlign w:val="superscript"/>
              </w:rPr>
              <w:t>3</w:t>
            </w:r>
          </w:p>
        </w:tc>
        <w:tc>
          <w:tcPr>
            <w:tcW w:w="879" w:type="dxa"/>
            <w:tcBorders>
              <w:top w:val="nil"/>
              <w:left w:val="nil"/>
              <w:bottom w:val="nil"/>
              <w:right w:val="nil"/>
            </w:tcBorders>
            <w:noWrap/>
            <w:vAlign w:val="center"/>
          </w:tcPr>
          <w:p w14:paraId="76FE44EB" w14:textId="77777777" w:rsidR="00FD6F91" w:rsidRPr="00847FAE" w:rsidRDefault="00FD6F91" w:rsidP="00FD6F91">
            <w:pPr>
              <w:jc w:val="center"/>
              <w:rPr>
                <w:rFonts w:cs="Calibri"/>
                <w:color w:val="000000"/>
                <w:sz w:val="18"/>
                <w:szCs w:val="18"/>
              </w:rPr>
            </w:pPr>
            <w:r w:rsidRPr="00847FAE">
              <w:rPr>
                <w:rFonts w:cs="Calibri"/>
                <w:color w:val="000000"/>
                <w:sz w:val="18"/>
                <w:szCs w:val="18"/>
              </w:rPr>
              <w:t>57</w:t>
            </w:r>
          </w:p>
        </w:tc>
        <w:tc>
          <w:tcPr>
            <w:tcW w:w="879" w:type="dxa"/>
            <w:tcBorders>
              <w:top w:val="nil"/>
              <w:left w:val="nil"/>
              <w:bottom w:val="nil"/>
              <w:right w:val="nil"/>
            </w:tcBorders>
            <w:noWrap/>
            <w:vAlign w:val="center"/>
          </w:tcPr>
          <w:p w14:paraId="13A6E116" w14:textId="77777777" w:rsidR="00FD6F91" w:rsidRPr="00847FAE" w:rsidRDefault="00FD6F91" w:rsidP="00FD6F91">
            <w:pPr>
              <w:jc w:val="center"/>
              <w:rPr>
                <w:rFonts w:cs="Calibri"/>
                <w:color w:val="000000"/>
                <w:sz w:val="18"/>
                <w:szCs w:val="18"/>
              </w:rPr>
            </w:pPr>
            <w:r w:rsidRPr="00847FAE">
              <w:rPr>
                <w:rFonts w:cs="Calibri"/>
                <w:color w:val="000000"/>
                <w:sz w:val="18"/>
                <w:szCs w:val="18"/>
              </w:rPr>
              <w:t>30</w:t>
            </w:r>
          </w:p>
        </w:tc>
        <w:tc>
          <w:tcPr>
            <w:tcW w:w="879" w:type="dxa"/>
            <w:tcBorders>
              <w:top w:val="nil"/>
              <w:left w:val="nil"/>
              <w:bottom w:val="nil"/>
              <w:right w:val="nil"/>
            </w:tcBorders>
            <w:noWrap/>
            <w:vAlign w:val="center"/>
          </w:tcPr>
          <w:p w14:paraId="0415CA42" w14:textId="77777777" w:rsidR="00FD6F91" w:rsidRPr="00847FAE" w:rsidRDefault="00FD6F91" w:rsidP="00FD6F91">
            <w:pPr>
              <w:jc w:val="center"/>
              <w:rPr>
                <w:rFonts w:cs="Calibri"/>
                <w:color w:val="000000"/>
                <w:sz w:val="18"/>
                <w:szCs w:val="18"/>
              </w:rPr>
            </w:pPr>
            <w:r w:rsidRPr="00847FAE">
              <w:rPr>
                <w:rFonts w:cs="Calibri"/>
                <w:color w:val="000000"/>
                <w:sz w:val="18"/>
                <w:szCs w:val="18"/>
              </w:rPr>
              <w:t>28</w:t>
            </w:r>
          </w:p>
        </w:tc>
        <w:tc>
          <w:tcPr>
            <w:tcW w:w="879" w:type="dxa"/>
            <w:tcBorders>
              <w:top w:val="nil"/>
              <w:left w:val="nil"/>
              <w:bottom w:val="nil"/>
              <w:right w:val="nil"/>
            </w:tcBorders>
            <w:noWrap/>
            <w:vAlign w:val="center"/>
          </w:tcPr>
          <w:p w14:paraId="52FD0178" w14:textId="77777777" w:rsidR="00FD6F91" w:rsidRPr="00847FAE" w:rsidRDefault="00FD6F91" w:rsidP="00FD6F91">
            <w:pPr>
              <w:jc w:val="center"/>
              <w:rPr>
                <w:rFonts w:cs="Calibri"/>
                <w:color w:val="000000"/>
                <w:sz w:val="18"/>
                <w:szCs w:val="18"/>
              </w:rPr>
            </w:pPr>
            <w:r w:rsidRPr="00847FAE">
              <w:rPr>
                <w:rFonts w:cs="Calibri"/>
                <w:color w:val="000000"/>
                <w:sz w:val="18"/>
                <w:szCs w:val="18"/>
              </w:rPr>
              <w:t>49</w:t>
            </w:r>
          </w:p>
        </w:tc>
        <w:tc>
          <w:tcPr>
            <w:tcW w:w="879" w:type="dxa"/>
            <w:tcBorders>
              <w:top w:val="nil"/>
              <w:left w:val="nil"/>
              <w:bottom w:val="nil"/>
              <w:right w:val="nil"/>
            </w:tcBorders>
            <w:noWrap/>
            <w:vAlign w:val="center"/>
          </w:tcPr>
          <w:p w14:paraId="4F2E3AF9" w14:textId="77777777" w:rsidR="00FD6F91" w:rsidRPr="00847FAE" w:rsidRDefault="00FD6F91" w:rsidP="00FD6F91">
            <w:pPr>
              <w:jc w:val="center"/>
              <w:rPr>
                <w:rFonts w:cs="Calibri"/>
                <w:color w:val="000000"/>
                <w:sz w:val="18"/>
                <w:szCs w:val="18"/>
              </w:rPr>
            </w:pPr>
            <w:r w:rsidRPr="00847FAE">
              <w:rPr>
                <w:rFonts w:cs="Calibri"/>
                <w:color w:val="000000"/>
                <w:sz w:val="18"/>
                <w:szCs w:val="18"/>
              </w:rPr>
              <w:t>55</w:t>
            </w:r>
          </w:p>
        </w:tc>
        <w:tc>
          <w:tcPr>
            <w:tcW w:w="1134" w:type="dxa"/>
            <w:tcBorders>
              <w:top w:val="nil"/>
              <w:left w:val="nil"/>
              <w:bottom w:val="nil"/>
              <w:right w:val="nil"/>
            </w:tcBorders>
            <w:noWrap/>
            <w:vAlign w:val="center"/>
          </w:tcPr>
          <w:p w14:paraId="3B994F41" w14:textId="77777777" w:rsidR="00FD6F91" w:rsidRPr="00847FAE" w:rsidRDefault="00FD6F91" w:rsidP="00FD6F91">
            <w:pPr>
              <w:jc w:val="center"/>
              <w:rPr>
                <w:rFonts w:cs="Calibri"/>
                <w:color w:val="000000"/>
                <w:sz w:val="18"/>
                <w:szCs w:val="18"/>
              </w:rPr>
            </w:pPr>
            <w:r w:rsidRPr="00847FAE">
              <w:rPr>
                <w:rFonts w:cs="Calibri"/>
                <w:color w:val="000000"/>
                <w:sz w:val="18"/>
                <w:szCs w:val="18"/>
              </w:rPr>
              <w:t>12.2%</w:t>
            </w:r>
          </w:p>
        </w:tc>
      </w:tr>
      <w:tr w:rsidR="00FD6F91" w:rsidRPr="00847FAE" w14:paraId="703AFA10" w14:textId="77777777" w:rsidTr="001F1F60">
        <w:trPr>
          <w:cantSplit/>
          <w:trHeight w:val="255"/>
        </w:trPr>
        <w:tc>
          <w:tcPr>
            <w:tcW w:w="3402" w:type="dxa"/>
            <w:tcBorders>
              <w:top w:val="nil"/>
              <w:left w:val="nil"/>
              <w:bottom w:val="nil"/>
              <w:right w:val="nil"/>
            </w:tcBorders>
            <w:noWrap/>
          </w:tcPr>
          <w:p w14:paraId="36F3A6E2" w14:textId="7885B419" w:rsidR="00FD6F91" w:rsidRPr="00CD2234"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Applications for restricted driver licence</w:t>
            </w:r>
            <w:r w:rsidR="00CD2234">
              <w:rPr>
                <w:rFonts w:cs="Calibri"/>
                <w:iCs/>
                <w:color w:val="000000"/>
                <w:sz w:val="18"/>
                <w:szCs w:val="18"/>
                <w:vertAlign w:val="superscript"/>
              </w:rPr>
              <w:t>4</w:t>
            </w:r>
          </w:p>
        </w:tc>
        <w:tc>
          <w:tcPr>
            <w:tcW w:w="879" w:type="dxa"/>
            <w:tcBorders>
              <w:top w:val="nil"/>
              <w:left w:val="nil"/>
              <w:bottom w:val="nil"/>
              <w:right w:val="nil"/>
            </w:tcBorders>
            <w:noWrap/>
            <w:vAlign w:val="center"/>
          </w:tcPr>
          <w:p w14:paraId="3C560C63"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879" w:type="dxa"/>
            <w:tcBorders>
              <w:top w:val="nil"/>
              <w:left w:val="nil"/>
              <w:bottom w:val="nil"/>
              <w:right w:val="nil"/>
            </w:tcBorders>
            <w:noWrap/>
            <w:vAlign w:val="center"/>
          </w:tcPr>
          <w:p w14:paraId="4C25F51A" w14:textId="77777777" w:rsidR="00FD6F91" w:rsidRPr="00847FAE" w:rsidRDefault="00FD6F91" w:rsidP="00FD6F91">
            <w:pPr>
              <w:jc w:val="center"/>
              <w:rPr>
                <w:rFonts w:cs="Calibri"/>
                <w:color w:val="000000"/>
                <w:sz w:val="18"/>
                <w:szCs w:val="18"/>
              </w:rPr>
            </w:pPr>
            <w:r w:rsidRPr="00847FAE">
              <w:rPr>
                <w:rFonts w:cs="Calibri"/>
                <w:color w:val="000000"/>
                <w:sz w:val="18"/>
                <w:szCs w:val="18"/>
              </w:rPr>
              <w:t>-</w:t>
            </w:r>
          </w:p>
        </w:tc>
        <w:tc>
          <w:tcPr>
            <w:tcW w:w="879" w:type="dxa"/>
            <w:tcBorders>
              <w:top w:val="nil"/>
              <w:left w:val="nil"/>
              <w:bottom w:val="nil"/>
              <w:right w:val="nil"/>
            </w:tcBorders>
            <w:noWrap/>
            <w:vAlign w:val="center"/>
          </w:tcPr>
          <w:p w14:paraId="6738B6B1" w14:textId="77777777" w:rsidR="00FD6F91" w:rsidRPr="00847FAE" w:rsidRDefault="00FD6F91" w:rsidP="00FD6F91">
            <w:pPr>
              <w:jc w:val="center"/>
              <w:rPr>
                <w:rFonts w:cs="Calibri"/>
                <w:color w:val="000000"/>
                <w:sz w:val="18"/>
                <w:szCs w:val="18"/>
              </w:rPr>
            </w:pPr>
            <w:r w:rsidRPr="00847FAE">
              <w:rPr>
                <w:rFonts w:cs="Calibri"/>
                <w:color w:val="000000"/>
                <w:sz w:val="18"/>
                <w:szCs w:val="18"/>
              </w:rPr>
              <w:t>-</w:t>
            </w:r>
          </w:p>
        </w:tc>
        <w:tc>
          <w:tcPr>
            <w:tcW w:w="879" w:type="dxa"/>
            <w:tcBorders>
              <w:top w:val="nil"/>
              <w:left w:val="nil"/>
              <w:bottom w:val="nil"/>
              <w:right w:val="nil"/>
            </w:tcBorders>
            <w:noWrap/>
            <w:vAlign w:val="center"/>
          </w:tcPr>
          <w:p w14:paraId="05C592C0" w14:textId="77777777" w:rsidR="00FD6F91" w:rsidRPr="00847FAE" w:rsidRDefault="00FD6F91" w:rsidP="00FD6F91">
            <w:pPr>
              <w:jc w:val="center"/>
              <w:rPr>
                <w:rFonts w:cs="Calibri"/>
                <w:color w:val="000000"/>
                <w:sz w:val="18"/>
                <w:szCs w:val="18"/>
              </w:rPr>
            </w:pPr>
            <w:r w:rsidRPr="00847FAE">
              <w:rPr>
                <w:rFonts w:cs="Calibri"/>
                <w:color w:val="000000"/>
                <w:sz w:val="18"/>
                <w:szCs w:val="18"/>
              </w:rPr>
              <w:t>2</w:t>
            </w:r>
          </w:p>
        </w:tc>
        <w:tc>
          <w:tcPr>
            <w:tcW w:w="879" w:type="dxa"/>
            <w:tcBorders>
              <w:top w:val="nil"/>
              <w:left w:val="nil"/>
              <w:bottom w:val="nil"/>
              <w:right w:val="nil"/>
            </w:tcBorders>
            <w:noWrap/>
            <w:vAlign w:val="center"/>
          </w:tcPr>
          <w:p w14:paraId="079B7930"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1134" w:type="dxa"/>
            <w:tcBorders>
              <w:top w:val="nil"/>
              <w:left w:val="nil"/>
              <w:bottom w:val="nil"/>
              <w:right w:val="nil"/>
            </w:tcBorders>
            <w:noWrap/>
            <w:vAlign w:val="center"/>
          </w:tcPr>
          <w:p w14:paraId="7284EB12" w14:textId="77777777" w:rsidR="00FD6F91" w:rsidRPr="00847FAE" w:rsidRDefault="00FD6F91" w:rsidP="00FD6F91">
            <w:pPr>
              <w:jc w:val="center"/>
              <w:rPr>
                <w:rFonts w:cs="Calibri"/>
                <w:color w:val="000000"/>
                <w:sz w:val="18"/>
                <w:szCs w:val="18"/>
              </w:rPr>
            </w:pPr>
            <w:r w:rsidRPr="00847FAE">
              <w:rPr>
                <w:rFonts w:cs="Calibri"/>
                <w:color w:val="000000"/>
                <w:sz w:val="18"/>
                <w:szCs w:val="18"/>
              </w:rPr>
              <w:t>-50.0%</w:t>
            </w:r>
          </w:p>
        </w:tc>
      </w:tr>
      <w:tr w:rsidR="00FD6F91" w:rsidRPr="00847FAE" w14:paraId="3AB001E1" w14:textId="77777777" w:rsidTr="001F1F60">
        <w:trPr>
          <w:cantSplit/>
          <w:trHeight w:val="255"/>
        </w:trPr>
        <w:tc>
          <w:tcPr>
            <w:tcW w:w="3402" w:type="dxa"/>
            <w:tcBorders>
              <w:top w:val="nil"/>
              <w:left w:val="nil"/>
              <w:bottom w:val="nil"/>
              <w:right w:val="nil"/>
            </w:tcBorders>
            <w:noWrap/>
          </w:tcPr>
          <w:p w14:paraId="219820A4" w14:textId="544BC4BB" w:rsidR="00FD6F91" w:rsidRPr="00CD2234"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Other applications</w:t>
            </w:r>
            <w:r w:rsidR="00CD2234">
              <w:rPr>
                <w:rFonts w:cs="Calibri"/>
                <w:iCs/>
                <w:color w:val="000000"/>
                <w:sz w:val="18"/>
                <w:szCs w:val="18"/>
                <w:vertAlign w:val="superscript"/>
              </w:rPr>
              <w:t>5</w:t>
            </w:r>
          </w:p>
        </w:tc>
        <w:tc>
          <w:tcPr>
            <w:tcW w:w="879" w:type="dxa"/>
            <w:tcBorders>
              <w:top w:val="nil"/>
              <w:left w:val="nil"/>
              <w:bottom w:val="nil"/>
              <w:right w:val="nil"/>
            </w:tcBorders>
            <w:noWrap/>
            <w:vAlign w:val="center"/>
          </w:tcPr>
          <w:p w14:paraId="6428EB8C" w14:textId="77777777" w:rsidR="00FD6F91" w:rsidRPr="00847FAE" w:rsidRDefault="00FD6F91" w:rsidP="00FD6F91">
            <w:pPr>
              <w:jc w:val="center"/>
              <w:rPr>
                <w:rFonts w:cs="Calibri"/>
                <w:color w:val="000000"/>
                <w:sz w:val="18"/>
                <w:szCs w:val="18"/>
              </w:rPr>
            </w:pPr>
            <w:r w:rsidRPr="00847FAE">
              <w:rPr>
                <w:rFonts w:cs="Calibri"/>
                <w:color w:val="000000"/>
                <w:sz w:val="18"/>
                <w:szCs w:val="18"/>
              </w:rPr>
              <w:t>76</w:t>
            </w:r>
          </w:p>
        </w:tc>
        <w:tc>
          <w:tcPr>
            <w:tcW w:w="879" w:type="dxa"/>
            <w:tcBorders>
              <w:top w:val="nil"/>
              <w:left w:val="nil"/>
              <w:bottom w:val="nil"/>
              <w:right w:val="nil"/>
            </w:tcBorders>
            <w:noWrap/>
            <w:vAlign w:val="center"/>
          </w:tcPr>
          <w:p w14:paraId="10E14E00" w14:textId="77777777" w:rsidR="00FD6F91" w:rsidRPr="00847FAE" w:rsidRDefault="00FD6F91" w:rsidP="00FD6F91">
            <w:pPr>
              <w:jc w:val="center"/>
              <w:rPr>
                <w:rFonts w:cs="Calibri"/>
                <w:color w:val="000000"/>
                <w:sz w:val="18"/>
                <w:szCs w:val="18"/>
              </w:rPr>
            </w:pPr>
            <w:r w:rsidRPr="00847FAE">
              <w:rPr>
                <w:rFonts w:cs="Calibri"/>
                <w:color w:val="000000"/>
                <w:sz w:val="18"/>
                <w:szCs w:val="18"/>
              </w:rPr>
              <w:t>61</w:t>
            </w:r>
          </w:p>
        </w:tc>
        <w:tc>
          <w:tcPr>
            <w:tcW w:w="879" w:type="dxa"/>
            <w:tcBorders>
              <w:top w:val="nil"/>
              <w:left w:val="nil"/>
              <w:bottom w:val="nil"/>
              <w:right w:val="nil"/>
            </w:tcBorders>
            <w:noWrap/>
            <w:vAlign w:val="center"/>
          </w:tcPr>
          <w:p w14:paraId="2E7A1E4F" w14:textId="77777777" w:rsidR="00FD6F91" w:rsidRPr="00847FAE" w:rsidRDefault="00FD6F91" w:rsidP="00FD6F91">
            <w:pPr>
              <w:jc w:val="center"/>
              <w:rPr>
                <w:rFonts w:cs="Calibri"/>
                <w:color w:val="000000"/>
                <w:sz w:val="18"/>
                <w:szCs w:val="18"/>
              </w:rPr>
            </w:pPr>
            <w:r w:rsidRPr="00847FAE">
              <w:rPr>
                <w:rFonts w:cs="Calibri"/>
                <w:color w:val="000000"/>
                <w:sz w:val="18"/>
                <w:szCs w:val="18"/>
              </w:rPr>
              <w:t>61</w:t>
            </w:r>
          </w:p>
        </w:tc>
        <w:tc>
          <w:tcPr>
            <w:tcW w:w="879" w:type="dxa"/>
            <w:tcBorders>
              <w:top w:val="nil"/>
              <w:left w:val="nil"/>
              <w:bottom w:val="nil"/>
              <w:right w:val="nil"/>
            </w:tcBorders>
            <w:noWrap/>
            <w:vAlign w:val="center"/>
          </w:tcPr>
          <w:p w14:paraId="1DE97B0B" w14:textId="77777777" w:rsidR="00FD6F91" w:rsidRPr="00847FAE" w:rsidRDefault="00FD6F91" w:rsidP="00FD6F91">
            <w:pPr>
              <w:jc w:val="center"/>
              <w:rPr>
                <w:rFonts w:cs="Calibri"/>
                <w:color w:val="000000"/>
                <w:sz w:val="18"/>
                <w:szCs w:val="18"/>
              </w:rPr>
            </w:pPr>
            <w:r w:rsidRPr="00847FAE">
              <w:rPr>
                <w:rFonts w:cs="Calibri"/>
                <w:color w:val="000000"/>
                <w:sz w:val="18"/>
                <w:szCs w:val="18"/>
              </w:rPr>
              <w:t>47</w:t>
            </w:r>
          </w:p>
        </w:tc>
        <w:tc>
          <w:tcPr>
            <w:tcW w:w="879" w:type="dxa"/>
            <w:tcBorders>
              <w:top w:val="nil"/>
              <w:left w:val="nil"/>
              <w:bottom w:val="nil"/>
              <w:right w:val="nil"/>
            </w:tcBorders>
            <w:noWrap/>
            <w:vAlign w:val="center"/>
          </w:tcPr>
          <w:p w14:paraId="21220D45" w14:textId="77777777" w:rsidR="00FD6F91" w:rsidRPr="00847FAE" w:rsidRDefault="00FD6F91" w:rsidP="00FD6F91">
            <w:pPr>
              <w:jc w:val="center"/>
              <w:rPr>
                <w:rFonts w:cs="Calibri"/>
                <w:color w:val="000000"/>
                <w:sz w:val="18"/>
                <w:szCs w:val="18"/>
              </w:rPr>
            </w:pPr>
            <w:r w:rsidRPr="00847FAE">
              <w:rPr>
                <w:rFonts w:cs="Calibri"/>
                <w:color w:val="000000"/>
                <w:sz w:val="18"/>
                <w:szCs w:val="18"/>
              </w:rPr>
              <w:t>60</w:t>
            </w:r>
          </w:p>
        </w:tc>
        <w:tc>
          <w:tcPr>
            <w:tcW w:w="1134" w:type="dxa"/>
            <w:tcBorders>
              <w:top w:val="nil"/>
              <w:left w:val="nil"/>
              <w:bottom w:val="nil"/>
              <w:right w:val="nil"/>
            </w:tcBorders>
            <w:noWrap/>
            <w:vAlign w:val="center"/>
          </w:tcPr>
          <w:p w14:paraId="3263D35A" w14:textId="77777777" w:rsidR="00FD6F91" w:rsidRPr="00847FAE" w:rsidRDefault="00FD6F91" w:rsidP="00FD6F91">
            <w:pPr>
              <w:jc w:val="center"/>
              <w:rPr>
                <w:rFonts w:cs="Calibri"/>
                <w:color w:val="000000"/>
                <w:sz w:val="18"/>
                <w:szCs w:val="18"/>
              </w:rPr>
            </w:pPr>
            <w:r w:rsidRPr="00847FAE">
              <w:rPr>
                <w:rFonts w:cs="Calibri"/>
                <w:color w:val="000000"/>
                <w:sz w:val="18"/>
                <w:szCs w:val="18"/>
              </w:rPr>
              <w:t>27.7%</w:t>
            </w:r>
          </w:p>
        </w:tc>
      </w:tr>
      <w:tr w:rsidR="00FD6F91" w:rsidRPr="00847FAE" w14:paraId="1554BFBB" w14:textId="77777777" w:rsidTr="001F1F60">
        <w:trPr>
          <w:cantSplit/>
          <w:trHeight w:val="255"/>
        </w:trPr>
        <w:tc>
          <w:tcPr>
            <w:tcW w:w="3402" w:type="dxa"/>
            <w:tcBorders>
              <w:top w:val="nil"/>
              <w:left w:val="nil"/>
              <w:bottom w:val="nil"/>
              <w:right w:val="nil"/>
            </w:tcBorders>
            <w:noWrap/>
          </w:tcPr>
          <w:p w14:paraId="0D44FAF2" w14:textId="77777777" w:rsidR="00FD6F91" w:rsidRPr="00847FAE" w:rsidRDefault="00FD6F91" w:rsidP="00FD6F91">
            <w:pPr>
              <w:widowControl w:val="0"/>
              <w:rPr>
                <w:rFonts w:cs="Calibri"/>
                <w:b/>
                <w:iCs/>
                <w:color w:val="000000"/>
                <w:sz w:val="18"/>
                <w:szCs w:val="18"/>
              </w:rPr>
            </w:pPr>
            <w:r w:rsidRPr="00847FAE">
              <w:rPr>
                <w:rFonts w:cs="Calibri"/>
                <w:b/>
                <w:iCs/>
                <w:color w:val="000000"/>
                <w:sz w:val="18"/>
                <w:szCs w:val="18"/>
              </w:rPr>
              <w:t>Finalisations</w:t>
            </w:r>
          </w:p>
        </w:tc>
        <w:tc>
          <w:tcPr>
            <w:tcW w:w="879" w:type="dxa"/>
            <w:tcBorders>
              <w:top w:val="nil"/>
              <w:left w:val="nil"/>
              <w:bottom w:val="nil"/>
              <w:right w:val="nil"/>
            </w:tcBorders>
            <w:noWrap/>
          </w:tcPr>
          <w:p w14:paraId="2A5BC01A"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noWrap/>
          </w:tcPr>
          <w:p w14:paraId="1CE5630A"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noWrap/>
          </w:tcPr>
          <w:p w14:paraId="271535F3"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noWrap/>
          </w:tcPr>
          <w:p w14:paraId="73C37168"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noWrap/>
          </w:tcPr>
          <w:p w14:paraId="2BE2A396" w14:textId="77777777" w:rsidR="00FD6F91" w:rsidRPr="00847FAE" w:rsidRDefault="00FD6F91" w:rsidP="00FD6F91">
            <w:pPr>
              <w:widowControl w:val="0"/>
              <w:jc w:val="right"/>
              <w:rPr>
                <w:sz w:val="18"/>
                <w:szCs w:val="18"/>
              </w:rPr>
            </w:pPr>
          </w:p>
        </w:tc>
        <w:tc>
          <w:tcPr>
            <w:tcW w:w="1134" w:type="dxa"/>
            <w:tcBorders>
              <w:top w:val="nil"/>
              <w:left w:val="nil"/>
              <w:bottom w:val="nil"/>
              <w:right w:val="nil"/>
            </w:tcBorders>
            <w:noWrap/>
          </w:tcPr>
          <w:p w14:paraId="30AA6E43" w14:textId="77777777" w:rsidR="00FD6F91" w:rsidRPr="00847FAE" w:rsidRDefault="00FD6F91" w:rsidP="00FD6F91">
            <w:pPr>
              <w:widowControl w:val="0"/>
              <w:jc w:val="center"/>
              <w:rPr>
                <w:sz w:val="18"/>
                <w:szCs w:val="18"/>
              </w:rPr>
            </w:pPr>
          </w:p>
        </w:tc>
      </w:tr>
      <w:tr w:rsidR="00FD6F91" w:rsidRPr="00847FAE" w14:paraId="4AFC8D33" w14:textId="77777777" w:rsidTr="001F1F60">
        <w:trPr>
          <w:cantSplit/>
          <w:trHeight w:val="255"/>
        </w:trPr>
        <w:tc>
          <w:tcPr>
            <w:tcW w:w="3402" w:type="dxa"/>
            <w:tcBorders>
              <w:top w:val="nil"/>
              <w:left w:val="nil"/>
              <w:bottom w:val="nil"/>
              <w:right w:val="nil"/>
            </w:tcBorders>
            <w:noWrap/>
          </w:tcPr>
          <w:p w14:paraId="6F4C3608"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Criminal complaints</w:t>
            </w:r>
            <w:r w:rsidRPr="00847FAE">
              <w:rPr>
                <w:rFonts w:cs="Calibri"/>
                <w:iCs/>
                <w:color w:val="000000"/>
                <w:sz w:val="18"/>
                <w:szCs w:val="18"/>
                <w:vertAlign w:val="superscript"/>
              </w:rPr>
              <w:t>1</w:t>
            </w:r>
          </w:p>
        </w:tc>
        <w:tc>
          <w:tcPr>
            <w:tcW w:w="879" w:type="dxa"/>
            <w:tcBorders>
              <w:top w:val="nil"/>
              <w:left w:val="nil"/>
              <w:bottom w:val="nil"/>
              <w:right w:val="nil"/>
            </w:tcBorders>
            <w:noWrap/>
            <w:vAlign w:val="center"/>
          </w:tcPr>
          <w:p w14:paraId="59C1CD96" w14:textId="77777777" w:rsidR="00FD6F91" w:rsidRPr="00847FAE" w:rsidRDefault="00FD6F91" w:rsidP="00FD6F91">
            <w:pPr>
              <w:jc w:val="center"/>
              <w:rPr>
                <w:rFonts w:cs="Calibri"/>
                <w:color w:val="000000"/>
                <w:sz w:val="18"/>
                <w:szCs w:val="18"/>
              </w:rPr>
            </w:pPr>
            <w:r w:rsidRPr="00847FAE">
              <w:rPr>
                <w:rFonts w:cs="Calibri"/>
                <w:color w:val="000000"/>
                <w:sz w:val="18"/>
                <w:szCs w:val="18"/>
              </w:rPr>
              <w:t>1,321</w:t>
            </w:r>
          </w:p>
        </w:tc>
        <w:tc>
          <w:tcPr>
            <w:tcW w:w="879" w:type="dxa"/>
            <w:tcBorders>
              <w:top w:val="nil"/>
              <w:left w:val="nil"/>
              <w:bottom w:val="nil"/>
              <w:right w:val="nil"/>
            </w:tcBorders>
            <w:noWrap/>
            <w:vAlign w:val="center"/>
          </w:tcPr>
          <w:p w14:paraId="7AF8D6EB" w14:textId="77777777" w:rsidR="00FD6F91" w:rsidRPr="00847FAE" w:rsidRDefault="00FD6F91" w:rsidP="00FD6F91">
            <w:pPr>
              <w:jc w:val="center"/>
              <w:rPr>
                <w:rFonts w:cs="Calibri"/>
                <w:color w:val="000000"/>
                <w:sz w:val="18"/>
                <w:szCs w:val="18"/>
              </w:rPr>
            </w:pPr>
            <w:r w:rsidRPr="00847FAE">
              <w:rPr>
                <w:rFonts w:cs="Calibri"/>
                <w:color w:val="000000"/>
                <w:sz w:val="18"/>
                <w:szCs w:val="18"/>
              </w:rPr>
              <w:t>1,217</w:t>
            </w:r>
          </w:p>
        </w:tc>
        <w:tc>
          <w:tcPr>
            <w:tcW w:w="879" w:type="dxa"/>
            <w:tcBorders>
              <w:top w:val="nil"/>
              <w:left w:val="nil"/>
              <w:bottom w:val="nil"/>
              <w:right w:val="nil"/>
            </w:tcBorders>
            <w:noWrap/>
            <w:vAlign w:val="center"/>
          </w:tcPr>
          <w:p w14:paraId="3759F6FF" w14:textId="77777777" w:rsidR="00FD6F91" w:rsidRPr="00847FAE" w:rsidRDefault="00FD6F91" w:rsidP="00FD6F91">
            <w:pPr>
              <w:jc w:val="center"/>
              <w:rPr>
                <w:rFonts w:cs="Calibri"/>
                <w:color w:val="000000"/>
                <w:sz w:val="18"/>
                <w:szCs w:val="18"/>
              </w:rPr>
            </w:pPr>
            <w:r w:rsidRPr="00847FAE">
              <w:rPr>
                <w:rFonts w:cs="Calibri"/>
                <w:color w:val="000000"/>
                <w:sz w:val="18"/>
                <w:szCs w:val="18"/>
              </w:rPr>
              <w:t>1,150</w:t>
            </w:r>
          </w:p>
        </w:tc>
        <w:tc>
          <w:tcPr>
            <w:tcW w:w="879" w:type="dxa"/>
            <w:tcBorders>
              <w:top w:val="nil"/>
              <w:left w:val="nil"/>
              <w:bottom w:val="nil"/>
              <w:right w:val="nil"/>
            </w:tcBorders>
            <w:noWrap/>
            <w:vAlign w:val="center"/>
          </w:tcPr>
          <w:p w14:paraId="116577C5" w14:textId="77777777" w:rsidR="00FD6F91" w:rsidRPr="00847FAE" w:rsidRDefault="00FD6F91" w:rsidP="00FD6F91">
            <w:pPr>
              <w:jc w:val="center"/>
              <w:rPr>
                <w:rFonts w:cs="Calibri"/>
                <w:color w:val="000000"/>
                <w:sz w:val="18"/>
                <w:szCs w:val="18"/>
              </w:rPr>
            </w:pPr>
            <w:r w:rsidRPr="00847FAE">
              <w:rPr>
                <w:rFonts w:cs="Calibri"/>
                <w:color w:val="000000"/>
                <w:sz w:val="18"/>
                <w:szCs w:val="18"/>
              </w:rPr>
              <w:t>1,110</w:t>
            </w:r>
          </w:p>
        </w:tc>
        <w:tc>
          <w:tcPr>
            <w:tcW w:w="879" w:type="dxa"/>
            <w:tcBorders>
              <w:top w:val="nil"/>
              <w:left w:val="nil"/>
              <w:bottom w:val="nil"/>
              <w:right w:val="nil"/>
            </w:tcBorders>
            <w:noWrap/>
            <w:vAlign w:val="center"/>
          </w:tcPr>
          <w:p w14:paraId="7CB07FF4" w14:textId="77777777" w:rsidR="00FD6F91" w:rsidRPr="00847FAE" w:rsidRDefault="00FD6F91" w:rsidP="00FD6F91">
            <w:pPr>
              <w:jc w:val="center"/>
              <w:rPr>
                <w:rFonts w:cs="Calibri"/>
                <w:color w:val="000000"/>
                <w:sz w:val="18"/>
                <w:szCs w:val="18"/>
              </w:rPr>
            </w:pPr>
            <w:r w:rsidRPr="00847FAE">
              <w:rPr>
                <w:rFonts w:cs="Calibri"/>
                <w:color w:val="000000"/>
                <w:sz w:val="18"/>
                <w:szCs w:val="18"/>
              </w:rPr>
              <w:t>1,347</w:t>
            </w:r>
          </w:p>
        </w:tc>
        <w:tc>
          <w:tcPr>
            <w:tcW w:w="1134" w:type="dxa"/>
            <w:tcBorders>
              <w:top w:val="nil"/>
              <w:left w:val="nil"/>
              <w:bottom w:val="nil"/>
              <w:right w:val="nil"/>
            </w:tcBorders>
            <w:noWrap/>
            <w:vAlign w:val="center"/>
          </w:tcPr>
          <w:p w14:paraId="1A29A71C" w14:textId="77777777" w:rsidR="00FD6F91" w:rsidRPr="00847FAE" w:rsidRDefault="00FD6F91" w:rsidP="00FD6F91">
            <w:pPr>
              <w:jc w:val="center"/>
              <w:rPr>
                <w:rFonts w:cs="Calibri"/>
                <w:color w:val="000000"/>
                <w:sz w:val="18"/>
                <w:szCs w:val="18"/>
              </w:rPr>
            </w:pPr>
            <w:r w:rsidRPr="00847FAE">
              <w:rPr>
                <w:rFonts w:cs="Calibri"/>
                <w:color w:val="000000"/>
                <w:sz w:val="18"/>
                <w:szCs w:val="18"/>
              </w:rPr>
              <w:t>21.4%</w:t>
            </w:r>
          </w:p>
        </w:tc>
      </w:tr>
      <w:tr w:rsidR="00FD6F91" w:rsidRPr="00847FAE" w14:paraId="33F28220" w14:textId="77777777" w:rsidTr="001F1F60">
        <w:trPr>
          <w:cantSplit/>
          <w:trHeight w:val="255"/>
        </w:trPr>
        <w:tc>
          <w:tcPr>
            <w:tcW w:w="3402" w:type="dxa"/>
            <w:tcBorders>
              <w:top w:val="nil"/>
              <w:left w:val="nil"/>
              <w:bottom w:val="nil"/>
              <w:right w:val="nil"/>
            </w:tcBorders>
            <w:noWrap/>
          </w:tcPr>
          <w:p w14:paraId="55C1C7ED" w14:textId="031C5F9B" w:rsidR="00FD6F91" w:rsidRPr="00847FAE" w:rsidRDefault="00FD6F91" w:rsidP="00FD6F91">
            <w:pPr>
              <w:widowControl w:val="0"/>
              <w:rPr>
                <w:rFonts w:cs="Calibri"/>
                <w:i/>
                <w:iCs/>
                <w:color w:val="000000"/>
                <w:sz w:val="18"/>
                <w:szCs w:val="18"/>
              </w:rPr>
            </w:pPr>
            <w:r w:rsidRPr="00847FAE">
              <w:rPr>
                <w:rFonts w:cs="Calibri"/>
                <w:i/>
                <w:iCs/>
                <w:color w:val="000000"/>
                <w:sz w:val="18"/>
                <w:szCs w:val="18"/>
              </w:rPr>
              <w:t>Committal Proceedings</w:t>
            </w:r>
          </w:p>
        </w:tc>
        <w:tc>
          <w:tcPr>
            <w:tcW w:w="879" w:type="dxa"/>
            <w:tcBorders>
              <w:top w:val="nil"/>
              <w:left w:val="nil"/>
              <w:bottom w:val="nil"/>
              <w:right w:val="nil"/>
            </w:tcBorders>
            <w:noWrap/>
            <w:vAlign w:val="center"/>
          </w:tcPr>
          <w:p w14:paraId="061FA63E" w14:textId="77777777" w:rsidR="00FD6F91" w:rsidRPr="00847FAE" w:rsidRDefault="00FD6F91" w:rsidP="00FD6F91">
            <w:pPr>
              <w:jc w:val="center"/>
              <w:rPr>
                <w:rFonts w:cs="Calibri"/>
                <w:color w:val="000000"/>
                <w:sz w:val="18"/>
                <w:szCs w:val="18"/>
              </w:rPr>
            </w:pPr>
            <w:r w:rsidRPr="00847FAE">
              <w:rPr>
                <w:rFonts w:cs="Calibri"/>
                <w:color w:val="000000"/>
                <w:sz w:val="18"/>
                <w:szCs w:val="18"/>
              </w:rPr>
              <w:t>6</w:t>
            </w:r>
          </w:p>
        </w:tc>
        <w:tc>
          <w:tcPr>
            <w:tcW w:w="879" w:type="dxa"/>
            <w:tcBorders>
              <w:top w:val="nil"/>
              <w:left w:val="nil"/>
              <w:bottom w:val="nil"/>
              <w:right w:val="nil"/>
            </w:tcBorders>
            <w:noWrap/>
            <w:vAlign w:val="center"/>
          </w:tcPr>
          <w:p w14:paraId="07395585" w14:textId="77777777" w:rsidR="00FD6F91" w:rsidRPr="00847FAE" w:rsidRDefault="00FD6F91" w:rsidP="00FD6F91">
            <w:pPr>
              <w:jc w:val="center"/>
              <w:rPr>
                <w:rFonts w:cs="Calibri"/>
                <w:color w:val="000000"/>
                <w:sz w:val="18"/>
                <w:szCs w:val="18"/>
              </w:rPr>
            </w:pPr>
            <w:r w:rsidRPr="00847FAE">
              <w:rPr>
                <w:rFonts w:cs="Calibri"/>
                <w:color w:val="000000"/>
                <w:sz w:val="18"/>
                <w:szCs w:val="18"/>
              </w:rPr>
              <w:t>8</w:t>
            </w:r>
          </w:p>
        </w:tc>
        <w:tc>
          <w:tcPr>
            <w:tcW w:w="879" w:type="dxa"/>
            <w:tcBorders>
              <w:top w:val="nil"/>
              <w:left w:val="nil"/>
              <w:bottom w:val="nil"/>
              <w:right w:val="nil"/>
            </w:tcBorders>
            <w:noWrap/>
            <w:vAlign w:val="center"/>
          </w:tcPr>
          <w:p w14:paraId="3D927D3F" w14:textId="77777777" w:rsidR="00FD6F91" w:rsidRPr="00847FAE" w:rsidRDefault="00FD6F91" w:rsidP="00FD6F91">
            <w:pPr>
              <w:jc w:val="center"/>
              <w:rPr>
                <w:rFonts w:cs="Calibri"/>
                <w:color w:val="000000"/>
                <w:sz w:val="18"/>
                <w:szCs w:val="18"/>
              </w:rPr>
            </w:pPr>
            <w:r w:rsidRPr="00847FAE">
              <w:rPr>
                <w:rFonts w:cs="Calibri"/>
                <w:color w:val="000000"/>
                <w:sz w:val="18"/>
                <w:szCs w:val="18"/>
              </w:rPr>
              <w:t>5</w:t>
            </w:r>
          </w:p>
        </w:tc>
        <w:tc>
          <w:tcPr>
            <w:tcW w:w="879" w:type="dxa"/>
            <w:tcBorders>
              <w:top w:val="nil"/>
              <w:left w:val="nil"/>
              <w:bottom w:val="nil"/>
              <w:right w:val="nil"/>
            </w:tcBorders>
            <w:noWrap/>
            <w:vAlign w:val="center"/>
          </w:tcPr>
          <w:p w14:paraId="37DBC0FD" w14:textId="77777777" w:rsidR="00FD6F91" w:rsidRPr="00847FAE" w:rsidRDefault="00FD6F91" w:rsidP="00FD6F91">
            <w:pPr>
              <w:jc w:val="center"/>
              <w:rPr>
                <w:rFonts w:cs="Calibri"/>
                <w:color w:val="000000"/>
                <w:sz w:val="18"/>
                <w:szCs w:val="18"/>
              </w:rPr>
            </w:pPr>
            <w:r w:rsidRPr="00847FAE">
              <w:rPr>
                <w:rFonts w:cs="Calibri"/>
                <w:color w:val="000000"/>
                <w:sz w:val="18"/>
                <w:szCs w:val="18"/>
              </w:rPr>
              <w:t>12</w:t>
            </w:r>
          </w:p>
        </w:tc>
        <w:tc>
          <w:tcPr>
            <w:tcW w:w="879" w:type="dxa"/>
            <w:tcBorders>
              <w:top w:val="nil"/>
              <w:left w:val="nil"/>
              <w:bottom w:val="nil"/>
              <w:right w:val="nil"/>
            </w:tcBorders>
            <w:noWrap/>
            <w:vAlign w:val="center"/>
          </w:tcPr>
          <w:p w14:paraId="0487815B" w14:textId="77777777" w:rsidR="00FD6F91" w:rsidRPr="00847FAE" w:rsidRDefault="00FD6F91" w:rsidP="00FD6F91">
            <w:pPr>
              <w:jc w:val="center"/>
              <w:rPr>
                <w:rFonts w:cs="Calibri"/>
                <w:color w:val="000000"/>
                <w:sz w:val="18"/>
                <w:szCs w:val="18"/>
              </w:rPr>
            </w:pPr>
            <w:r w:rsidRPr="00847FAE">
              <w:rPr>
                <w:rFonts w:cs="Calibri"/>
                <w:color w:val="000000"/>
                <w:sz w:val="18"/>
                <w:szCs w:val="18"/>
              </w:rPr>
              <w:t>12</w:t>
            </w:r>
          </w:p>
        </w:tc>
        <w:tc>
          <w:tcPr>
            <w:tcW w:w="1134" w:type="dxa"/>
            <w:tcBorders>
              <w:top w:val="nil"/>
              <w:left w:val="nil"/>
              <w:bottom w:val="nil"/>
              <w:right w:val="nil"/>
            </w:tcBorders>
            <w:noWrap/>
            <w:vAlign w:val="center"/>
          </w:tcPr>
          <w:p w14:paraId="5D7A328F" w14:textId="77777777" w:rsidR="00FD6F91" w:rsidRPr="00847FAE" w:rsidRDefault="00FD6F91" w:rsidP="00FD6F91">
            <w:pPr>
              <w:jc w:val="center"/>
              <w:rPr>
                <w:rFonts w:cs="Calibri"/>
                <w:color w:val="000000"/>
                <w:sz w:val="18"/>
                <w:szCs w:val="18"/>
              </w:rPr>
            </w:pPr>
            <w:r w:rsidRPr="00847FAE">
              <w:rPr>
                <w:rFonts w:cs="Calibri"/>
                <w:color w:val="000000"/>
                <w:sz w:val="18"/>
                <w:szCs w:val="18"/>
              </w:rPr>
              <w:t>0.0%</w:t>
            </w:r>
          </w:p>
        </w:tc>
      </w:tr>
      <w:tr w:rsidR="00FD6F91" w:rsidRPr="00847FAE" w14:paraId="3642B74C" w14:textId="77777777" w:rsidTr="001F1F60">
        <w:trPr>
          <w:cantSplit/>
          <w:trHeight w:val="255"/>
        </w:trPr>
        <w:tc>
          <w:tcPr>
            <w:tcW w:w="3402" w:type="dxa"/>
            <w:tcBorders>
              <w:top w:val="nil"/>
              <w:left w:val="nil"/>
              <w:bottom w:val="nil"/>
              <w:right w:val="nil"/>
            </w:tcBorders>
            <w:noWrap/>
          </w:tcPr>
          <w:p w14:paraId="7976C7DC"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Breaches of orders</w:t>
            </w:r>
            <w:r w:rsidRPr="00847FAE">
              <w:rPr>
                <w:rFonts w:cs="Calibri"/>
                <w:iCs/>
                <w:color w:val="000000"/>
                <w:sz w:val="18"/>
                <w:szCs w:val="18"/>
                <w:vertAlign w:val="superscript"/>
              </w:rPr>
              <w:t>2</w:t>
            </w:r>
          </w:p>
        </w:tc>
        <w:tc>
          <w:tcPr>
            <w:tcW w:w="879" w:type="dxa"/>
            <w:tcBorders>
              <w:top w:val="nil"/>
              <w:left w:val="nil"/>
              <w:bottom w:val="nil"/>
              <w:right w:val="nil"/>
            </w:tcBorders>
            <w:noWrap/>
            <w:vAlign w:val="center"/>
          </w:tcPr>
          <w:p w14:paraId="5CDE32A3" w14:textId="77777777" w:rsidR="00FD6F91" w:rsidRPr="00847FAE" w:rsidRDefault="00FD6F91" w:rsidP="00FD6F91">
            <w:pPr>
              <w:jc w:val="center"/>
              <w:rPr>
                <w:rFonts w:cs="Calibri"/>
                <w:color w:val="000000"/>
                <w:sz w:val="18"/>
                <w:szCs w:val="18"/>
              </w:rPr>
            </w:pPr>
            <w:r w:rsidRPr="00847FAE">
              <w:rPr>
                <w:rFonts w:cs="Calibri"/>
                <w:color w:val="000000"/>
                <w:sz w:val="18"/>
                <w:szCs w:val="18"/>
              </w:rPr>
              <w:t>598</w:t>
            </w:r>
          </w:p>
        </w:tc>
        <w:tc>
          <w:tcPr>
            <w:tcW w:w="879" w:type="dxa"/>
            <w:tcBorders>
              <w:top w:val="nil"/>
              <w:left w:val="nil"/>
              <w:bottom w:val="nil"/>
              <w:right w:val="nil"/>
            </w:tcBorders>
            <w:noWrap/>
            <w:vAlign w:val="center"/>
          </w:tcPr>
          <w:p w14:paraId="534990D3" w14:textId="77777777" w:rsidR="00FD6F91" w:rsidRPr="00847FAE" w:rsidRDefault="00FD6F91" w:rsidP="00FD6F91">
            <w:pPr>
              <w:jc w:val="center"/>
              <w:rPr>
                <w:rFonts w:cs="Calibri"/>
                <w:color w:val="000000"/>
                <w:sz w:val="18"/>
                <w:szCs w:val="18"/>
              </w:rPr>
            </w:pPr>
            <w:r w:rsidRPr="00847FAE">
              <w:rPr>
                <w:rFonts w:cs="Calibri"/>
                <w:color w:val="000000"/>
                <w:sz w:val="18"/>
                <w:szCs w:val="18"/>
              </w:rPr>
              <w:t>311</w:t>
            </w:r>
          </w:p>
        </w:tc>
        <w:tc>
          <w:tcPr>
            <w:tcW w:w="879" w:type="dxa"/>
            <w:tcBorders>
              <w:top w:val="nil"/>
              <w:left w:val="nil"/>
              <w:bottom w:val="nil"/>
              <w:right w:val="nil"/>
            </w:tcBorders>
            <w:noWrap/>
            <w:vAlign w:val="center"/>
          </w:tcPr>
          <w:p w14:paraId="4845C0EC" w14:textId="77777777" w:rsidR="00FD6F91" w:rsidRPr="00847FAE" w:rsidRDefault="00FD6F91" w:rsidP="00FD6F91">
            <w:pPr>
              <w:jc w:val="center"/>
              <w:rPr>
                <w:rFonts w:cs="Calibri"/>
                <w:color w:val="000000"/>
                <w:sz w:val="18"/>
                <w:szCs w:val="18"/>
              </w:rPr>
            </w:pPr>
            <w:r w:rsidRPr="00847FAE">
              <w:rPr>
                <w:rFonts w:cs="Calibri"/>
                <w:color w:val="000000"/>
                <w:sz w:val="18"/>
                <w:szCs w:val="18"/>
              </w:rPr>
              <w:t>217</w:t>
            </w:r>
          </w:p>
        </w:tc>
        <w:tc>
          <w:tcPr>
            <w:tcW w:w="879" w:type="dxa"/>
            <w:tcBorders>
              <w:top w:val="nil"/>
              <w:left w:val="nil"/>
              <w:bottom w:val="nil"/>
              <w:right w:val="nil"/>
            </w:tcBorders>
            <w:noWrap/>
            <w:vAlign w:val="center"/>
          </w:tcPr>
          <w:p w14:paraId="37070882" w14:textId="77777777" w:rsidR="00FD6F91" w:rsidRPr="00847FAE" w:rsidRDefault="00FD6F91" w:rsidP="00FD6F91">
            <w:pPr>
              <w:jc w:val="center"/>
              <w:rPr>
                <w:rFonts w:cs="Calibri"/>
                <w:color w:val="000000"/>
                <w:sz w:val="18"/>
                <w:szCs w:val="18"/>
              </w:rPr>
            </w:pPr>
            <w:r w:rsidRPr="00847FAE">
              <w:rPr>
                <w:rFonts w:cs="Calibri"/>
                <w:color w:val="000000"/>
                <w:sz w:val="18"/>
                <w:szCs w:val="18"/>
              </w:rPr>
              <w:t>234</w:t>
            </w:r>
          </w:p>
        </w:tc>
        <w:tc>
          <w:tcPr>
            <w:tcW w:w="879" w:type="dxa"/>
            <w:tcBorders>
              <w:top w:val="nil"/>
              <w:left w:val="nil"/>
              <w:bottom w:val="nil"/>
              <w:right w:val="nil"/>
            </w:tcBorders>
            <w:noWrap/>
            <w:vAlign w:val="center"/>
          </w:tcPr>
          <w:p w14:paraId="23DE36D9" w14:textId="77777777" w:rsidR="00FD6F91" w:rsidRPr="00847FAE" w:rsidRDefault="00FD6F91" w:rsidP="00FD6F91">
            <w:pPr>
              <w:jc w:val="center"/>
              <w:rPr>
                <w:rFonts w:cs="Calibri"/>
                <w:color w:val="000000"/>
                <w:sz w:val="18"/>
                <w:szCs w:val="18"/>
              </w:rPr>
            </w:pPr>
            <w:r w:rsidRPr="00847FAE">
              <w:rPr>
                <w:rFonts w:cs="Calibri"/>
                <w:color w:val="000000"/>
                <w:sz w:val="18"/>
                <w:szCs w:val="18"/>
              </w:rPr>
              <w:t>209</w:t>
            </w:r>
          </w:p>
        </w:tc>
        <w:tc>
          <w:tcPr>
            <w:tcW w:w="1134" w:type="dxa"/>
            <w:tcBorders>
              <w:top w:val="nil"/>
              <w:left w:val="nil"/>
              <w:bottom w:val="nil"/>
              <w:right w:val="nil"/>
            </w:tcBorders>
            <w:noWrap/>
            <w:vAlign w:val="center"/>
          </w:tcPr>
          <w:p w14:paraId="1EEAF196" w14:textId="77777777" w:rsidR="00FD6F91" w:rsidRPr="00847FAE" w:rsidRDefault="00FD6F91" w:rsidP="00FD6F91">
            <w:pPr>
              <w:jc w:val="center"/>
              <w:rPr>
                <w:rFonts w:cs="Calibri"/>
                <w:color w:val="000000"/>
                <w:sz w:val="18"/>
                <w:szCs w:val="18"/>
              </w:rPr>
            </w:pPr>
            <w:r w:rsidRPr="00847FAE">
              <w:rPr>
                <w:rFonts w:cs="Calibri"/>
                <w:color w:val="000000"/>
                <w:sz w:val="18"/>
                <w:szCs w:val="18"/>
              </w:rPr>
              <w:t>-10.7%</w:t>
            </w:r>
          </w:p>
        </w:tc>
      </w:tr>
      <w:tr w:rsidR="00FD6F91" w:rsidRPr="00847FAE" w14:paraId="40D475AB" w14:textId="77777777" w:rsidTr="001F1F60">
        <w:trPr>
          <w:cantSplit/>
          <w:trHeight w:val="255"/>
        </w:trPr>
        <w:tc>
          <w:tcPr>
            <w:tcW w:w="3402" w:type="dxa"/>
            <w:tcBorders>
              <w:top w:val="nil"/>
              <w:left w:val="nil"/>
              <w:bottom w:val="nil"/>
              <w:right w:val="nil"/>
            </w:tcBorders>
            <w:noWrap/>
          </w:tcPr>
          <w:p w14:paraId="387EB41A"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Applications to grant or vary bail</w:t>
            </w:r>
          </w:p>
        </w:tc>
        <w:tc>
          <w:tcPr>
            <w:tcW w:w="879" w:type="dxa"/>
            <w:tcBorders>
              <w:top w:val="nil"/>
              <w:left w:val="nil"/>
              <w:bottom w:val="nil"/>
              <w:right w:val="nil"/>
            </w:tcBorders>
            <w:noWrap/>
            <w:vAlign w:val="center"/>
          </w:tcPr>
          <w:p w14:paraId="6FD02CF3" w14:textId="77777777" w:rsidR="00FD6F91" w:rsidRPr="00847FAE" w:rsidRDefault="00FD6F91" w:rsidP="00FD6F91">
            <w:pPr>
              <w:jc w:val="center"/>
              <w:rPr>
                <w:rFonts w:cs="Calibri"/>
                <w:color w:val="000000"/>
                <w:sz w:val="18"/>
                <w:szCs w:val="18"/>
              </w:rPr>
            </w:pPr>
            <w:r w:rsidRPr="00847FAE">
              <w:rPr>
                <w:rFonts w:cs="Calibri"/>
                <w:color w:val="000000"/>
                <w:sz w:val="18"/>
                <w:szCs w:val="18"/>
              </w:rPr>
              <w:t>49</w:t>
            </w:r>
          </w:p>
        </w:tc>
        <w:tc>
          <w:tcPr>
            <w:tcW w:w="879" w:type="dxa"/>
            <w:tcBorders>
              <w:top w:val="nil"/>
              <w:left w:val="nil"/>
              <w:bottom w:val="nil"/>
              <w:right w:val="nil"/>
            </w:tcBorders>
            <w:noWrap/>
            <w:vAlign w:val="center"/>
          </w:tcPr>
          <w:p w14:paraId="20594883" w14:textId="77777777" w:rsidR="00FD6F91" w:rsidRPr="00847FAE" w:rsidRDefault="00FD6F91" w:rsidP="00FD6F91">
            <w:pPr>
              <w:jc w:val="center"/>
              <w:rPr>
                <w:rFonts w:cs="Calibri"/>
                <w:color w:val="000000"/>
                <w:sz w:val="18"/>
                <w:szCs w:val="18"/>
              </w:rPr>
            </w:pPr>
            <w:r w:rsidRPr="00847FAE">
              <w:rPr>
                <w:rFonts w:cs="Calibri"/>
                <w:color w:val="000000"/>
                <w:sz w:val="18"/>
                <w:szCs w:val="18"/>
              </w:rPr>
              <w:t>22</w:t>
            </w:r>
          </w:p>
        </w:tc>
        <w:tc>
          <w:tcPr>
            <w:tcW w:w="879" w:type="dxa"/>
            <w:tcBorders>
              <w:top w:val="nil"/>
              <w:left w:val="nil"/>
              <w:bottom w:val="nil"/>
              <w:right w:val="nil"/>
            </w:tcBorders>
            <w:noWrap/>
            <w:vAlign w:val="center"/>
          </w:tcPr>
          <w:p w14:paraId="1C3F822A" w14:textId="77777777" w:rsidR="00FD6F91" w:rsidRPr="00847FAE" w:rsidRDefault="00FD6F91" w:rsidP="00FD6F91">
            <w:pPr>
              <w:jc w:val="center"/>
              <w:rPr>
                <w:rFonts w:cs="Calibri"/>
                <w:color w:val="000000"/>
                <w:sz w:val="18"/>
                <w:szCs w:val="18"/>
              </w:rPr>
            </w:pPr>
            <w:r w:rsidRPr="00847FAE">
              <w:rPr>
                <w:rFonts w:cs="Calibri"/>
                <w:color w:val="000000"/>
                <w:sz w:val="18"/>
                <w:szCs w:val="18"/>
              </w:rPr>
              <w:t>21</w:t>
            </w:r>
          </w:p>
        </w:tc>
        <w:tc>
          <w:tcPr>
            <w:tcW w:w="879" w:type="dxa"/>
            <w:tcBorders>
              <w:top w:val="nil"/>
              <w:left w:val="nil"/>
              <w:bottom w:val="nil"/>
              <w:right w:val="nil"/>
            </w:tcBorders>
            <w:noWrap/>
            <w:vAlign w:val="center"/>
          </w:tcPr>
          <w:p w14:paraId="4B713E0E" w14:textId="77777777" w:rsidR="00FD6F91" w:rsidRPr="00847FAE" w:rsidRDefault="00FD6F91" w:rsidP="00FD6F91">
            <w:pPr>
              <w:jc w:val="center"/>
              <w:rPr>
                <w:rFonts w:cs="Calibri"/>
                <w:color w:val="000000"/>
                <w:sz w:val="18"/>
                <w:szCs w:val="18"/>
              </w:rPr>
            </w:pPr>
            <w:r w:rsidRPr="00847FAE">
              <w:rPr>
                <w:rFonts w:cs="Calibri"/>
                <w:color w:val="000000"/>
                <w:sz w:val="18"/>
                <w:szCs w:val="18"/>
              </w:rPr>
              <w:t>26</w:t>
            </w:r>
          </w:p>
        </w:tc>
        <w:tc>
          <w:tcPr>
            <w:tcW w:w="879" w:type="dxa"/>
            <w:tcBorders>
              <w:top w:val="nil"/>
              <w:left w:val="nil"/>
              <w:bottom w:val="nil"/>
              <w:right w:val="nil"/>
            </w:tcBorders>
            <w:noWrap/>
            <w:vAlign w:val="center"/>
          </w:tcPr>
          <w:p w14:paraId="52666CC9" w14:textId="77777777" w:rsidR="00FD6F91" w:rsidRPr="00847FAE" w:rsidRDefault="00FD6F91" w:rsidP="00FD6F91">
            <w:pPr>
              <w:jc w:val="center"/>
              <w:rPr>
                <w:rFonts w:cs="Calibri"/>
                <w:color w:val="000000"/>
                <w:sz w:val="18"/>
                <w:szCs w:val="18"/>
              </w:rPr>
            </w:pPr>
            <w:r w:rsidRPr="00847FAE">
              <w:rPr>
                <w:rFonts w:cs="Calibri"/>
                <w:color w:val="000000"/>
                <w:sz w:val="18"/>
                <w:szCs w:val="18"/>
              </w:rPr>
              <w:t>38</w:t>
            </w:r>
          </w:p>
        </w:tc>
        <w:tc>
          <w:tcPr>
            <w:tcW w:w="1134" w:type="dxa"/>
            <w:tcBorders>
              <w:top w:val="nil"/>
              <w:left w:val="nil"/>
              <w:bottom w:val="nil"/>
              <w:right w:val="nil"/>
            </w:tcBorders>
            <w:noWrap/>
            <w:vAlign w:val="center"/>
          </w:tcPr>
          <w:p w14:paraId="3E6842B9" w14:textId="77777777" w:rsidR="00FD6F91" w:rsidRPr="00847FAE" w:rsidRDefault="00FD6F91" w:rsidP="00FD6F91">
            <w:pPr>
              <w:jc w:val="center"/>
              <w:rPr>
                <w:rFonts w:cs="Calibri"/>
                <w:color w:val="000000"/>
                <w:sz w:val="18"/>
                <w:szCs w:val="18"/>
              </w:rPr>
            </w:pPr>
            <w:r w:rsidRPr="00847FAE">
              <w:rPr>
                <w:rFonts w:cs="Calibri"/>
                <w:color w:val="000000"/>
                <w:sz w:val="18"/>
                <w:szCs w:val="18"/>
              </w:rPr>
              <w:t>46.2%</w:t>
            </w:r>
          </w:p>
        </w:tc>
      </w:tr>
      <w:tr w:rsidR="00FD6F91" w:rsidRPr="00847FAE" w14:paraId="59F9D840" w14:textId="77777777" w:rsidTr="001F1F60">
        <w:trPr>
          <w:cantSplit/>
          <w:trHeight w:val="255"/>
        </w:trPr>
        <w:tc>
          <w:tcPr>
            <w:tcW w:w="3402" w:type="dxa"/>
            <w:tcBorders>
              <w:top w:val="nil"/>
              <w:left w:val="nil"/>
              <w:bottom w:val="nil"/>
              <w:right w:val="nil"/>
            </w:tcBorders>
            <w:noWrap/>
          </w:tcPr>
          <w:p w14:paraId="31B2FF62"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Applications for restricted driver licence</w:t>
            </w:r>
          </w:p>
        </w:tc>
        <w:tc>
          <w:tcPr>
            <w:tcW w:w="879" w:type="dxa"/>
            <w:tcBorders>
              <w:top w:val="nil"/>
              <w:left w:val="nil"/>
              <w:bottom w:val="nil"/>
              <w:right w:val="nil"/>
            </w:tcBorders>
            <w:noWrap/>
            <w:vAlign w:val="center"/>
          </w:tcPr>
          <w:p w14:paraId="3AFC1969"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879" w:type="dxa"/>
            <w:tcBorders>
              <w:top w:val="nil"/>
              <w:left w:val="nil"/>
              <w:bottom w:val="nil"/>
              <w:right w:val="nil"/>
            </w:tcBorders>
            <w:noWrap/>
            <w:vAlign w:val="center"/>
          </w:tcPr>
          <w:p w14:paraId="74679D92" w14:textId="77777777" w:rsidR="00FD6F91" w:rsidRPr="00847FAE" w:rsidRDefault="00FD6F91" w:rsidP="00FD6F91">
            <w:pPr>
              <w:jc w:val="center"/>
              <w:rPr>
                <w:rFonts w:cs="Calibri"/>
                <w:color w:val="000000"/>
                <w:sz w:val="18"/>
                <w:szCs w:val="18"/>
              </w:rPr>
            </w:pPr>
            <w:r w:rsidRPr="00847FAE">
              <w:rPr>
                <w:rFonts w:cs="Calibri"/>
                <w:color w:val="000000"/>
                <w:sz w:val="18"/>
                <w:szCs w:val="18"/>
              </w:rPr>
              <w:t>-</w:t>
            </w:r>
          </w:p>
        </w:tc>
        <w:tc>
          <w:tcPr>
            <w:tcW w:w="879" w:type="dxa"/>
            <w:tcBorders>
              <w:top w:val="nil"/>
              <w:left w:val="nil"/>
              <w:bottom w:val="nil"/>
              <w:right w:val="nil"/>
            </w:tcBorders>
            <w:noWrap/>
            <w:vAlign w:val="center"/>
          </w:tcPr>
          <w:p w14:paraId="4614CE5E" w14:textId="77777777" w:rsidR="00FD6F91" w:rsidRPr="00847FAE" w:rsidRDefault="00FD6F91" w:rsidP="00FD6F91">
            <w:pPr>
              <w:jc w:val="center"/>
              <w:rPr>
                <w:rFonts w:cs="Calibri"/>
                <w:color w:val="000000"/>
                <w:sz w:val="18"/>
                <w:szCs w:val="18"/>
              </w:rPr>
            </w:pPr>
            <w:r w:rsidRPr="00847FAE">
              <w:rPr>
                <w:rFonts w:cs="Calibri"/>
                <w:color w:val="000000"/>
                <w:sz w:val="18"/>
                <w:szCs w:val="18"/>
              </w:rPr>
              <w:t>-</w:t>
            </w:r>
          </w:p>
        </w:tc>
        <w:tc>
          <w:tcPr>
            <w:tcW w:w="879" w:type="dxa"/>
            <w:tcBorders>
              <w:top w:val="nil"/>
              <w:left w:val="nil"/>
              <w:bottom w:val="nil"/>
              <w:right w:val="nil"/>
            </w:tcBorders>
            <w:noWrap/>
            <w:vAlign w:val="center"/>
          </w:tcPr>
          <w:p w14:paraId="273DCE62" w14:textId="77777777" w:rsidR="00FD6F91" w:rsidRPr="00847FAE" w:rsidRDefault="00FD6F91" w:rsidP="00FD6F91">
            <w:pPr>
              <w:jc w:val="center"/>
              <w:rPr>
                <w:rFonts w:cs="Calibri"/>
                <w:color w:val="000000"/>
                <w:sz w:val="18"/>
                <w:szCs w:val="18"/>
              </w:rPr>
            </w:pPr>
            <w:r w:rsidRPr="00847FAE">
              <w:rPr>
                <w:rFonts w:cs="Calibri"/>
                <w:color w:val="000000"/>
                <w:sz w:val="18"/>
                <w:szCs w:val="18"/>
              </w:rPr>
              <w:t>2</w:t>
            </w:r>
          </w:p>
        </w:tc>
        <w:tc>
          <w:tcPr>
            <w:tcW w:w="879" w:type="dxa"/>
            <w:tcBorders>
              <w:top w:val="nil"/>
              <w:left w:val="nil"/>
              <w:bottom w:val="nil"/>
              <w:right w:val="nil"/>
            </w:tcBorders>
            <w:noWrap/>
            <w:vAlign w:val="center"/>
          </w:tcPr>
          <w:p w14:paraId="09233E1A"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1134" w:type="dxa"/>
            <w:tcBorders>
              <w:top w:val="nil"/>
              <w:left w:val="nil"/>
              <w:bottom w:val="nil"/>
              <w:right w:val="nil"/>
            </w:tcBorders>
            <w:noWrap/>
            <w:vAlign w:val="center"/>
          </w:tcPr>
          <w:p w14:paraId="28121D46" w14:textId="77777777" w:rsidR="00FD6F91" w:rsidRPr="00847FAE" w:rsidRDefault="00FD6F91" w:rsidP="00FD6F91">
            <w:pPr>
              <w:jc w:val="center"/>
              <w:rPr>
                <w:rFonts w:cs="Calibri"/>
                <w:color w:val="000000"/>
                <w:sz w:val="18"/>
                <w:szCs w:val="18"/>
              </w:rPr>
            </w:pPr>
            <w:r w:rsidRPr="00847FAE">
              <w:rPr>
                <w:rFonts w:cs="Calibri"/>
                <w:color w:val="000000"/>
                <w:sz w:val="18"/>
                <w:szCs w:val="18"/>
              </w:rPr>
              <w:t>-50.0%</w:t>
            </w:r>
          </w:p>
        </w:tc>
      </w:tr>
      <w:tr w:rsidR="00FD6F91" w:rsidRPr="00847FAE" w14:paraId="3C04F7E3" w14:textId="77777777" w:rsidTr="001F1F60">
        <w:trPr>
          <w:cantSplit/>
          <w:trHeight w:val="255"/>
        </w:trPr>
        <w:tc>
          <w:tcPr>
            <w:tcW w:w="3402" w:type="dxa"/>
            <w:tcBorders>
              <w:top w:val="nil"/>
              <w:left w:val="nil"/>
              <w:bottom w:val="single" w:sz="4" w:space="0" w:color="auto"/>
              <w:right w:val="nil"/>
            </w:tcBorders>
            <w:noWrap/>
          </w:tcPr>
          <w:p w14:paraId="60E9F693"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Other applications</w:t>
            </w:r>
          </w:p>
        </w:tc>
        <w:tc>
          <w:tcPr>
            <w:tcW w:w="879" w:type="dxa"/>
            <w:tcBorders>
              <w:top w:val="nil"/>
              <w:left w:val="nil"/>
              <w:bottom w:val="single" w:sz="4" w:space="0" w:color="auto"/>
              <w:right w:val="nil"/>
            </w:tcBorders>
            <w:noWrap/>
            <w:vAlign w:val="center"/>
          </w:tcPr>
          <w:p w14:paraId="0AA551C1" w14:textId="77777777" w:rsidR="00FD6F91" w:rsidRPr="00847FAE" w:rsidRDefault="00FD6F91" w:rsidP="00FD6F91">
            <w:pPr>
              <w:jc w:val="center"/>
              <w:rPr>
                <w:rFonts w:cs="Calibri"/>
                <w:color w:val="000000"/>
                <w:sz w:val="18"/>
                <w:szCs w:val="18"/>
              </w:rPr>
            </w:pPr>
            <w:r w:rsidRPr="00847FAE">
              <w:rPr>
                <w:rFonts w:cs="Calibri"/>
                <w:color w:val="000000"/>
                <w:sz w:val="18"/>
                <w:szCs w:val="18"/>
              </w:rPr>
              <w:t>50</w:t>
            </w:r>
          </w:p>
        </w:tc>
        <w:tc>
          <w:tcPr>
            <w:tcW w:w="879" w:type="dxa"/>
            <w:tcBorders>
              <w:top w:val="nil"/>
              <w:left w:val="nil"/>
              <w:bottom w:val="single" w:sz="4" w:space="0" w:color="auto"/>
              <w:right w:val="nil"/>
            </w:tcBorders>
            <w:noWrap/>
            <w:vAlign w:val="center"/>
          </w:tcPr>
          <w:p w14:paraId="033DFF41" w14:textId="77777777" w:rsidR="00FD6F91" w:rsidRPr="00847FAE" w:rsidRDefault="00FD6F91" w:rsidP="00FD6F91">
            <w:pPr>
              <w:jc w:val="center"/>
              <w:rPr>
                <w:rFonts w:cs="Calibri"/>
                <w:color w:val="000000"/>
                <w:sz w:val="18"/>
                <w:szCs w:val="18"/>
              </w:rPr>
            </w:pPr>
            <w:r w:rsidRPr="00847FAE">
              <w:rPr>
                <w:rFonts w:cs="Calibri"/>
                <w:color w:val="000000"/>
                <w:sz w:val="18"/>
                <w:szCs w:val="18"/>
              </w:rPr>
              <w:t>58</w:t>
            </w:r>
          </w:p>
        </w:tc>
        <w:tc>
          <w:tcPr>
            <w:tcW w:w="879" w:type="dxa"/>
            <w:tcBorders>
              <w:top w:val="nil"/>
              <w:left w:val="nil"/>
              <w:bottom w:val="single" w:sz="4" w:space="0" w:color="auto"/>
              <w:right w:val="nil"/>
            </w:tcBorders>
            <w:noWrap/>
            <w:vAlign w:val="center"/>
          </w:tcPr>
          <w:p w14:paraId="7C76258B" w14:textId="77777777" w:rsidR="00FD6F91" w:rsidRPr="00847FAE" w:rsidRDefault="00FD6F91" w:rsidP="00FD6F91">
            <w:pPr>
              <w:jc w:val="center"/>
              <w:rPr>
                <w:rFonts w:cs="Calibri"/>
                <w:color w:val="000000"/>
                <w:sz w:val="18"/>
                <w:szCs w:val="18"/>
              </w:rPr>
            </w:pPr>
            <w:r w:rsidRPr="00847FAE">
              <w:rPr>
                <w:rFonts w:cs="Calibri"/>
                <w:color w:val="000000"/>
                <w:sz w:val="18"/>
                <w:szCs w:val="18"/>
              </w:rPr>
              <w:t>37</w:t>
            </w:r>
          </w:p>
        </w:tc>
        <w:tc>
          <w:tcPr>
            <w:tcW w:w="879" w:type="dxa"/>
            <w:tcBorders>
              <w:top w:val="nil"/>
              <w:left w:val="nil"/>
              <w:bottom w:val="single" w:sz="4" w:space="0" w:color="auto"/>
              <w:right w:val="nil"/>
            </w:tcBorders>
            <w:noWrap/>
            <w:vAlign w:val="center"/>
          </w:tcPr>
          <w:p w14:paraId="5B8B49E5" w14:textId="77777777" w:rsidR="00FD6F91" w:rsidRPr="00847FAE" w:rsidRDefault="00FD6F91" w:rsidP="00FD6F91">
            <w:pPr>
              <w:jc w:val="center"/>
              <w:rPr>
                <w:rFonts w:cs="Calibri"/>
                <w:color w:val="000000"/>
                <w:sz w:val="18"/>
                <w:szCs w:val="18"/>
              </w:rPr>
            </w:pPr>
            <w:r w:rsidRPr="00847FAE">
              <w:rPr>
                <w:rFonts w:cs="Calibri"/>
                <w:color w:val="000000"/>
                <w:sz w:val="18"/>
                <w:szCs w:val="18"/>
              </w:rPr>
              <w:t>55</w:t>
            </w:r>
          </w:p>
        </w:tc>
        <w:tc>
          <w:tcPr>
            <w:tcW w:w="879" w:type="dxa"/>
            <w:tcBorders>
              <w:top w:val="nil"/>
              <w:left w:val="nil"/>
              <w:bottom w:val="single" w:sz="4" w:space="0" w:color="auto"/>
              <w:right w:val="nil"/>
            </w:tcBorders>
            <w:noWrap/>
            <w:vAlign w:val="center"/>
          </w:tcPr>
          <w:p w14:paraId="099EC577" w14:textId="77777777" w:rsidR="00FD6F91" w:rsidRPr="00847FAE" w:rsidRDefault="00FD6F91" w:rsidP="00FD6F91">
            <w:pPr>
              <w:jc w:val="center"/>
              <w:rPr>
                <w:rFonts w:cs="Calibri"/>
                <w:color w:val="000000"/>
                <w:sz w:val="18"/>
                <w:szCs w:val="18"/>
              </w:rPr>
            </w:pPr>
            <w:r w:rsidRPr="00847FAE">
              <w:rPr>
                <w:rFonts w:cs="Calibri"/>
                <w:color w:val="000000"/>
                <w:sz w:val="18"/>
                <w:szCs w:val="18"/>
              </w:rPr>
              <w:t>49</w:t>
            </w:r>
          </w:p>
        </w:tc>
        <w:tc>
          <w:tcPr>
            <w:tcW w:w="1134" w:type="dxa"/>
            <w:tcBorders>
              <w:top w:val="nil"/>
              <w:left w:val="nil"/>
              <w:bottom w:val="single" w:sz="4" w:space="0" w:color="auto"/>
              <w:right w:val="nil"/>
            </w:tcBorders>
            <w:noWrap/>
            <w:vAlign w:val="center"/>
          </w:tcPr>
          <w:p w14:paraId="2B0A0F98" w14:textId="77777777" w:rsidR="00FD6F91" w:rsidRPr="00847FAE" w:rsidRDefault="00FD6F91" w:rsidP="00FD6F91">
            <w:pPr>
              <w:jc w:val="center"/>
              <w:rPr>
                <w:rFonts w:cs="Calibri"/>
                <w:color w:val="000000"/>
                <w:sz w:val="18"/>
                <w:szCs w:val="18"/>
              </w:rPr>
            </w:pPr>
            <w:r w:rsidRPr="00847FAE">
              <w:rPr>
                <w:rFonts w:cs="Calibri"/>
                <w:color w:val="000000"/>
                <w:sz w:val="18"/>
                <w:szCs w:val="18"/>
              </w:rPr>
              <w:t>-10.9%</w:t>
            </w:r>
          </w:p>
        </w:tc>
      </w:tr>
      <w:tr w:rsidR="00FD6F91" w:rsidRPr="00847FAE" w14:paraId="712AACCE" w14:textId="77777777" w:rsidTr="001F1F60">
        <w:trPr>
          <w:cantSplit/>
          <w:trHeight w:val="255"/>
        </w:trPr>
        <w:tc>
          <w:tcPr>
            <w:tcW w:w="3402" w:type="dxa"/>
            <w:tcBorders>
              <w:top w:val="single" w:sz="4" w:space="0" w:color="auto"/>
              <w:left w:val="nil"/>
              <w:bottom w:val="single" w:sz="4" w:space="0" w:color="auto"/>
              <w:right w:val="nil"/>
            </w:tcBorders>
            <w:shd w:val="clear" w:color="auto" w:fill="D9D9D9" w:themeFill="background1" w:themeFillShade="D9"/>
            <w:noWrap/>
            <w:vAlign w:val="center"/>
          </w:tcPr>
          <w:p w14:paraId="25A685C0" w14:textId="77777777" w:rsidR="00FD6F91" w:rsidRPr="00847FAE" w:rsidRDefault="00FD6F91" w:rsidP="00FD6F91">
            <w:pPr>
              <w:widowControl w:val="0"/>
              <w:rPr>
                <w:rFonts w:cs="Calibri"/>
                <w:b/>
                <w:color w:val="000000"/>
                <w:sz w:val="18"/>
                <w:szCs w:val="18"/>
              </w:rPr>
            </w:pPr>
            <w:r w:rsidRPr="00847FAE">
              <w:rPr>
                <w:rFonts w:cs="Calibri"/>
                <w:b/>
                <w:color w:val="FFFFFF" w:themeColor="background1"/>
                <w:sz w:val="18"/>
                <w:szCs w:val="18"/>
              </w:rPr>
              <w:t>CIVIL</w:t>
            </w:r>
          </w:p>
        </w:tc>
        <w:tc>
          <w:tcPr>
            <w:tcW w:w="879" w:type="dxa"/>
            <w:tcBorders>
              <w:top w:val="single" w:sz="4" w:space="0" w:color="auto"/>
              <w:left w:val="nil"/>
              <w:bottom w:val="single" w:sz="4" w:space="0" w:color="auto"/>
              <w:right w:val="nil"/>
            </w:tcBorders>
            <w:shd w:val="clear" w:color="auto" w:fill="D9D9D9" w:themeFill="background1" w:themeFillShade="D9"/>
            <w:noWrap/>
          </w:tcPr>
          <w:p w14:paraId="0065D8C4"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D9D9D9" w:themeFill="background1" w:themeFillShade="D9"/>
            <w:noWrap/>
          </w:tcPr>
          <w:p w14:paraId="5E398BA7"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D9D9D9" w:themeFill="background1" w:themeFillShade="D9"/>
            <w:noWrap/>
          </w:tcPr>
          <w:p w14:paraId="60AF6534"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D9D9D9" w:themeFill="background1" w:themeFillShade="D9"/>
            <w:noWrap/>
          </w:tcPr>
          <w:p w14:paraId="43CA5475"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D9D9D9" w:themeFill="background1" w:themeFillShade="D9"/>
            <w:noWrap/>
          </w:tcPr>
          <w:p w14:paraId="4416DACE"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single" w:sz="4" w:space="0" w:color="auto"/>
              <w:right w:val="nil"/>
            </w:tcBorders>
            <w:shd w:val="clear" w:color="auto" w:fill="D9D9D9" w:themeFill="background1" w:themeFillShade="D9"/>
            <w:noWrap/>
          </w:tcPr>
          <w:p w14:paraId="3BD4E38F" w14:textId="77777777" w:rsidR="00FD6F91" w:rsidRPr="00847FAE" w:rsidRDefault="00FD6F91" w:rsidP="00FD6F91">
            <w:pPr>
              <w:widowControl w:val="0"/>
              <w:jc w:val="center"/>
              <w:rPr>
                <w:sz w:val="18"/>
                <w:szCs w:val="18"/>
              </w:rPr>
            </w:pPr>
          </w:p>
        </w:tc>
      </w:tr>
      <w:tr w:rsidR="00FD6F91" w:rsidRPr="00847FAE" w14:paraId="1433424C" w14:textId="77777777" w:rsidTr="001F1F60">
        <w:trPr>
          <w:cantSplit/>
          <w:trHeight w:val="255"/>
        </w:trPr>
        <w:tc>
          <w:tcPr>
            <w:tcW w:w="3402" w:type="dxa"/>
            <w:tcBorders>
              <w:top w:val="single" w:sz="4" w:space="0" w:color="auto"/>
              <w:left w:val="nil"/>
              <w:bottom w:val="single" w:sz="4" w:space="0" w:color="auto"/>
              <w:right w:val="nil"/>
            </w:tcBorders>
            <w:shd w:val="clear" w:color="auto" w:fill="auto"/>
            <w:noWrap/>
          </w:tcPr>
          <w:p w14:paraId="0D343C19" w14:textId="77777777" w:rsidR="00FD6F91" w:rsidRPr="00847FAE" w:rsidRDefault="00FD6F91" w:rsidP="00FD6F91">
            <w:pPr>
              <w:widowControl w:val="0"/>
              <w:rPr>
                <w:rFonts w:cs="Calibri"/>
                <w:iCs/>
                <w:color w:val="000000"/>
                <w:sz w:val="18"/>
                <w:szCs w:val="18"/>
                <w:vertAlign w:val="superscript"/>
              </w:rPr>
            </w:pPr>
            <w:r w:rsidRPr="00847FAE">
              <w:rPr>
                <w:rFonts w:cs="Calibri"/>
                <w:iCs/>
                <w:color w:val="000000"/>
                <w:sz w:val="18"/>
                <w:szCs w:val="18"/>
              </w:rPr>
              <w:lastRenderedPageBreak/>
              <w:t>CIVIL MAGISTRATES COURT</w:t>
            </w:r>
          </w:p>
        </w:tc>
        <w:tc>
          <w:tcPr>
            <w:tcW w:w="879" w:type="dxa"/>
            <w:tcBorders>
              <w:top w:val="single" w:sz="4" w:space="0" w:color="auto"/>
              <w:left w:val="nil"/>
              <w:bottom w:val="single" w:sz="4" w:space="0" w:color="auto"/>
              <w:right w:val="nil"/>
            </w:tcBorders>
            <w:shd w:val="clear" w:color="auto" w:fill="auto"/>
            <w:noWrap/>
          </w:tcPr>
          <w:p w14:paraId="27F235DE"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120954A0"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0B0042D6"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2410D4E0"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34C353A4"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single" w:sz="4" w:space="0" w:color="auto"/>
              <w:right w:val="nil"/>
            </w:tcBorders>
            <w:shd w:val="clear" w:color="auto" w:fill="auto"/>
            <w:noWrap/>
          </w:tcPr>
          <w:p w14:paraId="446C923F" w14:textId="77777777" w:rsidR="00FD6F91" w:rsidRPr="00847FAE" w:rsidRDefault="00FD6F91" w:rsidP="00FD6F91">
            <w:pPr>
              <w:widowControl w:val="0"/>
              <w:jc w:val="center"/>
              <w:rPr>
                <w:sz w:val="18"/>
                <w:szCs w:val="18"/>
              </w:rPr>
            </w:pPr>
          </w:p>
        </w:tc>
      </w:tr>
      <w:tr w:rsidR="00FD6F91" w:rsidRPr="00847FAE" w14:paraId="1076E561" w14:textId="77777777" w:rsidTr="001F1F60">
        <w:trPr>
          <w:cantSplit/>
          <w:trHeight w:val="255"/>
        </w:trPr>
        <w:tc>
          <w:tcPr>
            <w:tcW w:w="3402" w:type="dxa"/>
            <w:tcBorders>
              <w:top w:val="single" w:sz="4" w:space="0" w:color="auto"/>
              <w:left w:val="nil"/>
              <w:bottom w:val="nil"/>
              <w:right w:val="nil"/>
            </w:tcBorders>
            <w:shd w:val="clear" w:color="auto" w:fill="auto"/>
            <w:noWrap/>
          </w:tcPr>
          <w:p w14:paraId="0D83150F" w14:textId="77777777" w:rsidR="00FD6F91" w:rsidRPr="00847FAE" w:rsidRDefault="00FD6F91" w:rsidP="00FD6F91">
            <w:pPr>
              <w:widowControl w:val="0"/>
              <w:rPr>
                <w:rFonts w:cs="Calibri"/>
                <w:b/>
                <w:iCs/>
                <w:color w:val="000000"/>
                <w:sz w:val="18"/>
                <w:szCs w:val="18"/>
              </w:rPr>
            </w:pPr>
            <w:r w:rsidRPr="00847FAE">
              <w:rPr>
                <w:rFonts w:cs="Calibri"/>
                <w:b/>
                <w:iCs/>
                <w:color w:val="000000"/>
                <w:sz w:val="18"/>
                <w:szCs w:val="18"/>
              </w:rPr>
              <w:t>Lodgements</w:t>
            </w:r>
          </w:p>
        </w:tc>
        <w:tc>
          <w:tcPr>
            <w:tcW w:w="879" w:type="dxa"/>
            <w:tcBorders>
              <w:top w:val="single" w:sz="4" w:space="0" w:color="auto"/>
              <w:left w:val="nil"/>
              <w:bottom w:val="nil"/>
              <w:right w:val="nil"/>
            </w:tcBorders>
            <w:shd w:val="clear" w:color="auto" w:fill="auto"/>
            <w:noWrap/>
          </w:tcPr>
          <w:p w14:paraId="78CBA3CE"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shd w:val="clear" w:color="auto" w:fill="auto"/>
            <w:noWrap/>
          </w:tcPr>
          <w:p w14:paraId="3758215A"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shd w:val="clear" w:color="auto" w:fill="auto"/>
            <w:noWrap/>
          </w:tcPr>
          <w:p w14:paraId="4B045BED"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shd w:val="clear" w:color="auto" w:fill="auto"/>
            <w:noWrap/>
          </w:tcPr>
          <w:p w14:paraId="014771F6"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shd w:val="clear" w:color="auto" w:fill="auto"/>
            <w:noWrap/>
          </w:tcPr>
          <w:p w14:paraId="2CEB9C32"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nil"/>
              <w:right w:val="nil"/>
            </w:tcBorders>
            <w:shd w:val="clear" w:color="auto" w:fill="auto"/>
            <w:noWrap/>
          </w:tcPr>
          <w:p w14:paraId="65D3FBFC" w14:textId="77777777" w:rsidR="00FD6F91" w:rsidRPr="00847FAE" w:rsidRDefault="00FD6F91" w:rsidP="00FD6F91">
            <w:pPr>
              <w:widowControl w:val="0"/>
              <w:jc w:val="center"/>
              <w:rPr>
                <w:sz w:val="18"/>
                <w:szCs w:val="18"/>
              </w:rPr>
            </w:pPr>
          </w:p>
        </w:tc>
      </w:tr>
      <w:tr w:rsidR="00FD6F91" w:rsidRPr="00847FAE" w14:paraId="332D0AB9" w14:textId="77777777" w:rsidTr="001F1F60">
        <w:trPr>
          <w:cantSplit/>
          <w:trHeight w:val="255"/>
        </w:trPr>
        <w:tc>
          <w:tcPr>
            <w:tcW w:w="3402" w:type="dxa"/>
            <w:tcBorders>
              <w:top w:val="nil"/>
              <w:left w:val="nil"/>
              <w:bottom w:val="nil"/>
              <w:right w:val="nil"/>
            </w:tcBorders>
            <w:shd w:val="clear" w:color="auto" w:fill="auto"/>
            <w:noWrap/>
          </w:tcPr>
          <w:p w14:paraId="3C4A688B" w14:textId="653A47A8"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Civil claims</w:t>
            </w:r>
            <w:r w:rsidR="00CD2234">
              <w:rPr>
                <w:rFonts w:cs="Calibri"/>
                <w:iCs/>
                <w:color w:val="000000"/>
                <w:sz w:val="18"/>
                <w:szCs w:val="18"/>
                <w:vertAlign w:val="superscript"/>
              </w:rPr>
              <w:t>6</w:t>
            </w:r>
            <w:r w:rsidRPr="00847FAE">
              <w:rPr>
                <w:rFonts w:cs="Calibri"/>
                <w:iCs/>
                <w:color w:val="000000"/>
                <w:sz w:val="18"/>
                <w:szCs w:val="18"/>
              </w:rPr>
              <w:t xml:space="preserve"> </w:t>
            </w:r>
          </w:p>
        </w:tc>
        <w:tc>
          <w:tcPr>
            <w:tcW w:w="879" w:type="dxa"/>
            <w:tcBorders>
              <w:top w:val="nil"/>
              <w:left w:val="nil"/>
              <w:bottom w:val="nil"/>
              <w:right w:val="nil"/>
            </w:tcBorders>
            <w:shd w:val="clear" w:color="auto" w:fill="auto"/>
            <w:noWrap/>
            <w:vAlign w:val="center"/>
          </w:tcPr>
          <w:p w14:paraId="0D998014" w14:textId="77777777" w:rsidR="00FD6F91" w:rsidRPr="00A47583" w:rsidRDefault="00FD6F91" w:rsidP="00FD6F91">
            <w:pPr>
              <w:jc w:val="center"/>
              <w:rPr>
                <w:rFonts w:cs="Calibri"/>
                <w:color w:val="000000"/>
                <w:sz w:val="18"/>
                <w:szCs w:val="18"/>
              </w:rPr>
            </w:pPr>
            <w:r w:rsidRPr="00A47583">
              <w:rPr>
                <w:rFonts w:cs="Calibri"/>
                <w:color w:val="000000"/>
                <w:sz w:val="18"/>
                <w:szCs w:val="18"/>
              </w:rPr>
              <w:t>5,085</w:t>
            </w:r>
          </w:p>
        </w:tc>
        <w:tc>
          <w:tcPr>
            <w:tcW w:w="879" w:type="dxa"/>
            <w:tcBorders>
              <w:top w:val="nil"/>
              <w:left w:val="nil"/>
              <w:bottom w:val="nil"/>
              <w:right w:val="nil"/>
            </w:tcBorders>
            <w:shd w:val="clear" w:color="auto" w:fill="auto"/>
            <w:noWrap/>
            <w:vAlign w:val="center"/>
          </w:tcPr>
          <w:p w14:paraId="54D3421A" w14:textId="77777777" w:rsidR="00FD6F91" w:rsidRPr="00A47583" w:rsidRDefault="00FD6F91" w:rsidP="00FD6F91">
            <w:pPr>
              <w:jc w:val="center"/>
              <w:rPr>
                <w:rFonts w:cs="Calibri"/>
                <w:color w:val="000000"/>
                <w:sz w:val="18"/>
                <w:szCs w:val="18"/>
              </w:rPr>
            </w:pPr>
            <w:r w:rsidRPr="00A47583">
              <w:rPr>
                <w:rFonts w:cs="Calibri"/>
                <w:color w:val="000000"/>
                <w:sz w:val="18"/>
                <w:szCs w:val="18"/>
              </w:rPr>
              <w:t>4,434</w:t>
            </w:r>
          </w:p>
        </w:tc>
        <w:tc>
          <w:tcPr>
            <w:tcW w:w="879" w:type="dxa"/>
            <w:tcBorders>
              <w:top w:val="nil"/>
              <w:left w:val="nil"/>
              <w:bottom w:val="nil"/>
              <w:right w:val="nil"/>
            </w:tcBorders>
            <w:shd w:val="clear" w:color="auto" w:fill="auto"/>
            <w:noWrap/>
            <w:vAlign w:val="center"/>
          </w:tcPr>
          <w:p w14:paraId="479BBA2F" w14:textId="77777777" w:rsidR="00FD6F91" w:rsidRPr="00A47583" w:rsidRDefault="00FD6F91" w:rsidP="00FD6F91">
            <w:pPr>
              <w:jc w:val="center"/>
              <w:rPr>
                <w:rFonts w:cs="Calibri"/>
                <w:color w:val="000000"/>
                <w:sz w:val="18"/>
                <w:szCs w:val="18"/>
              </w:rPr>
            </w:pPr>
            <w:r w:rsidRPr="00A47583">
              <w:rPr>
                <w:rFonts w:cs="Calibri"/>
                <w:color w:val="000000"/>
                <w:sz w:val="18"/>
                <w:szCs w:val="18"/>
              </w:rPr>
              <w:t>4,083</w:t>
            </w:r>
          </w:p>
        </w:tc>
        <w:tc>
          <w:tcPr>
            <w:tcW w:w="879" w:type="dxa"/>
            <w:tcBorders>
              <w:top w:val="nil"/>
              <w:left w:val="nil"/>
              <w:bottom w:val="nil"/>
              <w:right w:val="nil"/>
            </w:tcBorders>
            <w:shd w:val="clear" w:color="auto" w:fill="auto"/>
            <w:noWrap/>
            <w:vAlign w:val="center"/>
          </w:tcPr>
          <w:p w14:paraId="3C4275A4" w14:textId="77777777" w:rsidR="00FD6F91" w:rsidRPr="00A47583" w:rsidRDefault="00FD6F91" w:rsidP="00FD6F91">
            <w:pPr>
              <w:jc w:val="center"/>
              <w:rPr>
                <w:rFonts w:cs="Calibri"/>
                <w:color w:val="000000"/>
                <w:sz w:val="18"/>
                <w:szCs w:val="18"/>
              </w:rPr>
            </w:pPr>
            <w:r w:rsidRPr="00A47583">
              <w:rPr>
                <w:rFonts w:cs="Calibri"/>
                <w:color w:val="000000"/>
                <w:sz w:val="18"/>
                <w:szCs w:val="18"/>
              </w:rPr>
              <w:t>3,838</w:t>
            </w:r>
          </w:p>
        </w:tc>
        <w:tc>
          <w:tcPr>
            <w:tcW w:w="879" w:type="dxa"/>
            <w:tcBorders>
              <w:top w:val="nil"/>
              <w:left w:val="nil"/>
              <w:bottom w:val="nil"/>
              <w:right w:val="nil"/>
            </w:tcBorders>
            <w:shd w:val="clear" w:color="auto" w:fill="auto"/>
            <w:noWrap/>
            <w:vAlign w:val="center"/>
          </w:tcPr>
          <w:p w14:paraId="5CA7E2E0" w14:textId="77777777" w:rsidR="00FD6F91" w:rsidRPr="00A47583" w:rsidRDefault="00FD6F91" w:rsidP="00FD6F91">
            <w:pPr>
              <w:jc w:val="center"/>
              <w:rPr>
                <w:rFonts w:cs="Calibri"/>
                <w:color w:val="000000"/>
                <w:sz w:val="18"/>
                <w:szCs w:val="18"/>
              </w:rPr>
            </w:pPr>
            <w:r w:rsidRPr="00A47583">
              <w:rPr>
                <w:rFonts w:cs="Calibri"/>
                <w:color w:val="000000"/>
                <w:sz w:val="18"/>
                <w:szCs w:val="18"/>
              </w:rPr>
              <w:t>3,756</w:t>
            </w:r>
          </w:p>
        </w:tc>
        <w:tc>
          <w:tcPr>
            <w:tcW w:w="1134" w:type="dxa"/>
            <w:tcBorders>
              <w:top w:val="nil"/>
              <w:left w:val="nil"/>
              <w:bottom w:val="nil"/>
              <w:right w:val="nil"/>
            </w:tcBorders>
            <w:shd w:val="clear" w:color="auto" w:fill="auto"/>
            <w:noWrap/>
            <w:vAlign w:val="center"/>
          </w:tcPr>
          <w:p w14:paraId="2FB7A476" w14:textId="77777777" w:rsidR="00FD6F91" w:rsidRPr="00847FAE" w:rsidRDefault="00FD6F91" w:rsidP="00FD6F91">
            <w:pPr>
              <w:jc w:val="center"/>
              <w:rPr>
                <w:rFonts w:cs="Calibri"/>
                <w:color w:val="000000"/>
                <w:sz w:val="18"/>
                <w:szCs w:val="18"/>
              </w:rPr>
            </w:pPr>
            <w:r w:rsidRPr="00847FAE">
              <w:rPr>
                <w:rFonts w:cs="Calibri"/>
                <w:color w:val="000000"/>
                <w:sz w:val="18"/>
                <w:szCs w:val="18"/>
              </w:rPr>
              <w:t>-2.1%</w:t>
            </w:r>
          </w:p>
        </w:tc>
      </w:tr>
      <w:tr w:rsidR="00FD6F91" w:rsidRPr="00847FAE" w14:paraId="3C7AFAA6" w14:textId="77777777" w:rsidTr="001F1F60">
        <w:trPr>
          <w:cantSplit/>
          <w:trHeight w:val="255"/>
        </w:trPr>
        <w:tc>
          <w:tcPr>
            <w:tcW w:w="3402" w:type="dxa"/>
            <w:tcBorders>
              <w:top w:val="nil"/>
              <w:left w:val="nil"/>
              <w:bottom w:val="nil"/>
              <w:right w:val="nil"/>
            </w:tcBorders>
            <w:shd w:val="clear" w:color="auto" w:fill="auto"/>
            <w:noWrap/>
          </w:tcPr>
          <w:p w14:paraId="62013C76" w14:textId="43F591B7" w:rsidR="00FD6F91" w:rsidRPr="00CD2234" w:rsidRDefault="00FD6F91" w:rsidP="00FD6F91">
            <w:pPr>
              <w:widowControl w:val="0"/>
              <w:rPr>
                <w:rFonts w:cs="Calibri"/>
                <w:iCs/>
                <w:color w:val="000000"/>
                <w:sz w:val="18"/>
                <w:szCs w:val="18"/>
                <w:vertAlign w:val="superscript"/>
              </w:rPr>
            </w:pPr>
            <w:r w:rsidRPr="00847FAE">
              <w:rPr>
                <w:rFonts w:cs="Calibri"/>
                <w:iCs/>
                <w:color w:val="000000"/>
                <w:sz w:val="18"/>
                <w:szCs w:val="18"/>
              </w:rPr>
              <w:t xml:space="preserve">   Family violence order applications</w:t>
            </w:r>
            <w:r w:rsidR="00CD2234">
              <w:rPr>
                <w:rFonts w:cs="Calibri"/>
                <w:iCs/>
                <w:color w:val="000000"/>
                <w:sz w:val="18"/>
                <w:szCs w:val="18"/>
                <w:vertAlign w:val="superscript"/>
              </w:rPr>
              <w:t>7</w:t>
            </w:r>
          </w:p>
        </w:tc>
        <w:tc>
          <w:tcPr>
            <w:tcW w:w="879" w:type="dxa"/>
            <w:tcBorders>
              <w:top w:val="nil"/>
              <w:left w:val="nil"/>
              <w:bottom w:val="nil"/>
              <w:right w:val="nil"/>
            </w:tcBorders>
            <w:shd w:val="clear" w:color="auto" w:fill="auto"/>
            <w:noWrap/>
            <w:vAlign w:val="center"/>
          </w:tcPr>
          <w:p w14:paraId="6479723A" w14:textId="77777777" w:rsidR="00FD6F91" w:rsidRPr="00A47583" w:rsidRDefault="00FD6F91" w:rsidP="00FD6F91">
            <w:pPr>
              <w:jc w:val="center"/>
              <w:rPr>
                <w:rFonts w:cs="Calibri"/>
                <w:color w:val="000000"/>
                <w:sz w:val="18"/>
                <w:szCs w:val="18"/>
              </w:rPr>
            </w:pPr>
            <w:r w:rsidRPr="00A47583">
              <w:rPr>
                <w:rFonts w:cs="Calibri"/>
                <w:color w:val="000000"/>
                <w:sz w:val="18"/>
                <w:szCs w:val="18"/>
              </w:rPr>
              <w:t>884</w:t>
            </w:r>
          </w:p>
        </w:tc>
        <w:tc>
          <w:tcPr>
            <w:tcW w:w="879" w:type="dxa"/>
            <w:tcBorders>
              <w:top w:val="nil"/>
              <w:left w:val="nil"/>
              <w:bottom w:val="nil"/>
              <w:right w:val="nil"/>
            </w:tcBorders>
            <w:shd w:val="clear" w:color="auto" w:fill="auto"/>
            <w:noWrap/>
            <w:vAlign w:val="center"/>
          </w:tcPr>
          <w:p w14:paraId="22200279" w14:textId="77777777" w:rsidR="00FD6F91" w:rsidRPr="00A47583" w:rsidRDefault="00FD6F91" w:rsidP="00FD6F91">
            <w:pPr>
              <w:jc w:val="center"/>
              <w:rPr>
                <w:rFonts w:cs="Calibri"/>
                <w:color w:val="000000"/>
                <w:sz w:val="18"/>
                <w:szCs w:val="18"/>
              </w:rPr>
            </w:pPr>
            <w:r w:rsidRPr="00A47583">
              <w:rPr>
                <w:rFonts w:cs="Calibri"/>
                <w:color w:val="000000"/>
                <w:sz w:val="18"/>
                <w:szCs w:val="18"/>
              </w:rPr>
              <w:t>909</w:t>
            </w:r>
          </w:p>
        </w:tc>
        <w:tc>
          <w:tcPr>
            <w:tcW w:w="879" w:type="dxa"/>
            <w:tcBorders>
              <w:top w:val="nil"/>
              <w:left w:val="nil"/>
              <w:bottom w:val="nil"/>
              <w:right w:val="nil"/>
            </w:tcBorders>
            <w:shd w:val="clear" w:color="auto" w:fill="auto"/>
            <w:noWrap/>
            <w:vAlign w:val="center"/>
          </w:tcPr>
          <w:p w14:paraId="410BA8E9" w14:textId="77777777" w:rsidR="00FD6F91" w:rsidRPr="00A47583" w:rsidRDefault="00FD6F91" w:rsidP="00FD6F91">
            <w:pPr>
              <w:jc w:val="center"/>
              <w:rPr>
                <w:rFonts w:cs="Calibri"/>
                <w:color w:val="000000"/>
                <w:sz w:val="18"/>
                <w:szCs w:val="18"/>
              </w:rPr>
            </w:pPr>
            <w:r w:rsidRPr="00A47583">
              <w:rPr>
                <w:rFonts w:cs="Calibri"/>
                <w:color w:val="000000"/>
                <w:sz w:val="18"/>
                <w:szCs w:val="18"/>
              </w:rPr>
              <w:t>1,129</w:t>
            </w:r>
          </w:p>
        </w:tc>
        <w:tc>
          <w:tcPr>
            <w:tcW w:w="879" w:type="dxa"/>
            <w:tcBorders>
              <w:top w:val="nil"/>
              <w:left w:val="nil"/>
              <w:bottom w:val="nil"/>
              <w:right w:val="nil"/>
            </w:tcBorders>
            <w:shd w:val="clear" w:color="auto" w:fill="auto"/>
            <w:noWrap/>
            <w:vAlign w:val="center"/>
          </w:tcPr>
          <w:p w14:paraId="775BBB06" w14:textId="3086EC69" w:rsidR="00FD6F91" w:rsidRPr="00A47583" w:rsidRDefault="00FD6F91" w:rsidP="00CD2234">
            <w:pPr>
              <w:jc w:val="center"/>
              <w:rPr>
                <w:rFonts w:cs="Calibri"/>
                <w:color w:val="000000"/>
                <w:sz w:val="18"/>
                <w:szCs w:val="18"/>
              </w:rPr>
            </w:pPr>
            <w:r w:rsidRPr="00A47583">
              <w:rPr>
                <w:rFonts w:cs="Calibri"/>
                <w:color w:val="000000"/>
                <w:sz w:val="18"/>
                <w:szCs w:val="18"/>
              </w:rPr>
              <w:t>1,0</w:t>
            </w:r>
            <w:r w:rsidR="00CD2234">
              <w:rPr>
                <w:rFonts w:cs="Calibri"/>
                <w:color w:val="000000"/>
                <w:sz w:val="18"/>
                <w:szCs w:val="18"/>
              </w:rPr>
              <w:t>58</w:t>
            </w:r>
          </w:p>
        </w:tc>
        <w:tc>
          <w:tcPr>
            <w:tcW w:w="879" w:type="dxa"/>
            <w:tcBorders>
              <w:top w:val="nil"/>
              <w:left w:val="nil"/>
              <w:bottom w:val="nil"/>
              <w:right w:val="nil"/>
            </w:tcBorders>
            <w:shd w:val="clear" w:color="auto" w:fill="auto"/>
            <w:noWrap/>
            <w:vAlign w:val="center"/>
          </w:tcPr>
          <w:p w14:paraId="1522C0DB" w14:textId="77777777" w:rsidR="00FD6F91" w:rsidRPr="00847FAE" w:rsidRDefault="00FD6F91" w:rsidP="00FD6F91">
            <w:pPr>
              <w:jc w:val="center"/>
              <w:rPr>
                <w:rFonts w:cs="Calibri"/>
                <w:color w:val="000000"/>
                <w:sz w:val="18"/>
                <w:szCs w:val="18"/>
              </w:rPr>
            </w:pPr>
            <w:r w:rsidRPr="00847FAE">
              <w:rPr>
                <w:rFonts w:cs="Calibri"/>
                <w:color w:val="000000"/>
                <w:sz w:val="18"/>
                <w:szCs w:val="18"/>
              </w:rPr>
              <w:t>1,172</w:t>
            </w:r>
          </w:p>
        </w:tc>
        <w:tc>
          <w:tcPr>
            <w:tcW w:w="1134" w:type="dxa"/>
            <w:tcBorders>
              <w:top w:val="nil"/>
              <w:left w:val="nil"/>
              <w:bottom w:val="nil"/>
              <w:right w:val="nil"/>
            </w:tcBorders>
            <w:shd w:val="clear" w:color="auto" w:fill="auto"/>
            <w:noWrap/>
            <w:vAlign w:val="center"/>
          </w:tcPr>
          <w:p w14:paraId="714D45C8" w14:textId="765EA5A5" w:rsidR="00FD6F91" w:rsidRPr="00847FAE" w:rsidRDefault="00CD2234" w:rsidP="00FD6F91">
            <w:pPr>
              <w:jc w:val="center"/>
              <w:rPr>
                <w:rFonts w:cs="Calibri"/>
                <w:color w:val="000000"/>
                <w:sz w:val="18"/>
                <w:szCs w:val="18"/>
              </w:rPr>
            </w:pPr>
            <w:r>
              <w:rPr>
                <w:rFonts w:cs="Calibri"/>
                <w:color w:val="000000"/>
                <w:sz w:val="18"/>
                <w:szCs w:val="18"/>
              </w:rPr>
              <w:t>10.8</w:t>
            </w:r>
            <w:r w:rsidR="00FD6F91" w:rsidRPr="00847FAE">
              <w:rPr>
                <w:rFonts w:cs="Calibri"/>
                <w:color w:val="000000"/>
                <w:sz w:val="18"/>
                <w:szCs w:val="18"/>
              </w:rPr>
              <w:t>%</w:t>
            </w:r>
          </w:p>
        </w:tc>
      </w:tr>
      <w:tr w:rsidR="00FD6F91" w:rsidRPr="00847FAE" w14:paraId="078F5ED4" w14:textId="77777777" w:rsidTr="001F1F60">
        <w:trPr>
          <w:cantSplit/>
          <w:trHeight w:val="255"/>
        </w:trPr>
        <w:tc>
          <w:tcPr>
            <w:tcW w:w="3402" w:type="dxa"/>
            <w:tcBorders>
              <w:top w:val="nil"/>
              <w:left w:val="nil"/>
              <w:bottom w:val="nil"/>
              <w:right w:val="nil"/>
            </w:tcBorders>
            <w:shd w:val="clear" w:color="auto" w:fill="auto"/>
            <w:noWrap/>
          </w:tcPr>
          <w:p w14:paraId="54EE88D9"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Restraint order applications</w:t>
            </w:r>
          </w:p>
        </w:tc>
        <w:tc>
          <w:tcPr>
            <w:tcW w:w="879" w:type="dxa"/>
            <w:tcBorders>
              <w:top w:val="nil"/>
              <w:left w:val="nil"/>
              <w:bottom w:val="nil"/>
              <w:right w:val="nil"/>
            </w:tcBorders>
            <w:shd w:val="clear" w:color="auto" w:fill="auto"/>
            <w:noWrap/>
            <w:vAlign w:val="center"/>
          </w:tcPr>
          <w:p w14:paraId="5E04BECD" w14:textId="77777777" w:rsidR="00FD6F91" w:rsidRPr="00A47583" w:rsidRDefault="00FD6F91" w:rsidP="00FD6F91">
            <w:pPr>
              <w:jc w:val="center"/>
              <w:rPr>
                <w:rFonts w:cs="Calibri"/>
                <w:color w:val="000000"/>
                <w:sz w:val="18"/>
                <w:szCs w:val="18"/>
              </w:rPr>
            </w:pPr>
            <w:r w:rsidRPr="00A47583">
              <w:rPr>
                <w:rFonts w:cs="Calibri"/>
                <w:color w:val="000000"/>
                <w:sz w:val="18"/>
                <w:szCs w:val="18"/>
              </w:rPr>
              <w:t>1,133</w:t>
            </w:r>
          </w:p>
        </w:tc>
        <w:tc>
          <w:tcPr>
            <w:tcW w:w="879" w:type="dxa"/>
            <w:tcBorders>
              <w:top w:val="nil"/>
              <w:left w:val="nil"/>
              <w:bottom w:val="nil"/>
              <w:right w:val="nil"/>
            </w:tcBorders>
            <w:shd w:val="clear" w:color="auto" w:fill="auto"/>
            <w:noWrap/>
            <w:vAlign w:val="center"/>
          </w:tcPr>
          <w:p w14:paraId="7718B3BB" w14:textId="77777777" w:rsidR="00FD6F91" w:rsidRPr="00A47583" w:rsidRDefault="00FD6F91" w:rsidP="00FD6F91">
            <w:pPr>
              <w:jc w:val="center"/>
              <w:rPr>
                <w:rFonts w:cs="Calibri"/>
                <w:color w:val="000000"/>
                <w:sz w:val="18"/>
                <w:szCs w:val="18"/>
              </w:rPr>
            </w:pPr>
            <w:r w:rsidRPr="00A47583">
              <w:rPr>
                <w:rFonts w:cs="Calibri"/>
                <w:color w:val="000000"/>
                <w:sz w:val="18"/>
                <w:szCs w:val="18"/>
              </w:rPr>
              <w:t>1,223</w:t>
            </w:r>
          </w:p>
        </w:tc>
        <w:tc>
          <w:tcPr>
            <w:tcW w:w="879" w:type="dxa"/>
            <w:tcBorders>
              <w:top w:val="nil"/>
              <w:left w:val="nil"/>
              <w:bottom w:val="nil"/>
              <w:right w:val="nil"/>
            </w:tcBorders>
            <w:shd w:val="clear" w:color="auto" w:fill="auto"/>
            <w:noWrap/>
            <w:vAlign w:val="center"/>
          </w:tcPr>
          <w:p w14:paraId="09B41768" w14:textId="77777777" w:rsidR="00FD6F91" w:rsidRPr="00A47583" w:rsidRDefault="00FD6F91" w:rsidP="00FD6F91">
            <w:pPr>
              <w:jc w:val="center"/>
              <w:rPr>
                <w:rFonts w:cs="Calibri"/>
                <w:color w:val="000000"/>
                <w:sz w:val="18"/>
                <w:szCs w:val="18"/>
              </w:rPr>
            </w:pPr>
            <w:r w:rsidRPr="00A47583">
              <w:rPr>
                <w:rFonts w:cs="Calibri"/>
                <w:color w:val="000000"/>
                <w:sz w:val="18"/>
                <w:szCs w:val="18"/>
              </w:rPr>
              <w:t>1,135</w:t>
            </w:r>
          </w:p>
        </w:tc>
        <w:tc>
          <w:tcPr>
            <w:tcW w:w="879" w:type="dxa"/>
            <w:tcBorders>
              <w:top w:val="nil"/>
              <w:left w:val="nil"/>
              <w:bottom w:val="nil"/>
              <w:right w:val="nil"/>
            </w:tcBorders>
            <w:shd w:val="clear" w:color="auto" w:fill="auto"/>
            <w:noWrap/>
            <w:vAlign w:val="center"/>
          </w:tcPr>
          <w:p w14:paraId="5CF297AB" w14:textId="77777777" w:rsidR="00FD6F91" w:rsidRPr="00A47583" w:rsidRDefault="00FD6F91" w:rsidP="00FD6F91">
            <w:pPr>
              <w:jc w:val="center"/>
              <w:rPr>
                <w:rFonts w:cs="Calibri"/>
                <w:color w:val="000000"/>
                <w:sz w:val="18"/>
                <w:szCs w:val="18"/>
              </w:rPr>
            </w:pPr>
            <w:r w:rsidRPr="00A47583">
              <w:rPr>
                <w:rFonts w:cs="Calibri"/>
                <w:color w:val="000000"/>
                <w:sz w:val="18"/>
                <w:szCs w:val="18"/>
              </w:rPr>
              <w:t>1,250</w:t>
            </w:r>
          </w:p>
        </w:tc>
        <w:tc>
          <w:tcPr>
            <w:tcW w:w="879" w:type="dxa"/>
            <w:tcBorders>
              <w:top w:val="nil"/>
              <w:left w:val="nil"/>
              <w:bottom w:val="nil"/>
              <w:right w:val="nil"/>
            </w:tcBorders>
            <w:shd w:val="clear" w:color="auto" w:fill="auto"/>
            <w:noWrap/>
            <w:vAlign w:val="center"/>
          </w:tcPr>
          <w:p w14:paraId="61B15F60" w14:textId="77777777" w:rsidR="00FD6F91" w:rsidRPr="00847FAE" w:rsidRDefault="00FD6F91" w:rsidP="00FD6F91">
            <w:pPr>
              <w:jc w:val="center"/>
              <w:rPr>
                <w:rFonts w:cs="Calibri"/>
                <w:color w:val="000000"/>
                <w:sz w:val="18"/>
                <w:szCs w:val="18"/>
              </w:rPr>
            </w:pPr>
            <w:r w:rsidRPr="00847FAE">
              <w:rPr>
                <w:rFonts w:cs="Calibri"/>
                <w:color w:val="000000"/>
                <w:sz w:val="18"/>
                <w:szCs w:val="18"/>
              </w:rPr>
              <w:t>1,143</w:t>
            </w:r>
          </w:p>
        </w:tc>
        <w:tc>
          <w:tcPr>
            <w:tcW w:w="1134" w:type="dxa"/>
            <w:tcBorders>
              <w:top w:val="nil"/>
              <w:left w:val="nil"/>
              <w:bottom w:val="nil"/>
              <w:right w:val="nil"/>
            </w:tcBorders>
            <w:shd w:val="clear" w:color="auto" w:fill="auto"/>
            <w:noWrap/>
            <w:vAlign w:val="center"/>
          </w:tcPr>
          <w:p w14:paraId="6CA4C10F" w14:textId="77777777" w:rsidR="00FD6F91" w:rsidRPr="00847FAE" w:rsidRDefault="00FD6F91" w:rsidP="00FD6F91">
            <w:pPr>
              <w:jc w:val="center"/>
              <w:rPr>
                <w:rFonts w:cs="Calibri"/>
                <w:color w:val="000000"/>
                <w:sz w:val="18"/>
                <w:szCs w:val="18"/>
              </w:rPr>
            </w:pPr>
            <w:r w:rsidRPr="00847FAE">
              <w:rPr>
                <w:rFonts w:cs="Calibri"/>
                <w:color w:val="000000"/>
                <w:sz w:val="18"/>
                <w:szCs w:val="18"/>
              </w:rPr>
              <w:t>-8.6%</w:t>
            </w:r>
          </w:p>
        </w:tc>
      </w:tr>
      <w:tr w:rsidR="00FD6F91" w:rsidRPr="00847FAE" w14:paraId="5D96D11B" w14:textId="77777777" w:rsidTr="001F1F60">
        <w:trPr>
          <w:cantSplit/>
          <w:trHeight w:val="255"/>
        </w:trPr>
        <w:tc>
          <w:tcPr>
            <w:tcW w:w="3402" w:type="dxa"/>
            <w:tcBorders>
              <w:top w:val="nil"/>
              <w:left w:val="nil"/>
              <w:bottom w:val="nil"/>
              <w:right w:val="nil"/>
            </w:tcBorders>
            <w:shd w:val="clear" w:color="auto" w:fill="auto"/>
            <w:noWrap/>
          </w:tcPr>
          <w:p w14:paraId="2235A097" w14:textId="77777777" w:rsidR="00FD6F91" w:rsidRPr="00847FAE" w:rsidRDefault="00FD6F91" w:rsidP="00FD6F91">
            <w:pPr>
              <w:widowControl w:val="0"/>
              <w:rPr>
                <w:rFonts w:cs="Calibri"/>
                <w:b/>
                <w:iCs/>
                <w:color w:val="000000"/>
                <w:sz w:val="18"/>
                <w:szCs w:val="18"/>
              </w:rPr>
            </w:pPr>
            <w:r w:rsidRPr="00847FAE">
              <w:rPr>
                <w:rFonts w:cs="Calibri"/>
                <w:b/>
                <w:iCs/>
                <w:color w:val="000000"/>
                <w:sz w:val="18"/>
                <w:szCs w:val="18"/>
              </w:rPr>
              <w:t>Finalisations</w:t>
            </w:r>
          </w:p>
        </w:tc>
        <w:tc>
          <w:tcPr>
            <w:tcW w:w="879" w:type="dxa"/>
            <w:tcBorders>
              <w:top w:val="nil"/>
              <w:left w:val="nil"/>
              <w:bottom w:val="nil"/>
              <w:right w:val="nil"/>
            </w:tcBorders>
            <w:shd w:val="clear" w:color="auto" w:fill="auto"/>
            <w:noWrap/>
          </w:tcPr>
          <w:p w14:paraId="7E5E95D2"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shd w:val="clear" w:color="auto" w:fill="auto"/>
            <w:noWrap/>
          </w:tcPr>
          <w:p w14:paraId="0DA698BF"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shd w:val="clear" w:color="auto" w:fill="auto"/>
            <w:noWrap/>
          </w:tcPr>
          <w:p w14:paraId="4B3E89D0"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shd w:val="clear" w:color="auto" w:fill="auto"/>
            <w:noWrap/>
          </w:tcPr>
          <w:p w14:paraId="3939D3C5"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shd w:val="clear" w:color="auto" w:fill="auto"/>
            <w:noWrap/>
          </w:tcPr>
          <w:p w14:paraId="7A7DF2EC" w14:textId="77777777" w:rsidR="00FD6F91" w:rsidRPr="00847FAE" w:rsidRDefault="00FD6F91" w:rsidP="00FD6F91">
            <w:pPr>
              <w:widowControl w:val="0"/>
              <w:jc w:val="right"/>
              <w:rPr>
                <w:sz w:val="18"/>
                <w:szCs w:val="18"/>
              </w:rPr>
            </w:pPr>
          </w:p>
        </w:tc>
        <w:tc>
          <w:tcPr>
            <w:tcW w:w="1134" w:type="dxa"/>
            <w:tcBorders>
              <w:top w:val="nil"/>
              <w:left w:val="nil"/>
              <w:bottom w:val="nil"/>
              <w:right w:val="nil"/>
            </w:tcBorders>
            <w:shd w:val="clear" w:color="auto" w:fill="auto"/>
            <w:noWrap/>
          </w:tcPr>
          <w:p w14:paraId="4CDD3714" w14:textId="77777777" w:rsidR="00FD6F91" w:rsidRPr="00847FAE" w:rsidRDefault="00FD6F91" w:rsidP="00FD6F91">
            <w:pPr>
              <w:widowControl w:val="0"/>
              <w:jc w:val="center"/>
              <w:rPr>
                <w:sz w:val="18"/>
                <w:szCs w:val="18"/>
              </w:rPr>
            </w:pPr>
          </w:p>
        </w:tc>
      </w:tr>
      <w:tr w:rsidR="00FD6F91" w:rsidRPr="00847FAE" w14:paraId="09224C67" w14:textId="77777777" w:rsidTr="001F1F60">
        <w:trPr>
          <w:cantSplit/>
          <w:trHeight w:val="255"/>
        </w:trPr>
        <w:tc>
          <w:tcPr>
            <w:tcW w:w="3402" w:type="dxa"/>
            <w:tcBorders>
              <w:top w:val="nil"/>
              <w:left w:val="nil"/>
              <w:bottom w:val="nil"/>
              <w:right w:val="nil"/>
            </w:tcBorders>
            <w:shd w:val="clear" w:color="auto" w:fill="auto"/>
            <w:noWrap/>
          </w:tcPr>
          <w:p w14:paraId="7DE0E6A6" w14:textId="26B463E3"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Civil claims</w:t>
            </w:r>
            <w:r w:rsidR="00CD2234">
              <w:rPr>
                <w:rFonts w:cs="Calibri"/>
                <w:iCs/>
                <w:color w:val="000000"/>
                <w:sz w:val="18"/>
                <w:szCs w:val="18"/>
                <w:vertAlign w:val="superscript"/>
              </w:rPr>
              <w:t>6</w:t>
            </w:r>
            <w:r w:rsidRPr="00847FAE">
              <w:rPr>
                <w:rFonts w:cs="Calibri"/>
                <w:iCs/>
                <w:color w:val="000000"/>
                <w:sz w:val="18"/>
                <w:szCs w:val="18"/>
              </w:rPr>
              <w:t xml:space="preserve"> </w:t>
            </w:r>
          </w:p>
        </w:tc>
        <w:tc>
          <w:tcPr>
            <w:tcW w:w="879" w:type="dxa"/>
            <w:tcBorders>
              <w:top w:val="nil"/>
              <w:left w:val="nil"/>
              <w:bottom w:val="nil"/>
              <w:right w:val="nil"/>
            </w:tcBorders>
            <w:shd w:val="clear" w:color="auto" w:fill="auto"/>
            <w:noWrap/>
            <w:vAlign w:val="center"/>
          </w:tcPr>
          <w:p w14:paraId="37FD7973" w14:textId="77777777" w:rsidR="00FD6F91" w:rsidRPr="00847FAE" w:rsidRDefault="00FD6F91" w:rsidP="00FD6F91">
            <w:pPr>
              <w:jc w:val="center"/>
              <w:rPr>
                <w:rFonts w:cs="Calibri"/>
                <w:color w:val="000000"/>
                <w:sz w:val="18"/>
                <w:szCs w:val="18"/>
              </w:rPr>
            </w:pPr>
            <w:r w:rsidRPr="00847FAE">
              <w:rPr>
                <w:rFonts w:cs="Calibri"/>
                <w:color w:val="000000"/>
                <w:sz w:val="18"/>
                <w:szCs w:val="18"/>
              </w:rPr>
              <w:t>5,766</w:t>
            </w:r>
          </w:p>
        </w:tc>
        <w:tc>
          <w:tcPr>
            <w:tcW w:w="879" w:type="dxa"/>
            <w:tcBorders>
              <w:top w:val="nil"/>
              <w:left w:val="nil"/>
              <w:bottom w:val="nil"/>
              <w:right w:val="nil"/>
            </w:tcBorders>
            <w:shd w:val="clear" w:color="auto" w:fill="auto"/>
            <w:noWrap/>
            <w:vAlign w:val="center"/>
          </w:tcPr>
          <w:p w14:paraId="1228F018" w14:textId="77777777" w:rsidR="00FD6F91" w:rsidRPr="00847FAE" w:rsidRDefault="00FD6F91" w:rsidP="00FD6F91">
            <w:pPr>
              <w:jc w:val="center"/>
              <w:rPr>
                <w:rFonts w:cs="Calibri"/>
                <w:color w:val="000000"/>
                <w:sz w:val="18"/>
                <w:szCs w:val="18"/>
              </w:rPr>
            </w:pPr>
            <w:r w:rsidRPr="00847FAE">
              <w:rPr>
                <w:rFonts w:cs="Calibri"/>
                <w:color w:val="000000"/>
                <w:sz w:val="18"/>
                <w:szCs w:val="18"/>
              </w:rPr>
              <w:t>4,931</w:t>
            </w:r>
          </w:p>
        </w:tc>
        <w:tc>
          <w:tcPr>
            <w:tcW w:w="879" w:type="dxa"/>
            <w:tcBorders>
              <w:top w:val="nil"/>
              <w:left w:val="nil"/>
              <w:bottom w:val="nil"/>
              <w:right w:val="nil"/>
            </w:tcBorders>
            <w:shd w:val="clear" w:color="auto" w:fill="auto"/>
            <w:noWrap/>
            <w:vAlign w:val="center"/>
          </w:tcPr>
          <w:p w14:paraId="478F8EDA" w14:textId="77777777" w:rsidR="00FD6F91" w:rsidRPr="00847FAE" w:rsidRDefault="00FD6F91" w:rsidP="00FD6F91">
            <w:pPr>
              <w:jc w:val="center"/>
              <w:rPr>
                <w:rFonts w:cs="Calibri"/>
                <w:color w:val="000000"/>
                <w:sz w:val="18"/>
                <w:szCs w:val="18"/>
              </w:rPr>
            </w:pPr>
            <w:r w:rsidRPr="00847FAE">
              <w:rPr>
                <w:rFonts w:cs="Calibri"/>
                <w:color w:val="000000"/>
                <w:sz w:val="18"/>
                <w:szCs w:val="18"/>
              </w:rPr>
              <w:t>4,274</w:t>
            </w:r>
          </w:p>
        </w:tc>
        <w:tc>
          <w:tcPr>
            <w:tcW w:w="879" w:type="dxa"/>
            <w:tcBorders>
              <w:top w:val="nil"/>
              <w:left w:val="nil"/>
              <w:bottom w:val="nil"/>
              <w:right w:val="nil"/>
            </w:tcBorders>
            <w:shd w:val="clear" w:color="auto" w:fill="auto"/>
            <w:noWrap/>
            <w:vAlign w:val="center"/>
          </w:tcPr>
          <w:p w14:paraId="69681BA2" w14:textId="77777777" w:rsidR="00FD6F91" w:rsidRPr="00847FAE" w:rsidRDefault="00FD6F91" w:rsidP="00FD6F91">
            <w:pPr>
              <w:jc w:val="center"/>
              <w:rPr>
                <w:rFonts w:cs="Calibri"/>
                <w:color w:val="000000"/>
                <w:sz w:val="18"/>
                <w:szCs w:val="18"/>
              </w:rPr>
            </w:pPr>
            <w:r w:rsidRPr="00847FAE">
              <w:rPr>
                <w:rFonts w:cs="Calibri"/>
                <w:color w:val="000000"/>
                <w:sz w:val="18"/>
                <w:szCs w:val="18"/>
              </w:rPr>
              <w:t>4,034</w:t>
            </w:r>
          </w:p>
        </w:tc>
        <w:tc>
          <w:tcPr>
            <w:tcW w:w="879" w:type="dxa"/>
            <w:tcBorders>
              <w:top w:val="nil"/>
              <w:left w:val="nil"/>
              <w:bottom w:val="nil"/>
              <w:right w:val="nil"/>
            </w:tcBorders>
            <w:shd w:val="clear" w:color="auto" w:fill="auto"/>
            <w:noWrap/>
            <w:vAlign w:val="center"/>
          </w:tcPr>
          <w:p w14:paraId="59F8F8E8" w14:textId="77777777" w:rsidR="00FD6F91" w:rsidRPr="00847FAE" w:rsidRDefault="00FD6F91" w:rsidP="00FD6F91">
            <w:pPr>
              <w:jc w:val="center"/>
              <w:rPr>
                <w:rFonts w:cs="Calibri"/>
                <w:color w:val="000000"/>
                <w:sz w:val="18"/>
                <w:szCs w:val="18"/>
              </w:rPr>
            </w:pPr>
            <w:r w:rsidRPr="00847FAE">
              <w:rPr>
                <w:rFonts w:cs="Calibri"/>
                <w:color w:val="000000"/>
                <w:sz w:val="18"/>
                <w:szCs w:val="18"/>
              </w:rPr>
              <w:t>3,645</w:t>
            </w:r>
          </w:p>
        </w:tc>
        <w:tc>
          <w:tcPr>
            <w:tcW w:w="1134" w:type="dxa"/>
            <w:tcBorders>
              <w:top w:val="nil"/>
              <w:left w:val="nil"/>
              <w:bottom w:val="nil"/>
              <w:right w:val="nil"/>
            </w:tcBorders>
            <w:shd w:val="clear" w:color="auto" w:fill="auto"/>
            <w:noWrap/>
            <w:vAlign w:val="center"/>
          </w:tcPr>
          <w:p w14:paraId="3F71BB11" w14:textId="77777777" w:rsidR="00FD6F91" w:rsidRPr="00847FAE" w:rsidRDefault="00FD6F91" w:rsidP="00FD6F91">
            <w:pPr>
              <w:jc w:val="center"/>
              <w:rPr>
                <w:rFonts w:cs="Calibri"/>
                <w:color w:val="000000"/>
                <w:sz w:val="18"/>
                <w:szCs w:val="18"/>
              </w:rPr>
            </w:pPr>
            <w:r w:rsidRPr="00847FAE">
              <w:rPr>
                <w:rFonts w:cs="Calibri"/>
                <w:color w:val="000000"/>
                <w:sz w:val="18"/>
                <w:szCs w:val="18"/>
              </w:rPr>
              <w:t>-9.6%</w:t>
            </w:r>
          </w:p>
        </w:tc>
      </w:tr>
      <w:tr w:rsidR="00FD6F91" w:rsidRPr="00847FAE" w14:paraId="2B4CCB15" w14:textId="77777777" w:rsidTr="001F1F60">
        <w:trPr>
          <w:cantSplit/>
          <w:trHeight w:val="255"/>
        </w:trPr>
        <w:tc>
          <w:tcPr>
            <w:tcW w:w="3402" w:type="dxa"/>
            <w:tcBorders>
              <w:top w:val="nil"/>
              <w:left w:val="nil"/>
              <w:bottom w:val="nil"/>
              <w:right w:val="nil"/>
            </w:tcBorders>
            <w:shd w:val="clear" w:color="auto" w:fill="auto"/>
            <w:noWrap/>
          </w:tcPr>
          <w:p w14:paraId="03D9BB00"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Family violence order applications</w:t>
            </w:r>
          </w:p>
        </w:tc>
        <w:tc>
          <w:tcPr>
            <w:tcW w:w="879" w:type="dxa"/>
            <w:tcBorders>
              <w:top w:val="nil"/>
              <w:left w:val="nil"/>
              <w:bottom w:val="nil"/>
              <w:right w:val="nil"/>
            </w:tcBorders>
            <w:shd w:val="clear" w:color="auto" w:fill="auto"/>
            <w:noWrap/>
            <w:vAlign w:val="center"/>
          </w:tcPr>
          <w:p w14:paraId="52E7AF96" w14:textId="77777777" w:rsidR="00FD6F91" w:rsidRPr="00847FAE" w:rsidRDefault="00FD6F91" w:rsidP="00FD6F91">
            <w:pPr>
              <w:jc w:val="center"/>
              <w:rPr>
                <w:rFonts w:cs="Calibri"/>
                <w:color w:val="000000"/>
                <w:sz w:val="18"/>
                <w:szCs w:val="18"/>
              </w:rPr>
            </w:pPr>
            <w:r w:rsidRPr="00847FAE">
              <w:rPr>
                <w:rFonts w:cs="Calibri"/>
                <w:color w:val="000000"/>
                <w:sz w:val="18"/>
                <w:szCs w:val="18"/>
              </w:rPr>
              <w:t>777</w:t>
            </w:r>
          </w:p>
        </w:tc>
        <w:tc>
          <w:tcPr>
            <w:tcW w:w="879" w:type="dxa"/>
            <w:tcBorders>
              <w:top w:val="nil"/>
              <w:left w:val="nil"/>
              <w:bottom w:val="nil"/>
              <w:right w:val="nil"/>
            </w:tcBorders>
            <w:shd w:val="clear" w:color="auto" w:fill="auto"/>
            <w:noWrap/>
            <w:vAlign w:val="center"/>
          </w:tcPr>
          <w:p w14:paraId="1D47FD5D" w14:textId="77777777" w:rsidR="00FD6F91" w:rsidRPr="00847FAE" w:rsidRDefault="00FD6F91" w:rsidP="00FD6F91">
            <w:pPr>
              <w:jc w:val="center"/>
              <w:rPr>
                <w:rFonts w:cs="Calibri"/>
                <w:color w:val="000000"/>
                <w:sz w:val="18"/>
                <w:szCs w:val="18"/>
              </w:rPr>
            </w:pPr>
            <w:r w:rsidRPr="00847FAE">
              <w:rPr>
                <w:rFonts w:cs="Calibri"/>
                <w:color w:val="000000"/>
                <w:sz w:val="18"/>
                <w:szCs w:val="18"/>
              </w:rPr>
              <w:t>763</w:t>
            </w:r>
          </w:p>
        </w:tc>
        <w:tc>
          <w:tcPr>
            <w:tcW w:w="879" w:type="dxa"/>
            <w:tcBorders>
              <w:top w:val="nil"/>
              <w:left w:val="nil"/>
              <w:bottom w:val="nil"/>
              <w:right w:val="nil"/>
            </w:tcBorders>
            <w:shd w:val="clear" w:color="auto" w:fill="auto"/>
            <w:noWrap/>
            <w:vAlign w:val="center"/>
          </w:tcPr>
          <w:p w14:paraId="6DCF9387" w14:textId="77777777" w:rsidR="00FD6F91" w:rsidRPr="00847FAE" w:rsidRDefault="00FD6F91" w:rsidP="00FD6F91">
            <w:pPr>
              <w:jc w:val="center"/>
              <w:rPr>
                <w:rFonts w:cs="Calibri"/>
                <w:color w:val="000000"/>
                <w:sz w:val="18"/>
                <w:szCs w:val="18"/>
              </w:rPr>
            </w:pPr>
            <w:r w:rsidRPr="00847FAE">
              <w:rPr>
                <w:rFonts w:cs="Calibri"/>
                <w:color w:val="000000"/>
                <w:sz w:val="18"/>
                <w:szCs w:val="18"/>
              </w:rPr>
              <w:t>934</w:t>
            </w:r>
          </w:p>
        </w:tc>
        <w:tc>
          <w:tcPr>
            <w:tcW w:w="879" w:type="dxa"/>
            <w:tcBorders>
              <w:top w:val="nil"/>
              <w:left w:val="nil"/>
              <w:bottom w:val="nil"/>
              <w:right w:val="nil"/>
            </w:tcBorders>
            <w:shd w:val="clear" w:color="auto" w:fill="auto"/>
            <w:noWrap/>
            <w:vAlign w:val="center"/>
          </w:tcPr>
          <w:p w14:paraId="4F5B8B77" w14:textId="77777777" w:rsidR="00FD6F91" w:rsidRPr="00847FAE" w:rsidRDefault="00FD6F91" w:rsidP="00FD6F91">
            <w:pPr>
              <w:jc w:val="center"/>
              <w:rPr>
                <w:rFonts w:cs="Calibri"/>
                <w:color w:val="000000"/>
                <w:sz w:val="18"/>
                <w:szCs w:val="18"/>
              </w:rPr>
            </w:pPr>
            <w:r w:rsidRPr="00847FAE">
              <w:rPr>
                <w:rFonts w:cs="Calibri"/>
                <w:color w:val="000000"/>
                <w:sz w:val="18"/>
                <w:szCs w:val="18"/>
              </w:rPr>
              <w:t>922</w:t>
            </w:r>
          </w:p>
        </w:tc>
        <w:tc>
          <w:tcPr>
            <w:tcW w:w="879" w:type="dxa"/>
            <w:tcBorders>
              <w:top w:val="nil"/>
              <w:left w:val="nil"/>
              <w:bottom w:val="nil"/>
              <w:right w:val="nil"/>
            </w:tcBorders>
            <w:shd w:val="clear" w:color="auto" w:fill="auto"/>
            <w:noWrap/>
            <w:vAlign w:val="center"/>
          </w:tcPr>
          <w:p w14:paraId="060243F4" w14:textId="77777777" w:rsidR="00FD6F91" w:rsidRPr="00847FAE" w:rsidRDefault="00FD6F91" w:rsidP="00FD6F91">
            <w:pPr>
              <w:jc w:val="center"/>
              <w:rPr>
                <w:rFonts w:cs="Calibri"/>
                <w:color w:val="000000"/>
                <w:sz w:val="18"/>
                <w:szCs w:val="18"/>
              </w:rPr>
            </w:pPr>
            <w:r w:rsidRPr="00847FAE">
              <w:rPr>
                <w:rFonts w:cs="Calibri"/>
                <w:color w:val="000000"/>
                <w:sz w:val="18"/>
                <w:szCs w:val="18"/>
              </w:rPr>
              <w:t>1,073</w:t>
            </w:r>
          </w:p>
        </w:tc>
        <w:tc>
          <w:tcPr>
            <w:tcW w:w="1134" w:type="dxa"/>
            <w:tcBorders>
              <w:top w:val="nil"/>
              <w:left w:val="nil"/>
              <w:bottom w:val="nil"/>
              <w:right w:val="nil"/>
            </w:tcBorders>
            <w:shd w:val="clear" w:color="auto" w:fill="auto"/>
            <w:noWrap/>
            <w:vAlign w:val="center"/>
          </w:tcPr>
          <w:p w14:paraId="1FF59473" w14:textId="77777777" w:rsidR="00FD6F91" w:rsidRPr="00847FAE" w:rsidRDefault="00FD6F91" w:rsidP="00FD6F91">
            <w:pPr>
              <w:jc w:val="center"/>
              <w:rPr>
                <w:rFonts w:cs="Calibri"/>
                <w:color w:val="000000"/>
                <w:sz w:val="18"/>
                <w:szCs w:val="18"/>
              </w:rPr>
            </w:pPr>
            <w:r w:rsidRPr="00847FAE">
              <w:rPr>
                <w:rFonts w:cs="Calibri"/>
                <w:color w:val="000000"/>
                <w:sz w:val="18"/>
                <w:szCs w:val="18"/>
              </w:rPr>
              <w:t>16.4%</w:t>
            </w:r>
          </w:p>
        </w:tc>
      </w:tr>
      <w:tr w:rsidR="00FD6F91" w:rsidRPr="00847FAE" w14:paraId="6512CAF4" w14:textId="77777777" w:rsidTr="001F1F60">
        <w:trPr>
          <w:cantSplit/>
          <w:trHeight w:val="255"/>
        </w:trPr>
        <w:tc>
          <w:tcPr>
            <w:tcW w:w="3402" w:type="dxa"/>
            <w:tcBorders>
              <w:top w:val="nil"/>
              <w:left w:val="nil"/>
              <w:bottom w:val="single" w:sz="4" w:space="0" w:color="auto"/>
              <w:right w:val="nil"/>
            </w:tcBorders>
            <w:shd w:val="clear" w:color="auto" w:fill="auto"/>
            <w:noWrap/>
          </w:tcPr>
          <w:p w14:paraId="3C17AD29"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Restraint order applications</w:t>
            </w:r>
          </w:p>
        </w:tc>
        <w:tc>
          <w:tcPr>
            <w:tcW w:w="879" w:type="dxa"/>
            <w:tcBorders>
              <w:top w:val="nil"/>
              <w:left w:val="nil"/>
              <w:bottom w:val="single" w:sz="4" w:space="0" w:color="auto"/>
              <w:right w:val="nil"/>
            </w:tcBorders>
            <w:shd w:val="clear" w:color="auto" w:fill="auto"/>
            <w:noWrap/>
            <w:vAlign w:val="center"/>
          </w:tcPr>
          <w:p w14:paraId="735AD123" w14:textId="77777777" w:rsidR="00FD6F91" w:rsidRPr="00847FAE" w:rsidRDefault="00FD6F91" w:rsidP="00FD6F91">
            <w:pPr>
              <w:jc w:val="center"/>
              <w:rPr>
                <w:rFonts w:cs="Calibri"/>
                <w:color w:val="000000"/>
                <w:sz w:val="18"/>
                <w:szCs w:val="18"/>
              </w:rPr>
            </w:pPr>
            <w:r w:rsidRPr="00847FAE">
              <w:rPr>
                <w:rFonts w:cs="Calibri"/>
                <w:color w:val="000000"/>
                <w:sz w:val="18"/>
                <w:szCs w:val="18"/>
              </w:rPr>
              <w:t>1,098</w:t>
            </w:r>
          </w:p>
        </w:tc>
        <w:tc>
          <w:tcPr>
            <w:tcW w:w="879" w:type="dxa"/>
            <w:tcBorders>
              <w:top w:val="nil"/>
              <w:left w:val="nil"/>
              <w:bottom w:val="single" w:sz="4" w:space="0" w:color="auto"/>
              <w:right w:val="nil"/>
            </w:tcBorders>
            <w:shd w:val="clear" w:color="auto" w:fill="auto"/>
            <w:noWrap/>
            <w:vAlign w:val="center"/>
          </w:tcPr>
          <w:p w14:paraId="7E162459" w14:textId="77777777" w:rsidR="00FD6F91" w:rsidRPr="00847FAE" w:rsidRDefault="00FD6F91" w:rsidP="00FD6F91">
            <w:pPr>
              <w:jc w:val="center"/>
              <w:rPr>
                <w:rFonts w:cs="Calibri"/>
                <w:color w:val="000000"/>
                <w:sz w:val="18"/>
                <w:szCs w:val="18"/>
              </w:rPr>
            </w:pPr>
            <w:r w:rsidRPr="00847FAE">
              <w:rPr>
                <w:rFonts w:cs="Calibri"/>
                <w:color w:val="000000"/>
                <w:sz w:val="18"/>
                <w:szCs w:val="18"/>
              </w:rPr>
              <w:t>1,092</w:t>
            </w:r>
          </w:p>
        </w:tc>
        <w:tc>
          <w:tcPr>
            <w:tcW w:w="879" w:type="dxa"/>
            <w:tcBorders>
              <w:top w:val="nil"/>
              <w:left w:val="nil"/>
              <w:bottom w:val="single" w:sz="4" w:space="0" w:color="auto"/>
              <w:right w:val="nil"/>
            </w:tcBorders>
            <w:shd w:val="clear" w:color="auto" w:fill="auto"/>
            <w:noWrap/>
            <w:vAlign w:val="center"/>
          </w:tcPr>
          <w:p w14:paraId="327D5542" w14:textId="77777777" w:rsidR="00FD6F91" w:rsidRPr="00847FAE" w:rsidRDefault="00FD6F91" w:rsidP="00FD6F91">
            <w:pPr>
              <w:jc w:val="center"/>
              <w:rPr>
                <w:rFonts w:cs="Calibri"/>
                <w:color w:val="000000"/>
                <w:sz w:val="18"/>
                <w:szCs w:val="18"/>
              </w:rPr>
            </w:pPr>
            <w:r w:rsidRPr="00847FAE">
              <w:rPr>
                <w:rFonts w:cs="Calibri"/>
                <w:color w:val="000000"/>
                <w:sz w:val="18"/>
                <w:szCs w:val="18"/>
              </w:rPr>
              <w:t>1,045</w:t>
            </w:r>
          </w:p>
        </w:tc>
        <w:tc>
          <w:tcPr>
            <w:tcW w:w="879" w:type="dxa"/>
            <w:tcBorders>
              <w:top w:val="nil"/>
              <w:left w:val="nil"/>
              <w:bottom w:val="single" w:sz="4" w:space="0" w:color="auto"/>
              <w:right w:val="nil"/>
            </w:tcBorders>
            <w:shd w:val="clear" w:color="auto" w:fill="auto"/>
            <w:noWrap/>
            <w:vAlign w:val="center"/>
          </w:tcPr>
          <w:p w14:paraId="0D3C8040" w14:textId="77777777" w:rsidR="00FD6F91" w:rsidRPr="00847FAE" w:rsidRDefault="00FD6F91" w:rsidP="00FD6F91">
            <w:pPr>
              <w:jc w:val="center"/>
              <w:rPr>
                <w:rFonts w:cs="Calibri"/>
                <w:color w:val="000000"/>
                <w:sz w:val="18"/>
                <w:szCs w:val="18"/>
              </w:rPr>
            </w:pPr>
            <w:r w:rsidRPr="00847FAE">
              <w:rPr>
                <w:rFonts w:cs="Calibri"/>
                <w:color w:val="000000"/>
                <w:sz w:val="18"/>
                <w:szCs w:val="18"/>
              </w:rPr>
              <w:t>1,106</w:t>
            </w:r>
          </w:p>
        </w:tc>
        <w:tc>
          <w:tcPr>
            <w:tcW w:w="879" w:type="dxa"/>
            <w:tcBorders>
              <w:top w:val="nil"/>
              <w:left w:val="nil"/>
              <w:bottom w:val="single" w:sz="4" w:space="0" w:color="auto"/>
              <w:right w:val="nil"/>
            </w:tcBorders>
            <w:shd w:val="clear" w:color="auto" w:fill="auto"/>
            <w:noWrap/>
            <w:vAlign w:val="center"/>
          </w:tcPr>
          <w:p w14:paraId="6510BE5C" w14:textId="77777777" w:rsidR="00FD6F91" w:rsidRPr="00847FAE" w:rsidRDefault="00FD6F91" w:rsidP="00FD6F91">
            <w:pPr>
              <w:jc w:val="center"/>
              <w:rPr>
                <w:rFonts w:cs="Calibri"/>
                <w:color w:val="000000"/>
                <w:sz w:val="18"/>
                <w:szCs w:val="18"/>
              </w:rPr>
            </w:pPr>
            <w:r w:rsidRPr="00847FAE">
              <w:rPr>
                <w:rFonts w:cs="Calibri"/>
                <w:color w:val="000000"/>
                <w:sz w:val="18"/>
                <w:szCs w:val="18"/>
              </w:rPr>
              <w:t>1,146</w:t>
            </w:r>
          </w:p>
        </w:tc>
        <w:tc>
          <w:tcPr>
            <w:tcW w:w="1134" w:type="dxa"/>
            <w:tcBorders>
              <w:top w:val="nil"/>
              <w:left w:val="nil"/>
              <w:bottom w:val="single" w:sz="4" w:space="0" w:color="auto"/>
              <w:right w:val="nil"/>
            </w:tcBorders>
            <w:shd w:val="clear" w:color="auto" w:fill="auto"/>
            <w:noWrap/>
            <w:vAlign w:val="center"/>
          </w:tcPr>
          <w:p w14:paraId="4E63C895" w14:textId="77777777" w:rsidR="00FD6F91" w:rsidRPr="00847FAE" w:rsidRDefault="00FD6F91" w:rsidP="00FD6F91">
            <w:pPr>
              <w:jc w:val="center"/>
              <w:rPr>
                <w:rFonts w:cs="Calibri"/>
                <w:color w:val="000000"/>
                <w:sz w:val="18"/>
                <w:szCs w:val="18"/>
              </w:rPr>
            </w:pPr>
            <w:r w:rsidRPr="00847FAE">
              <w:rPr>
                <w:rFonts w:cs="Calibri"/>
                <w:color w:val="000000"/>
                <w:sz w:val="18"/>
                <w:szCs w:val="18"/>
              </w:rPr>
              <w:t>3.6%</w:t>
            </w:r>
          </w:p>
        </w:tc>
      </w:tr>
      <w:tr w:rsidR="00FD6F91" w:rsidRPr="00847FAE" w14:paraId="514CA130" w14:textId="77777777" w:rsidTr="001F1F60">
        <w:trPr>
          <w:cantSplit/>
          <w:trHeight w:val="255"/>
        </w:trPr>
        <w:tc>
          <w:tcPr>
            <w:tcW w:w="3402" w:type="dxa"/>
            <w:tcBorders>
              <w:top w:val="single" w:sz="4" w:space="0" w:color="auto"/>
              <w:left w:val="nil"/>
              <w:bottom w:val="single" w:sz="4" w:space="0" w:color="auto"/>
              <w:right w:val="nil"/>
            </w:tcBorders>
            <w:shd w:val="clear" w:color="auto" w:fill="auto"/>
            <w:noWrap/>
          </w:tcPr>
          <w:p w14:paraId="1D00CFC7"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CHILDREN’S COURT</w:t>
            </w:r>
          </w:p>
        </w:tc>
        <w:tc>
          <w:tcPr>
            <w:tcW w:w="879" w:type="dxa"/>
            <w:tcBorders>
              <w:top w:val="single" w:sz="4" w:space="0" w:color="auto"/>
              <w:left w:val="nil"/>
              <w:bottom w:val="single" w:sz="4" w:space="0" w:color="auto"/>
              <w:right w:val="nil"/>
            </w:tcBorders>
            <w:shd w:val="clear" w:color="auto" w:fill="auto"/>
            <w:noWrap/>
          </w:tcPr>
          <w:p w14:paraId="432FD6AA"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1D4B1BA4"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65701AEC"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18C5C05B"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757116C2"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single" w:sz="4" w:space="0" w:color="auto"/>
              <w:right w:val="nil"/>
            </w:tcBorders>
            <w:shd w:val="clear" w:color="auto" w:fill="auto"/>
            <w:noWrap/>
          </w:tcPr>
          <w:p w14:paraId="0E82F70F" w14:textId="77777777" w:rsidR="00FD6F91" w:rsidRPr="00847FAE" w:rsidRDefault="00FD6F91" w:rsidP="00FD6F91">
            <w:pPr>
              <w:widowControl w:val="0"/>
              <w:jc w:val="center"/>
              <w:rPr>
                <w:sz w:val="18"/>
                <w:szCs w:val="18"/>
              </w:rPr>
            </w:pPr>
          </w:p>
        </w:tc>
      </w:tr>
      <w:tr w:rsidR="00FD6F91" w:rsidRPr="00847FAE" w14:paraId="4BFA3395" w14:textId="77777777" w:rsidTr="001F1F60">
        <w:trPr>
          <w:cantSplit/>
          <w:trHeight w:val="255"/>
        </w:trPr>
        <w:tc>
          <w:tcPr>
            <w:tcW w:w="3402" w:type="dxa"/>
            <w:tcBorders>
              <w:top w:val="single" w:sz="4" w:space="0" w:color="auto"/>
              <w:left w:val="nil"/>
              <w:bottom w:val="nil"/>
              <w:right w:val="nil"/>
            </w:tcBorders>
            <w:shd w:val="clear" w:color="auto" w:fill="auto"/>
            <w:noWrap/>
          </w:tcPr>
          <w:p w14:paraId="03D084C2"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Care and protection applications lodged </w:t>
            </w:r>
          </w:p>
        </w:tc>
        <w:tc>
          <w:tcPr>
            <w:tcW w:w="879" w:type="dxa"/>
            <w:tcBorders>
              <w:top w:val="single" w:sz="4" w:space="0" w:color="auto"/>
              <w:left w:val="nil"/>
              <w:bottom w:val="nil"/>
              <w:right w:val="nil"/>
            </w:tcBorders>
            <w:shd w:val="clear" w:color="auto" w:fill="auto"/>
            <w:noWrap/>
            <w:vAlign w:val="center"/>
          </w:tcPr>
          <w:p w14:paraId="7181C38A" w14:textId="77777777" w:rsidR="00FD6F91" w:rsidRPr="00A47583" w:rsidRDefault="00FD6F91" w:rsidP="00FD6F91">
            <w:pPr>
              <w:jc w:val="center"/>
              <w:rPr>
                <w:rFonts w:cs="Calibri"/>
                <w:color w:val="000000"/>
                <w:sz w:val="18"/>
                <w:szCs w:val="18"/>
              </w:rPr>
            </w:pPr>
            <w:r w:rsidRPr="00A47583">
              <w:rPr>
                <w:rFonts w:cs="Calibri"/>
                <w:color w:val="000000"/>
                <w:sz w:val="18"/>
                <w:szCs w:val="18"/>
              </w:rPr>
              <w:t>690</w:t>
            </w:r>
          </w:p>
        </w:tc>
        <w:tc>
          <w:tcPr>
            <w:tcW w:w="879" w:type="dxa"/>
            <w:tcBorders>
              <w:top w:val="single" w:sz="4" w:space="0" w:color="auto"/>
              <w:left w:val="nil"/>
              <w:bottom w:val="nil"/>
              <w:right w:val="nil"/>
            </w:tcBorders>
            <w:shd w:val="clear" w:color="auto" w:fill="auto"/>
            <w:noWrap/>
            <w:vAlign w:val="center"/>
          </w:tcPr>
          <w:p w14:paraId="1A3786C3" w14:textId="77777777" w:rsidR="00FD6F91" w:rsidRPr="00A47583" w:rsidRDefault="00FD6F91" w:rsidP="00FD6F91">
            <w:pPr>
              <w:jc w:val="center"/>
              <w:rPr>
                <w:rFonts w:cs="Calibri"/>
                <w:color w:val="000000"/>
                <w:sz w:val="18"/>
                <w:szCs w:val="18"/>
              </w:rPr>
            </w:pPr>
            <w:r w:rsidRPr="00A47583">
              <w:rPr>
                <w:rFonts w:cs="Calibri"/>
                <w:color w:val="000000"/>
                <w:sz w:val="18"/>
                <w:szCs w:val="18"/>
              </w:rPr>
              <w:t>659</w:t>
            </w:r>
          </w:p>
        </w:tc>
        <w:tc>
          <w:tcPr>
            <w:tcW w:w="879" w:type="dxa"/>
            <w:tcBorders>
              <w:top w:val="single" w:sz="4" w:space="0" w:color="auto"/>
              <w:left w:val="nil"/>
              <w:bottom w:val="nil"/>
              <w:right w:val="nil"/>
            </w:tcBorders>
            <w:shd w:val="clear" w:color="auto" w:fill="auto"/>
            <w:noWrap/>
            <w:vAlign w:val="center"/>
          </w:tcPr>
          <w:p w14:paraId="5F39A39B" w14:textId="77777777" w:rsidR="00FD6F91" w:rsidRPr="00A47583" w:rsidRDefault="00FD6F91" w:rsidP="00FD6F91">
            <w:pPr>
              <w:jc w:val="center"/>
              <w:rPr>
                <w:rFonts w:cs="Calibri"/>
                <w:color w:val="000000"/>
                <w:sz w:val="18"/>
                <w:szCs w:val="18"/>
              </w:rPr>
            </w:pPr>
            <w:r w:rsidRPr="00A47583">
              <w:rPr>
                <w:rFonts w:cs="Calibri"/>
                <w:color w:val="000000"/>
                <w:sz w:val="18"/>
                <w:szCs w:val="18"/>
              </w:rPr>
              <w:t>763</w:t>
            </w:r>
          </w:p>
        </w:tc>
        <w:tc>
          <w:tcPr>
            <w:tcW w:w="879" w:type="dxa"/>
            <w:tcBorders>
              <w:top w:val="single" w:sz="4" w:space="0" w:color="auto"/>
              <w:left w:val="nil"/>
              <w:bottom w:val="nil"/>
              <w:right w:val="nil"/>
            </w:tcBorders>
            <w:shd w:val="clear" w:color="auto" w:fill="auto"/>
            <w:noWrap/>
            <w:vAlign w:val="center"/>
          </w:tcPr>
          <w:p w14:paraId="41465710" w14:textId="77777777" w:rsidR="00FD6F91" w:rsidRPr="00A47583" w:rsidRDefault="00FD6F91" w:rsidP="00FD6F91">
            <w:pPr>
              <w:jc w:val="center"/>
              <w:rPr>
                <w:rFonts w:cs="Calibri"/>
                <w:color w:val="000000"/>
                <w:sz w:val="18"/>
                <w:szCs w:val="18"/>
              </w:rPr>
            </w:pPr>
            <w:r w:rsidRPr="00A47583">
              <w:rPr>
                <w:rFonts w:cs="Calibri"/>
                <w:color w:val="000000"/>
                <w:sz w:val="18"/>
                <w:szCs w:val="18"/>
              </w:rPr>
              <w:t>735</w:t>
            </w:r>
          </w:p>
        </w:tc>
        <w:tc>
          <w:tcPr>
            <w:tcW w:w="879" w:type="dxa"/>
            <w:tcBorders>
              <w:top w:val="single" w:sz="4" w:space="0" w:color="auto"/>
              <w:left w:val="nil"/>
              <w:bottom w:val="nil"/>
              <w:right w:val="nil"/>
            </w:tcBorders>
            <w:shd w:val="clear" w:color="auto" w:fill="auto"/>
            <w:noWrap/>
            <w:vAlign w:val="center"/>
          </w:tcPr>
          <w:p w14:paraId="4286CDEA" w14:textId="77777777" w:rsidR="00FD6F91" w:rsidRPr="00847FAE" w:rsidRDefault="00FD6F91" w:rsidP="00FD6F91">
            <w:pPr>
              <w:jc w:val="center"/>
              <w:rPr>
                <w:rFonts w:cs="Calibri"/>
                <w:color w:val="000000"/>
                <w:sz w:val="18"/>
                <w:szCs w:val="18"/>
              </w:rPr>
            </w:pPr>
            <w:r w:rsidRPr="00847FAE">
              <w:rPr>
                <w:rFonts w:cs="Calibri"/>
                <w:color w:val="000000"/>
                <w:sz w:val="18"/>
                <w:szCs w:val="18"/>
              </w:rPr>
              <w:t>848</w:t>
            </w:r>
          </w:p>
        </w:tc>
        <w:tc>
          <w:tcPr>
            <w:tcW w:w="1134" w:type="dxa"/>
            <w:tcBorders>
              <w:top w:val="single" w:sz="4" w:space="0" w:color="auto"/>
              <w:left w:val="nil"/>
              <w:bottom w:val="nil"/>
              <w:right w:val="nil"/>
            </w:tcBorders>
            <w:shd w:val="clear" w:color="auto" w:fill="auto"/>
            <w:noWrap/>
            <w:vAlign w:val="center"/>
          </w:tcPr>
          <w:p w14:paraId="48966053" w14:textId="77777777" w:rsidR="00FD6F91" w:rsidRPr="00847FAE" w:rsidRDefault="00FD6F91" w:rsidP="00FD6F91">
            <w:pPr>
              <w:jc w:val="center"/>
              <w:rPr>
                <w:rFonts w:cs="Calibri"/>
                <w:color w:val="000000"/>
                <w:sz w:val="18"/>
                <w:szCs w:val="18"/>
              </w:rPr>
            </w:pPr>
            <w:r w:rsidRPr="00847FAE">
              <w:rPr>
                <w:rFonts w:cs="Calibri"/>
                <w:color w:val="000000"/>
                <w:sz w:val="18"/>
                <w:szCs w:val="18"/>
              </w:rPr>
              <w:t>15.3%</w:t>
            </w:r>
          </w:p>
        </w:tc>
      </w:tr>
      <w:tr w:rsidR="00FD6F91" w:rsidRPr="00847FAE" w14:paraId="56DAB37E" w14:textId="77777777" w:rsidTr="001F1F60">
        <w:trPr>
          <w:cantSplit/>
          <w:trHeight w:val="255"/>
        </w:trPr>
        <w:tc>
          <w:tcPr>
            <w:tcW w:w="3402" w:type="dxa"/>
            <w:tcBorders>
              <w:top w:val="nil"/>
              <w:left w:val="nil"/>
              <w:bottom w:val="single" w:sz="4" w:space="0" w:color="auto"/>
              <w:right w:val="nil"/>
            </w:tcBorders>
            <w:shd w:val="clear" w:color="auto" w:fill="auto"/>
            <w:noWrap/>
          </w:tcPr>
          <w:p w14:paraId="5899B664"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Care and protection applications finalised</w:t>
            </w:r>
          </w:p>
        </w:tc>
        <w:tc>
          <w:tcPr>
            <w:tcW w:w="879" w:type="dxa"/>
            <w:tcBorders>
              <w:top w:val="nil"/>
              <w:left w:val="nil"/>
              <w:bottom w:val="single" w:sz="4" w:space="0" w:color="auto"/>
              <w:right w:val="nil"/>
            </w:tcBorders>
            <w:shd w:val="clear" w:color="auto" w:fill="auto"/>
            <w:noWrap/>
            <w:vAlign w:val="center"/>
          </w:tcPr>
          <w:p w14:paraId="1BF6FD50" w14:textId="77777777" w:rsidR="00FD6F91" w:rsidRPr="00847FAE" w:rsidRDefault="00FD6F91" w:rsidP="00FD6F91">
            <w:pPr>
              <w:jc w:val="center"/>
              <w:rPr>
                <w:rFonts w:cs="Calibri"/>
                <w:color w:val="000000"/>
                <w:sz w:val="18"/>
                <w:szCs w:val="18"/>
              </w:rPr>
            </w:pPr>
            <w:r w:rsidRPr="00847FAE">
              <w:rPr>
                <w:rFonts w:cs="Calibri"/>
                <w:color w:val="000000"/>
                <w:sz w:val="18"/>
                <w:szCs w:val="18"/>
              </w:rPr>
              <w:t>606</w:t>
            </w:r>
          </w:p>
        </w:tc>
        <w:tc>
          <w:tcPr>
            <w:tcW w:w="879" w:type="dxa"/>
            <w:tcBorders>
              <w:top w:val="nil"/>
              <w:left w:val="nil"/>
              <w:bottom w:val="single" w:sz="4" w:space="0" w:color="auto"/>
              <w:right w:val="nil"/>
            </w:tcBorders>
            <w:shd w:val="clear" w:color="auto" w:fill="auto"/>
            <w:noWrap/>
            <w:vAlign w:val="center"/>
          </w:tcPr>
          <w:p w14:paraId="6D609783" w14:textId="77777777" w:rsidR="00FD6F91" w:rsidRPr="00847FAE" w:rsidRDefault="00FD6F91" w:rsidP="00FD6F91">
            <w:pPr>
              <w:jc w:val="center"/>
              <w:rPr>
                <w:rFonts w:cs="Calibri"/>
                <w:color w:val="000000"/>
                <w:sz w:val="18"/>
                <w:szCs w:val="18"/>
              </w:rPr>
            </w:pPr>
            <w:r w:rsidRPr="00847FAE">
              <w:rPr>
                <w:rFonts w:cs="Calibri"/>
                <w:color w:val="000000"/>
                <w:sz w:val="18"/>
                <w:szCs w:val="18"/>
              </w:rPr>
              <w:t>656</w:t>
            </w:r>
          </w:p>
        </w:tc>
        <w:tc>
          <w:tcPr>
            <w:tcW w:w="879" w:type="dxa"/>
            <w:tcBorders>
              <w:top w:val="nil"/>
              <w:left w:val="nil"/>
              <w:bottom w:val="single" w:sz="4" w:space="0" w:color="auto"/>
              <w:right w:val="nil"/>
            </w:tcBorders>
            <w:shd w:val="clear" w:color="auto" w:fill="auto"/>
            <w:noWrap/>
            <w:vAlign w:val="center"/>
          </w:tcPr>
          <w:p w14:paraId="2DA1784C" w14:textId="77777777" w:rsidR="00FD6F91" w:rsidRPr="00847FAE" w:rsidRDefault="00FD6F91" w:rsidP="00FD6F91">
            <w:pPr>
              <w:jc w:val="center"/>
              <w:rPr>
                <w:rFonts w:cs="Calibri"/>
                <w:color w:val="000000"/>
                <w:sz w:val="18"/>
                <w:szCs w:val="18"/>
              </w:rPr>
            </w:pPr>
            <w:r w:rsidRPr="00847FAE">
              <w:rPr>
                <w:rFonts w:cs="Calibri"/>
                <w:color w:val="000000"/>
                <w:sz w:val="18"/>
                <w:szCs w:val="18"/>
              </w:rPr>
              <w:t>657</w:t>
            </w:r>
          </w:p>
        </w:tc>
        <w:tc>
          <w:tcPr>
            <w:tcW w:w="879" w:type="dxa"/>
            <w:tcBorders>
              <w:top w:val="nil"/>
              <w:left w:val="nil"/>
              <w:bottom w:val="single" w:sz="4" w:space="0" w:color="auto"/>
              <w:right w:val="nil"/>
            </w:tcBorders>
            <w:shd w:val="clear" w:color="auto" w:fill="auto"/>
            <w:noWrap/>
            <w:vAlign w:val="center"/>
          </w:tcPr>
          <w:p w14:paraId="2690D141" w14:textId="77777777" w:rsidR="00FD6F91" w:rsidRPr="00847FAE" w:rsidRDefault="00FD6F91" w:rsidP="00FD6F91">
            <w:pPr>
              <w:jc w:val="center"/>
              <w:rPr>
                <w:rFonts w:cs="Calibri"/>
                <w:color w:val="000000"/>
                <w:sz w:val="18"/>
                <w:szCs w:val="18"/>
              </w:rPr>
            </w:pPr>
            <w:r w:rsidRPr="00847FAE">
              <w:rPr>
                <w:rFonts w:cs="Calibri"/>
                <w:color w:val="000000"/>
                <w:sz w:val="18"/>
                <w:szCs w:val="18"/>
              </w:rPr>
              <w:t>613</w:t>
            </w:r>
          </w:p>
        </w:tc>
        <w:tc>
          <w:tcPr>
            <w:tcW w:w="879" w:type="dxa"/>
            <w:tcBorders>
              <w:top w:val="nil"/>
              <w:left w:val="nil"/>
              <w:bottom w:val="single" w:sz="4" w:space="0" w:color="auto"/>
              <w:right w:val="nil"/>
            </w:tcBorders>
            <w:shd w:val="clear" w:color="auto" w:fill="auto"/>
            <w:noWrap/>
            <w:vAlign w:val="center"/>
          </w:tcPr>
          <w:p w14:paraId="1CB875B2" w14:textId="77777777" w:rsidR="00FD6F91" w:rsidRPr="00847FAE" w:rsidRDefault="00FD6F91" w:rsidP="00FD6F91">
            <w:pPr>
              <w:jc w:val="center"/>
              <w:rPr>
                <w:rFonts w:cs="Calibri"/>
                <w:color w:val="000000"/>
                <w:sz w:val="18"/>
                <w:szCs w:val="18"/>
              </w:rPr>
            </w:pPr>
            <w:r w:rsidRPr="00847FAE">
              <w:rPr>
                <w:rFonts w:cs="Calibri"/>
                <w:color w:val="000000"/>
                <w:sz w:val="18"/>
                <w:szCs w:val="18"/>
              </w:rPr>
              <w:t>758</w:t>
            </w:r>
          </w:p>
        </w:tc>
        <w:tc>
          <w:tcPr>
            <w:tcW w:w="1134" w:type="dxa"/>
            <w:tcBorders>
              <w:top w:val="nil"/>
              <w:left w:val="nil"/>
              <w:bottom w:val="single" w:sz="4" w:space="0" w:color="auto"/>
              <w:right w:val="nil"/>
            </w:tcBorders>
            <w:shd w:val="clear" w:color="auto" w:fill="auto"/>
            <w:noWrap/>
            <w:vAlign w:val="center"/>
          </w:tcPr>
          <w:p w14:paraId="6B87E14A" w14:textId="77777777" w:rsidR="00FD6F91" w:rsidRPr="00847FAE" w:rsidRDefault="00FD6F91" w:rsidP="00FD6F91">
            <w:pPr>
              <w:jc w:val="center"/>
              <w:rPr>
                <w:rFonts w:cs="Calibri"/>
                <w:color w:val="000000"/>
                <w:sz w:val="18"/>
                <w:szCs w:val="18"/>
              </w:rPr>
            </w:pPr>
            <w:r w:rsidRPr="00847FAE">
              <w:rPr>
                <w:rFonts w:cs="Calibri"/>
                <w:color w:val="000000"/>
                <w:sz w:val="18"/>
                <w:szCs w:val="18"/>
              </w:rPr>
              <w:t>23.7%</w:t>
            </w:r>
          </w:p>
        </w:tc>
      </w:tr>
    </w:tbl>
    <w:p w14:paraId="1F24B9EC" w14:textId="7F50A839" w:rsidR="00FD6F91" w:rsidRDefault="00FD6F91" w:rsidP="00FD6F91">
      <w:pPr>
        <w:rPr>
          <w:rFonts w:eastAsiaTheme="minorHAnsi"/>
          <w:lang w:eastAsia="en-US"/>
        </w:rPr>
      </w:pPr>
    </w:p>
    <w:p w14:paraId="54529F32" w14:textId="38952B92" w:rsidR="00CD2234" w:rsidRDefault="00CD2234" w:rsidP="00FD6F91">
      <w:pPr>
        <w:rPr>
          <w:rFonts w:eastAsiaTheme="minorHAnsi"/>
          <w:lang w:eastAsia="en-US"/>
        </w:rPr>
      </w:pPr>
    </w:p>
    <w:tbl>
      <w:tblPr>
        <w:tblStyle w:val="TableGrid1"/>
        <w:tblW w:w="8931" w:type="dxa"/>
        <w:tblLayout w:type="fixed"/>
        <w:tblCellMar>
          <w:top w:w="11" w:type="dxa"/>
          <w:bottom w:w="11" w:type="dxa"/>
        </w:tblCellMar>
        <w:tblLook w:val="04A0" w:firstRow="1" w:lastRow="0" w:firstColumn="1" w:lastColumn="0" w:noHBand="0" w:noVBand="1"/>
        <w:tblCaption w:val="ContinuedTable5SummaryStatisticsbyCourtLevel2013_14 to 2017_18"/>
        <w:tblDescription w:val="Tablecontinuingfrompreviouspage"/>
      </w:tblPr>
      <w:tblGrid>
        <w:gridCol w:w="3402"/>
        <w:gridCol w:w="879"/>
        <w:gridCol w:w="879"/>
        <w:gridCol w:w="879"/>
        <w:gridCol w:w="879"/>
        <w:gridCol w:w="879"/>
        <w:gridCol w:w="1134"/>
      </w:tblGrid>
      <w:tr w:rsidR="00FD6F91" w:rsidRPr="00847FAE" w14:paraId="2D26D0D2" w14:textId="77777777" w:rsidTr="004E3DB0">
        <w:trPr>
          <w:cantSplit/>
          <w:trHeight w:val="255"/>
          <w:tblHeader/>
        </w:trPr>
        <w:tc>
          <w:tcPr>
            <w:tcW w:w="3402" w:type="dxa"/>
            <w:tcBorders>
              <w:top w:val="single" w:sz="4" w:space="0" w:color="auto"/>
              <w:left w:val="nil"/>
              <w:bottom w:val="single" w:sz="4" w:space="0" w:color="auto"/>
              <w:right w:val="nil"/>
            </w:tcBorders>
            <w:shd w:val="clear" w:color="auto" w:fill="auto"/>
            <w:noWrap/>
          </w:tcPr>
          <w:p w14:paraId="5EFD61B5" w14:textId="77777777" w:rsidR="00FD6F91" w:rsidRPr="00847FAE" w:rsidRDefault="00FD6F91" w:rsidP="00FD6F91">
            <w:pPr>
              <w:widowControl w:val="0"/>
              <w:rPr>
                <w:rFonts w:cs="Calibri"/>
                <w:color w:val="000000"/>
                <w:sz w:val="18"/>
                <w:szCs w:val="18"/>
              </w:rPr>
            </w:pPr>
          </w:p>
        </w:tc>
        <w:tc>
          <w:tcPr>
            <w:tcW w:w="879" w:type="dxa"/>
            <w:tcBorders>
              <w:top w:val="single" w:sz="4" w:space="0" w:color="auto"/>
              <w:left w:val="nil"/>
              <w:bottom w:val="single" w:sz="4" w:space="0" w:color="auto"/>
              <w:right w:val="nil"/>
            </w:tcBorders>
            <w:shd w:val="clear" w:color="auto" w:fill="auto"/>
            <w:noWrap/>
            <w:vAlign w:val="bottom"/>
          </w:tcPr>
          <w:p w14:paraId="399A47D4" w14:textId="77777777" w:rsidR="00FD6F91" w:rsidRPr="00847FAE" w:rsidRDefault="00FD6F91" w:rsidP="00FD6F91">
            <w:pPr>
              <w:widowControl w:val="0"/>
              <w:rPr>
                <w:rFonts w:cs="Calibri"/>
                <w:bCs/>
                <w:color w:val="000000"/>
                <w:sz w:val="18"/>
                <w:szCs w:val="18"/>
                <w:vertAlign w:val="superscript"/>
              </w:rPr>
            </w:pPr>
            <w:r w:rsidRPr="00847FAE">
              <w:rPr>
                <w:rFonts w:cs="Calibri"/>
                <w:bCs/>
                <w:color w:val="000000"/>
                <w:sz w:val="18"/>
                <w:szCs w:val="18"/>
              </w:rPr>
              <w:t>2013-14</w:t>
            </w:r>
          </w:p>
        </w:tc>
        <w:tc>
          <w:tcPr>
            <w:tcW w:w="879" w:type="dxa"/>
            <w:tcBorders>
              <w:top w:val="single" w:sz="4" w:space="0" w:color="auto"/>
              <w:left w:val="nil"/>
              <w:bottom w:val="single" w:sz="4" w:space="0" w:color="auto"/>
              <w:right w:val="nil"/>
            </w:tcBorders>
            <w:shd w:val="clear" w:color="auto" w:fill="auto"/>
            <w:noWrap/>
            <w:vAlign w:val="bottom"/>
          </w:tcPr>
          <w:p w14:paraId="6EC25925"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2014-15</w:t>
            </w:r>
          </w:p>
        </w:tc>
        <w:tc>
          <w:tcPr>
            <w:tcW w:w="879" w:type="dxa"/>
            <w:tcBorders>
              <w:top w:val="single" w:sz="4" w:space="0" w:color="auto"/>
              <w:left w:val="nil"/>
              <w:bottom w:val="single" w:sz="4" w:space="0" w:color="auto"/>
              <w:right w:val="nil"/>
            </w:tcBorders>
            <w:shd w:val="clear" w:color="auto" w:fill="auto"/>
            <w:noWrap/>
            <w:vAlign w:val="bottom"/>
          </w:tcPr>
          <w:p w14:paraId="30E2C512"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2015-16</w:t>
            </w:r>
          </w:p>
        </w:tc>
        <w:tc>
          <w:tcPr>
            <w:tcW w:w="879" w:type="dxa"/>
            <w:tcBorders>
              <w:top w:val="single" w:sz="4" w:space="0" w:color="auto"/>
              <w:left w:val="nil"/>
              <w:bottom w:val="single" w:sz="4" w:space="0" w:color="auto"/>
              <w:right w:val="nil"/>
            </w:tcBorders>
            <w:shd w:val="clear" w:color="auto" w:fill="auto"/>
            <w:noWrap/>
            <w:vAlign w:val="bottom"/>
          </w:tcPr>
          <w:p w14:paraId="06AF1B49"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2016-17</w:t>
            </w:r>
          </w:p>
        </w:tc>
        <w:tc>
          <w:tcPr>
            <w:tcW w:w="879" w:type="dxa"/>
            <w:tcBorders>
              <w:top w:val="single" w:sz="4" w:space="0" w:color="auto"/>
              <w:left w:val="nil"/>
              <w:bottom w:val="single" w:sz="4" w:space="0" w:color="auto"/>
              <w:right w:val="nil"/>
            </w:tcBorders>
            <w:shd w:val="clear" w:color="auto" w:fill="auto"/>
            <w:noWrap/>
            <w:vAlign w:val="bottom"/>
          </w:tcPr>
          <w:p w14:paraId="06B66789"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left w:val="nil"/>
              <w:bottom w:val="single" w:sz="4" w:space="0" w:color="auto"/>
              <w:right w:val="nil"/>
            </w:tcBorders>
            <w:shd w:val="clear" w:color="auto" w:fill="auto"/>
            <w:noWrap/>
            <w:vAlign w:val="bottom"/>
          </w:tcPr>
          <w:p w14:paraId="1EAEA619"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5D9EBA60" w14:textId="77777777" w:rsidTr="001F1F60">
        <w:trPr>
          <w:cantSplit/>
          <w:trHeight w:val="255"/>
        </w:trPr>
        <w:tc>
          <w:tcPr>
            <w:tcW w:w="3402" w:type="dxa"/>
            <w:tcBorders>
              <w:top w:val="single" w:sz="4" w:space="0" w:color="auto"/>
              <w:left w:val="nil"/>
              <w:bottom w:val="single" w:sz="4" w:space="0" w:color="auto"/>
              <w:right w:val="nil"/>
            </w:tcBorders>
            <w:shd w:val="clear" w:color="auto" w:fill="D9D9D9" w:themeFill="background1" w:themeFillShade="D9"/>
            <w:noWrap/>
          </w:tcPr>
          <w:p w14:paraId="4525C38F" w14:textId="77777777" w:rsidR="00FD6F91" w:rsidRPr="00847FAE" w:rsidRDefault="00FD6F91" w:rsidP="00FD6F91">
            <w:pPr>
              <w:widowControl w:val="0"/>
              <w:rPr>
                <w:rFonts w:cs="Calibri"/>
                <w:sz w:val="18"/>
                <w:szCs w:val="18"/>
              </w:rPr>
            </w:pPr>
            <w:r w:rsidRPr="00847FAE">
              <w:rPr>
                <w:rFonts w:cs="Calibri"/>
                <w:b/>
                <w:color w:val="FFFFFF" w:themeColor="background1"/>
                <w:sz w:val="18"/>
                <w:szCs w:val="18"/>
              </w:rPr>
              <w:t>CIVIL (cont.)</w:t>
            </w:r>
          </w:p>
        </w:tc>
        <w:tc>
          <w:tcPr>
            <w:tcW w:w="879" w:type="dxa"/>
            <w:tcBorders>
              <w:top w:val="single" w:sz="4" w:space="0" w:color="auto"/>
              <w:left w:val="nil"/>
              <w:bottom w:val="single" w:sz="4" w:space="0" w:color="auto"/>
              <w:right w:val="nil"/>
            </w:tcBorders>
            <w:shd w:val="clear" w:color="auto" w:fill="D9D9D9" w:themeFill="background1" w:themeFillShade="D9"/>
            <w:noWrap/>
          </w:tcPr>
          <w:p w14:paraId="54CC126D"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D9D9D9" w:themeFill="background1" w:themeFillShade="D9"/>
            <w:noWrap/>
          </w:tcPr>
          <w:p w14:paraId="33EBB265"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D9D9D9" w:themeFill="background1" w:themeFillShade="D9"/>
            <w:noWrap/>
          </w:tcPr>
          <w:p w14:paraId="74279B83"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D9D9D9" w:themeFill="background1" w:themeFillShade="D9"/>
            <w:noWrap/>
          </w:tcPr>
          <w:p w14:paraId="2E85F417"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D9D9D9" w:themeFill="background1" w:themeFillShade="D9"/>
            <w:noWrap/>
          </w:tcPr>
          <w:p w14:paraId="63F1E7CD"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single" w:sz="4" w:space="0" w:color="auto"/>
              <w:right w:val="nil"/>
            </w:tcBorders>
            <w:shd w:val="clear" w:color="auto" w:fill="D9D9D9" w:themeFill="background1" w:themeFillShade="D9"/>
            <w:noWrap/>
          </w:tcPr>
          <w:p w14:paraId="52568E52" w14:textId="77777777" w:rsidR="00FD6F91" w:rsidRPr="00847FAE" w:rsidRDefault="00FD6F91" w:rsidP="00FD6F91">
            <w:pPr>
              <w:widowControl w:val="0"/>
              <w:jc w:val="center"/>
              <w:rPr>
                <w:sz w:val="18"/>
                <w:szCs w:val="18"/>
              </w:rPr>
            </w:pPr>
          </w:p>
        </w:tc>
      </w:tr>
      <w:tr w:rsidR="00FD6F91" w:rsidRPr="00847FAE" w14:paraId="445BE344" w14:textId="77777777" w:rsidTr="001F1F60">
        <w:trPr>
          <w:cantSplit/>
          <w:trHeight w:val="255"/>
        </w:trPr>
        <w:tc>
          <w:tcPr>
            <w:tcW w:w="3402" w:type="dxa"/>
            <w:tcBorders>
              <w:top w:val="single" w:sz="4" w:space="0" w:color="auto"/>
              <w:left w:val="nil"/>
              <w:bottom w:val="single" w:sz="4" w:space="0" w:color="auto"/>
              <w:right w:val="nil"/>
            </w:tcBorders>
            <w:shd w:val="clear" w:color="auto" w:fill="auto"/>
            <w:noWrap/>
          </w:tcPr>
          <w:p w14:paraId="2D60E5DE" w14:textId="77777777" w:rsidR="00FD6F91" w:rsidRPr="00847FAE" w:rsidRDefault="00FD6F91" w:rsidP="00FD6F91">
            <w:pPr>
              <w:widowControl w:val="0"/>
              <w:rPr>
                <w:rFonts w:cs="Calibri"/>
                <w:iCs/>
                <w:sz w:val="18"/>
                <w:szCs w:val="18"/>
              </w:rPr>
            </w:pPr>
            <w:r w:rsidRPr="00847FAE">
              <w:rPr>
                <w:rFonts w:cs="Calibri"/>
                <w:iCs/>
                <w:sz w:val="18"/>
                <w:szCs w:val="18"/>
              </w:rPr>
              <w:t>CORONERS COURT</w:t>
            </w:r>
          </w:p>
        </w:tc>
        <w:tc>
          <w:tcPr>
            <w:tcW w:w="879" w:type="dxa"/>
            <w:tcBorders>
              <w:top w:val="single" w:sz="4" w:space="0" w:color="auto"/>
              <w:left w:val="nil"/>
              <w:bottom w:val="single" w:sz="4" w:space="0" w:color="auto"/>
              <w:right w:val="nil"/>
            </w:tcBorders>
            <w:shd w:val="clear" w:color="auto" w:fill="auto"/>
            <w:noWrap/>
          </w:tcPr>
          <w:p w14:paraId="795F4C30"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57FAC5C5"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4A820BFB"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7A1267DC"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2F274E4C"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single" w:sz="4" w:space="0" w:color="auto"/>
              <w:right w:val="nil"/>
            </w:tcBorders>
            <w:shd w:val="clear" w:color="auto" w:fill="auto"/>
            <w:noWrap/>
          </w:tcPr>
          <w:p w14:paraId="11F37854" w14:textId="77777777" w:rsidR="00FD6F91" w:rsidRPr="00847FAE" w:rsidRDefault="00FD6F91" w:rsidP="00FD6F91">
            <w:pPr>
              <w:widowControl w:val="0"/>
              <w:jc w:val="center"/>
              <w:rPr>
                <w:sz w:val="18"/>
                <w:szCs w:val="18"/>
              </w:rPr>
            </w:pPr>
          </w:p>
        </w:tc>
      </w:tr>
      <w:tr w:rsidR="00FD6F91" w:rsidRPr="00847FAE" w14:paraId="63FB77CD" w14:textId="77777777" w:rsidTr="001F1F60">
        <w:trPr>
          <w:cantSplit/>
          <w:trHeight w:val="255"/>
        </w:trPr>
        <w:tc>
          <w:tcPr>
            <w:tcW w:w="3402" w:type="dxa"/>
            <w:tcBorders>
              <w:top w:val="single" w:sz="4" w:space="0" w:color="auto"/>
              <w:left w:val="nil"/>
              <w:bottom w:val="nil"/>
              <w:right w:val="nil"/>
            </w:tcBorders>
            <w:shd w:val="clear" w:color="auto" w:fill="auto"/>
            <w:noWrap/>
          </w:tcPr>
          <w:p w14:paraId="142A7CC0"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Reportable deaths and fires lodged</w:t>
            </w:r>
          </w:p>
        </w:tc>
        <w:tc>
          <w:tcPr>
            <w:tcW w:w="879" w:type="dxa"/>
            <w:tcBorders>
              <w:top w:val="single" w:sz="4" w:space="0" w:color="auto"/>
              <w:left w:val="nil"/>
              <w:bottom w:val="nil"/>
              <w:right w:val="nil"/>
            </w:tcBorders>
            <w:shd w:val="clear" w:color="auto" w:fill="auto"/>
            <w:noWrap/>
            <w:vAlign w:val="center"/>
          </w:tcPr>
          <w:p w14:paraId="3D008B72" w14:textId="77777777" w:rsidR="00FD6F91" w:rsidRPr="00847FAE" w:rsidRDefault="00FD6F91" w:rsidP="00FD6F91">
            <w:pPr>
              <w:jc w:val="center"/>
              <w:rPr>
                <w:rFonts w:cs="Calibri"/>
                <w:color w:val="000000"/>
                <w:sz w:val="18"/>
                <w:szCs w:val="18"/>
              </w:rPr>
            </w:pPr>
            <w:r w:rsidRPr="00847FAE">
              <w:rPr>
                <w:rFonts w:cs="Calibri"/>
                <w:color w:val="000000"/>
                <w:sz w:val="18"/>
                <w:szCs w:val="18"/>
              </w:rPr>
              <w:t>581</w:t>
            </w:r>
          </w:p>
        </w:tc>
        <w:tc>
          <w:tcPr>
            <w:tcW w:w="879" w:type="dxa"/>
            <w:tcBorders>
              <w:top w:val="single" w:sz="4" w:space="0" w:color="auto"/>
              <w:left w:val="nil"/>
              <w:bottom w:val="nil"/>
              <w:right w:val="nil"/>
            </w:tcBorders>
            <w:shd w:val="clear" w:color="auto" w:fill="auto"/>
            <w:noWrap/>
            <w:vAlign w:val="center"/>
          </w:tcPr>
          <w:p w14:paraId="58F26902" w14:textId="77777777" w:rsidR="00FD6F91" w:rsidRPr="00847FAE" w:rsidRDefault="00FD6F91" w:rsidP="00FD6F91">
            <w:pPr>
              <w:jc w:val="center"/>
              <w:rPr>
                <w:rFonts w:cs="Calibri"/>
                <w:color w:val="000000"/>
                <w:sz w:val="18"/>
                <w:szCs w:val="18"/>
              </w:rPr>
            </w:pPr>
            <w:r w:rsidRPr="00847FAE">
              <w:rPr>
                <w:rFonts w:cs="Calibri"/>
                <w:color w:val="000000"/>
                <w:sz w:val="18"/>
                <w:szCs w:val="18"/>
              </w:rPr>
              <w:t>542</w:t>
            </w:r>
          </w:p>
        </w:tc>
        <w:tc>
          <w:tcPr>
            <w:tcW w:w="879" w:type="dxa"/>
            <w:tcBorders>
              <w:top w:val="single" w:sz="4" w:space="0" w:color="auto"/>
              <w:left w:val="nil"/>
              <w:bottom w:val="nil"/>
              <w:right w:val="nil"/>
            </w:tcBorders>
            <w:shd w:val="clear" w:color="auto" w:fill="auto"/>
            <w:noWrap/>
            <w:vAlign w:val="center"/>
          </w:tcPr>
          <w:p w14:paraId="66B34E56" w14:textId="77777777" w:rsidR="00FD6F91" w:rsidRPr="00847FAE" w:rsidRDefault="00FD6F91" w:rsidP="00FD6F91">
            <w:pPr>
              <w:jc w:val="center"/>
              <w:rPr>
                <w:rFonts w:cs="Calibri"/>
                <w:color w:val="000000"/>
                <w:sz w:val="18"/>
                <w:szCs w:val="18"/>
              </w:rPr>
            </w:pPr>
            <w:r w:rsidRPr="00847FAE">
              <w:rPr>
                <w:rFonts w:cs="Calibri"/>
                <w:color w:val="000000"/>
                <w:sz w:val="18"/>
                <w:szCs w:val="18"/>
              </w:rPr>
              <w:t>568</w:t>
            </w:r>
          </w:p>
        </w:tc>
        <w:tc>
          <w:tcPr>
            <w:tcW w:w="879" w:type="dxa"/>
            <w:tcBorders>
              <w:top w:val="single" w:sz="4" w:space="0" w:color="auto"/>
              <w:left w:val="nil"/>
              <w:bottom w:val="nil"/>
              <w:right w:val="nil"/>
            </w:tcBorders>
            <w:shd w:val="clear" w:color="auto" w:fill="auto"/>
            <w:noWrap/>
            <w:vAlign w:val="center"/>
          </w:tcPr>
          <w:p w14:paraId="07D12691" w14:textId="77777777" w:rsidR="00FD6F91" w:rsidRPr="00847FAE" w:rsidRDefault="00FD6F91" w:rsidP="00FD6F91">
            <w:pPr>
              <w:jc w:val="center"/>
              <w:rPr>
                <w:rFonts w:cs="Calibri"/>
                <w:color w:val="000000"/>
                <w:sz w:val="18"/>
                <w:szCs w:val="18"/>
              </w:rPr>
            </w:pPr>
            <w:r w:rsidRPr="00847FAE">
              <w:rPr>
                <w:rFonts w:cs="Calibri"/>
                <w:color w:val="000000"/>
                <w:sz w:val="18"/>
                <w:szCs w:val="18"/>
              </w:rPr>
              <w:t>579</w:t>
            </w:r>
          </w:p>
        </w:tc>
        <w:tc>
          <w:tcPr>
            <w:tcW w:w="879" w:type="dxa"/>
            <w:tcBorders>
              <w:top w:val="single" w:sz="4" w:space="0" w:color="auto"/>
              <w:left w:val="nil"/>
              <w:bottom w:val="nil"/>
              <w:right w:val="nil"/>
            </w:tcBorders>
            <w:shd w:val="clear" w:color="auto" w:fill="auto"/>
            <w:noWrap/>
            <w:vAlign w:val="center"/>
          </w:tcPr>
          <w:p w14:paraId="7DC13CAC" w14:textId="77777777" w:rsidR="00FD6F91" w:rsidRPr="00847FAE" w:rsidRDefault="00FD6F91" w:rsidP="00FD6F91">
            <w:pPr>
              <w:jc w:val="center"/>
              <w:rPr>
                <w:rFonts w:cs="Calibri"/>
                <w:color w:val="000000"/>
                <w:sz w:val="18"/>
                <w:szCs w:val="18"/>
              </w:rPr>
            </w:pPr>
            <w:r w:rsidRPr="00847FAE">
              <w:rPr>
                <w:rFonts w:cs="Calibri"/>
                <w:color w:val="000000"/>
                <w:sz w:val="18"/>
                <w:szCs w:val="18"/>
              </w:rPr>
              <w:t>598</w:t>
            </w:r>
          </w:p>
        </w:tc>
        <w:tc>
          <w:tcPr>
            <w:tcW w:w="1134" w:type="dxa"/>
            <w:tcBorders>
              <w:top w:val="single" w:sz="4" w:space="0" w:color="auto"/>
              <w:left w:val="nil"/>
              <w:bottom w:val="nil"/>
              <w:right w:val="nil"/>
            </w:tcBorders>
            <w:shd w:val="clear" w:color="auto" w:fill="auto"/>
            <w:noWrap/>
            <w:vAlign w:val="center"/>
          </w:tcPr>
          <w:p w14:paraId="794194EE" w14:textId="77777777" w:rsidR="00FD6F91" w:rsidRPr="00847FAE" w:rsidRDefault="00FD6F91" w:rsidP="00FD6F91">
            <w:pPr>
              <w:jc w:val="center"/>
              <w:rPr>
                <w:rFonts w:cs="Calibri"/>
                <w:color w:val="000000"/>
                <w:sz w:val="18"/>
                <w:szCs w:val="18"/>
              </w:rPr>
            </w:pPr>
            <w:r w:rsidRPr="00847FAE">
              <w:rPr>
                <w:rFonts w:cs="Calibri"/>
                <w:color w:val="000000"/>
                <w:sz w:val="18"/>
                <w:szCs w:val="18"/>
              </w:rPr>
              <w:t>3.3%</w:t>
            </w:r>
          </w:p>
        </w:tc>
      </w:tr>
      <w:tr w:rsidR="00FD6F91" w:rsidRPr="00847FAE" w14:paraId="6AF9FD98" w14:textId="77777777" w:rsidTr="001F1F60">
        <w:trPr>
          <w:cantSplit/>
          <w:trHeight w:val="255"/>
        </w:trPr>
        <w:tc>
          <w:tcPr>
            <w:tcW w:w="3402" w:type="dxa"/>
            <w:tcBorders>
              <w:top w:val="nil"/>
              <w:left w:val="nil"/>
              <w:bottom w:val="single" w:sz="4" w:space="0" w:color="auto"/>
              <w:right w:val="nil"/>
            </w:tcBorders>
            <w:shd w:val="clear" w:color="auto" w:fill="auto"/>
            <w:noWrap/>
          </w:tcPr>
          <w:p w14:paraId="412FF1BA" w14:textId="77777777" w:rsidR="00FD6F91" w:rsidRPr="00847FAE" w:rsidRDefault="00FD6F91" w:rsidP="00FD6F91">
            <w:pPr>
              <w:widowControl w:val="0"/>
              <w:rPr>
                <w:rFonts w:cs="Calibri"/>
                <w:iCs/>
                <w:sz w:val="18"/>
                <w:szCs w:val="18"/>
              </w:rPr>
            </w:pPr>
            <w:r w:rsidRPr="00847FAE">
              <w:rPr>
                <w:rFonts w:cs="Calibri"/>
                <w:iCs/>
                <w:color w:val="000000"/>
                <w:sz w:val="18"/>
                <w:szCs w:val="18"/>
              </w:rPr>
              <w:t xml:space="preserve">   Reportable deaths and fires finalised</w:t>
            </w:r>
          </w:p>
        </w:tc>
        <w:tc>
          <w:tcPr>
            <w:tcW w:w="879" w:type="dxa"/>
            <w:tcBorders>
              <w:top w:val="nil"/>
              <w:left w:val="nil"/>
              <w:bottom w:val="single" w:sz="4" w:space="0" w:color="auto"/>
              <w:right w:val="nil"/>
            </w:tcBorders>
            <w:shd w:val="clear" w:color="auto" w:fill="auto"/>
            <w:noWrap/>
            <w:vAlign w:val="center"/>
          </w:tcPr>
          <w:p w14:paraId="675948E1" w14:textId="77777777" w:rsidR="00FD6F91" w:rsidRPr="00847FAE" w:rsidRDefault="00FD6F91" w:rsidP="00FD6F91">
            <w:pPr>
              <w:jc w:val="center"/>
              <w:rPr>
                <w:rFonts w:cs="Calibri"/>
                <w:color w:val="000000"/>
                <w:sz w:val="18"/>
                <w:szCs w:val="18"/>
              </w:rPr>
            </w:pPr>
            <w:r w:rsidRPr="00847FAE">
              <w:rPr>
                <w:rFonts w:cs="Calibri"/>
                <w:color w:val="000000"/>
                <w:sz w:val="18"/>
                <w:szCs w:val="18"/>
              </w:rPr>
              <w:t>536</w:t>
            </w:r>
          </w:p>
        </w:tc>
        <w:tc>
          <w:tcPr>
            <w:tcW w:w="879" w:type="dxa"/>
            <w:tcBorders>
              <w:top w:val="nil"/>
              <w:left w:val="nil"/>
              <w:bottom w:val="single" w:sz="4" w:space="0" w:color="auto"/>
              <w:right w:val="nil"/>
            </w:tcBorders>
            <w:shd w:val="clear" w:color="auto" w:fill="auto"/>
            <w:noWrap/>
            <w:vAlign w:val="center"/>
          </w:tcPr>
          <w:p w14:paraId="674DD78C" w14:textId="77777777" w:rsidR="00FD6F91" w:rsidRPr="00847FAE" w:rsidRDefault="00FD6F91" w:rsidP="00FD6F91">
            <w:pPr>
              <w:jc w:val="center"/>
              <w:rPr>
                <w:rFonts w:cs="Calibri"/>
                <w:color w:val="000000"/>
                <w:sz w:val="18"/>
                <w:szCs w:val="18"/>
              </w:rPr>
            </w:pPr>
            <w:r w:rsidRPr="00847FAE">
              <w:rPr>
                <w:rFonts w:cs="Calibri"/>
                <w:color w:val="000000"/>
                <w:sz w:val="18"/>
                <w:szCs w:val="18"/>
              </w:rPr>
              <w:t>489</w:t>
            </w:r>
          </w:p>
        </w:tc>
        <w:tc>
          <w:tcPr>
            <w:tcW w:w="879" w:type="dxa"/>
            <w:tcBorders>
              <w:top w:val="nil"/>
              <w:left w:val="nil"/>
              <w:bottom w:val="single" w:sz="4" w:space="0" w:color="auto"/>
              <w:right w:val="nil"/>
            </w:tcBorders>
            <w:shd w:val="clear" w:color="auto" w:fill="auto"/>
            <w:noWrap/>
            <w:vAlign w:val="center"/>
          </w:tcPr>
          <w:p w14:paraId="305300B5" w14:textId="77777777" w:rsidR="00FD6F91" w:rsidRPr="00847FAE" w:rsidRDefault="00FD6F91" w:rsidP="00FD6F91">
            <w:pPr>
              <w:jc w:val="center"/>
              <w:rPr>
                <w:rFonts w:cs="Calibri"/>
                <w:color w:val="000000"/>
                <w:sz w:val="18"/>
                <w:szCs w:val="18"/>
              </w:rPr>
            </w:pPr>
            <w:r w:rsidRPr="00847FAE">
              <w:rPr>
                <w:rFonts w:cs="Calibri"/>
                <w:color w:val="000000"/>
                <w:sz w:val="18"/>
                <w:szCs w:val="18"/>
              </w:rPr>
              <w:t>494</w:t>
            </w:r>
          </w:p>
        </w:tc>
        <w:tc>
          <w:tcPr>
            <w:tcW w:w="879" w:type="dxa"/>
            <w:tcBorders>
              <w:top w:val="nil"/>
              <w:left w:val="nil"/>
              <w:bottom w:val="single" w:sz="4" w:space="0" w:color="auto"/>
              <w:right w:val="nil"/>
            </w:tcBorders>
            <w:shd w:val="clear" w:color="auto" w:fill="auto"/>
            <w:noWrap/>
            <w:vAlign w:val="center"/>
          </w:tcPr>
          <w:p w14:paraId="7B4EFA57" w14:textId="77777777" w:rsidR="00FD6F91" w:rsidRPr="00847FAE" w:rsidRDefault="00FD6F91" w:rsidP="00FD6F91">
            <w:pPr>
              <w:jc w:val="center"/>
              <w:rPr>
                <w:rFonts w:cs="Calibri"/>
                <w:color w:val="000000"/>
                <w:sz w:val="18"/>
                <w:szCs w:val="18"/>
              </w:rPr>
            </w:pPr>
            <w:r w:rsidRPr="00847FAE">
              <w:rPr>
                <w:rFonts w:cs="Calibri"/>
                <w:color w:val="000000"/>
                <w:sz w:val="18"/>
                <w:szCs w:val="18"/>
              </w:rPr>
              <w:t>582</w:t>
            </w:r>
          </w:p>
        </w:tc>
        <w:tc>
          <w:tcPr>
            <w:tcW w:w="879" w:type="dxa"/>
            <w:tcBorders>
              <w:top w:val="nil"/>
              <w:left w:val="nil"/>
              <w:bottom w:val="single" w:sz="4" w:space="0" w:color="auto"/>
              <w:right w:val="nil"/>
            </w:tcBorders>
            <w:shd w:val="clear" w:color="auto" w:fill="auto"/>
            <w:noWrap/>
            <w:vAlign w:val="center"/>
          </w:tcPr>
          <w:p w14:paraId="1FE6CC9A" w14:textId="77777777" w:rsidR="00FD6F91" w:rsidRPr="00847FAE" w:rsidRDefault="00FD6F91" w:rsidP="00FD6F91">
            <w:pPr>
              <w:jc w:val="center"/>
              <w:rPr>
                <w:rFonts w:cs="Calibri"/>
                <w:color w:val="000000"/>
                <w:sz w:val="18"/>
                <w:szCs w:val="18"/>
              </w:rPr>
            </w:pPr>
            <w:r w:rsidRPr="00847FAE">
              <w:rPr>
                <w:rFonts w:cs="Calibri"/>
                <w:color w:val="000000"/>
                <w:sz w:val="18"/>
                <w:szCs w:val="18"/>
              </w:rPr>
              <w:t>605</w:t>
            </w:r>
          </w:p>
        </w:tc>
        <w:tc>
          <w:tcPr>
            <w:tcW w:w="1134" w:type="dxa"/>
            <w:tcBorders>
              <w:top w:val="nil"/>
              <w:left w:val="nil"/>
              <w:bottom w:val="single" w:sz="4" w:space="0" w:color="auto"/>
              <w:right w:val="nil"/>
            </w:tcBorders>
            <w:shd w:val="clear" w:color="auto" w:fill="auto"/>
            <w:noWrap/>
            <w:vAlign w:val="center"/>
          </w:tcPr>
          <w:p w14:paraId="7443E01F" w14:textId="77777777" w:rsidR="00FD6F91" w:rsidRPr="00847FAE" w:rsidRDefault="00FD6F91" w:rsidP="00FD6F91">
            <w:pPr>
              <w:jc w:val="center"/>
              <w:rPr>
                <w:rFonts w:cs="Calibri"/>
                <w:color w:val="000000"/>
                <w:sz w:val="18"/>
                <w:szCs w:val="18"/>
              </w:rPr>
            </w:pPr>
            <w:r w:rsidRPr="00847FAE">
              <w:rPr>
                <w:rFonts w:cs="Calibri"/>
                <w:color w:val="000000"/>
                <w:sz w:val="18"/>
                <w:szCs w:val="18"/>
              </w:rPr>
              <w:t>4.0%</w:t>
            </w:r>
          </w:p>
        </w:tc>
      </w:tr>
      <w:tr w:rsidR="00FD6F91" w:rsidRPr="00847FAE" w14:paraId="0C5D757F" w14:textId="77777777" w:rsidTr="001F1F60">
        <w:trPr>
          <w:cantSplit/>
          <w:trHeight w:val="255"/>
        </w:trPr>
        <w:tc>
          <w:tcPr>
            <w:tcW w:w="3402" w:type="dxa"/>
            <w:tcBorders>
              <w:top w:val="single" w:sz="4" w:space="0" w:color="auto"/>
              <w:left w:val="nil"/>
              <w:bottom w:val="single" w:sz="4" w:space="0" w:color="auto"/>
              <w:right w:val="nil"/>
            </w:tcBorders>
            <w:shd w:val="clear" w:color="auto" w:fill="auto"/>
            <w:noWrap/>
          </w:tcPr>
          <w:p w14:paraId="1382A5A2" w14:textId="77777777" w:rsidR="00FD6F91" w:rsidRPr="00847FAE" w:rsidRDefault="00FD6F91" w:rsidP="00FD6F91">
            <w:pPr>
              <w:widowControl w:val="0"/>
              <w:rPr>
                <w:rFonts w:cs="Calibri"/>
                <w:sz w:val="18"/>
                <w:szCs w:val="18"/>
              </w:rPr>
            </w:pPr>
            <w:r w:rsidRPr="00847FAE">
              <w:rPr>
                <w:rFonts w:cs="Calibri"/>
                <w:sz w:val="18"/>
                <w:szCs w:val="18"/>
              </w:rPr>
              <w:t>TRIBUNALS</w:t>
            </w:r>
          </w:p>
        </w:tc>
        <w:tc>
          <w:tcPr>
            <w:tcW w:w="879" w:type="dxa"/>
            <w:tcBorders>
              <w:top w:val="single" w:sz="4" w:space="0" w:color="auto"/>
              <w:left w:val="nil"/>
              <w:bottom w:val="single" w:sz="4" w:space="0" w:color="auto"/>
              <w:right w:val="nil"/>
            </w:tcBorders>
            <w:shd w:val="clear" w:color="auto" w:fill="auto"/>
            <w:noWrap/>
          </w:tcPr>
          <w:p w14:paraId="1619039B"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58AC1D49"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5DEC5A66"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4F54F5F0"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single" w:sz="4" w:space="0" w:color="auto"/>
              <w:right w:val="nil"/>
            </w:tcBorders>
            <w:shd w:val="clear" w:color="auto" w:fill="auto"/>
            <w:noWrap/>
          </w:tcPr>
          <w:p w14:paraId="096BCDD6"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single" w:sz="4" w:space="0" w:color="auto"/>
              <w:right w:val="nil"/>
            </w:tcBorders>
            <w:shd w:val="clear" w:color="auto" w:fill="auto"/>
            <w:noWrap/>
          </w:tcPr>
          <w:p w14:paraId="07C42F76" w14:textId="77777777" w:rsidR="00FD6F91" w:rsidRPr="00847FAE" w:rsidRDefault="00FD6F91" w:rsidP="00FD6F91">
            <w:pPr>
              <w:widowControl w:val="0"/>
              <w:jc w:val="center"/>
              <w:rPr>
                <w:sz w:val="18"/>
                <w:szCs w:val="18"/>
              </w:rPr>
            </w:pPr>
          </w:p>
        </w:tc>
      </w:tr>
      <w:tr w:rsidR="00FD6F91" w:rsidRPr="00847FAE" w14:paraId="716AE990" w14:textId="77777777" w:rsidTr="001F1F60">
        <w:trPr>
          <w:cantSplit/>
          <w:trHeight w:val="255"/>
        </w:trPr>
        <w:tc>
          <w:tcPr>
            <w:tcW w:w="3402" w:type="dxa"/>
            <w:tcBorders>
              <w:top w:val="single" w:sz="4" w:space="0" w:color="auto"/>
              <w:left w:val="nil"/>
              <w:bottom w:val="nil"/>
              <w:right w:val="nil"/>
            </w:tcBorders>
            <w:shd w:val="clear" w:color="auto" w:fill="auto"/>
            <w:noWrap/>
          </w:tcPr>
          <w:p w14:paraId="78714261" w14:textId="77777777" w:rsidR="00FD6F91" w:rsidRPr="00847FAE" w:rsidRDefault="00FD6F91" w:rsidP="00FD6F91">
            <w:pPr>
              <w:widowControl w:val="0"/>
              <w:rPr>
                <w:rFonts w:cs="Calibri"/>
                <w:b/>
                <w:iCs/>
                <w:color w:val="000000"/>
                <w:sz w:val="18"/>
                <w:szCs w:val="18"/>
              </w:rPr>
            </w:pPr>
            <w:r w:rsidRPr="00847FAE">
              <w:rPr>
                <w:rFonts w:cs="Calibri"/>
                <w:b/>
                <w:iCs/>
                <w:color w:val="000000"/>
                <w:sz w:val="18"/>
                <w:szCs w:val="18"/>
              </w:rPr>
              <w:t>Lodgements</w:t>
            </w:r>
          </w:p>
        </w:tc>
        <w:tc>
          <w:tcPr>
            <w:tcW w:w="879" w:type="dxa"/>
            <w:tcBorders>
              <w:top w:val="single" w:sz="4" w:space="0" w:color="auto"/>
              <w:left w:val="nil"/>
              <w:bottom w:val="nil"/>
              <w:right w:val="nil"/>
            </w:tcBorders>
            <w:shd w:val="clear" w:color="auto" w:fill="auto"/>
            <w:noWrap/>
          </w:tcPr>
          <w:p w14:paraId="2C0C7AC0"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shd w:val="clear" w:color="auto" w:fill="auto"/>
            <w:noWrap/>
          </w:tcPr>
          <w:p w14:paraId="75CDE6CC"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shd w:val="clear" w:color="auto" w:fill="auto"/>
            <w:noWrap/>
          </w:tcPr>
          <w:p w14:paraId="771C1226"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shd w:val="clear" w:color="auto" w:fill="auto"/>
            <w:noWrap/>
          </w:tcPr>
          <w:p w14:paraId="0AF12755" w14:textId="77777777" w:rsidR="00FD6F91" w:rsidRPr="00847FAE" w:rsidRDefault="00FD6F91" w:rsidP="00FD6F91">
            <w:pPr>
              <w:widowControl w:val="0"/>
              <w:jc w:val="right"/>
              <w:rPr>
                <w:sz w:val="18"/>
                <w:szCs w:val="18"/>
              </w:rPr>
            </w:pPr>
          </w:p>
        </w:tc>
        <w:tc>
          <w:tcPr>
            <w:tcW w:w="879" w:type="dxa"/>
            <w:tcBorders>
              <w:top w:val="single" w:sz="4" w:space="0" w:color="auto"/>
              <w:left w:val="nil"/>
              <w:bottom w:val="nil"/>
              <w:right w:val="nil"/>
            </w:tcBorders>
            <w:shd w:val="clear" w:color="auto" w:fill="auto"/>
            <w:noWrap/>
          </w:tcPr>
          <w:p w14:paraId="607E8E2A" w14:textId="77777777" w:rsidR="00FD6F91" w:rsidRPr="00847FAE" w:rsidRDefault="00FD6F91" w:rsidP="00FD6F91">
            <w:pPr>
              <w:widowControl w:val="0"/>
              <w:jc w:val="right"/>
              <w:rPr>
                <w:sz w:val="18"/>
                <w:szCs w:val="18"/>
              </w:rPr>
            </w:pPr>
          </w:p>
        </w:tc>
        <w:tc>
          <w:tcPr>
            <w:tcW w:w="1134" w:type="dxa"/>
            <w:tcBorders>
              <w:top w:val="single" w:sz="4" w:space="0" w:color="auto"/>
              <w:left w:val="nil"/>
              <w:bottom w:val="nil"/>
              <w:right w:val="nil"/>
            </w:tcBorders>
            <w:shd w:val="clear" w:color="auto" w:fill="auto"/>
            <w:noWrap/>
          </w:tcPr>
          <w:p w14:paraId="7220DA7D" w14:textId="77777777" w:rsidR="00FD6F91" w:rsidRPr="00847FAE" w:rsidRDefault="00FD6F91" w:rsidP="00FD6F91">
            <w:pPr>
              <w:widowControl w:val="0"/>
              <w:jc w:val="center"/>
              <w:rPr>
                <w:sz w:val="18"/>
                <w:szCs w:val="18"/>
              </w:rPr>
            </w:pPr>
          </w:p>
        </w:tc>
      </w:tr>
      <w:tr w:rsidR="00FD6F91" w:rsidRPr="00847FAE" w14:paraId="3BE7A028" w14:textId="77777777" w:rsidTr="001F1F60">
        <w:trPr>
          <w:cantSplit/>
          <w:trHeight w:val="255"/>
        </w:trPr>
        <w:tc>
          <w:tcPr>
            <w:tcW w:w="3402" w:type="dxa"/>
            <w:tcBorders>
              <w:top w:val="nil"/>
              <w:left w:val="nil"/>
              <w:bottom w:val="nil"/>
              <w:right w:val="nil"/>
            </w:tcBorders>
            <w:shd w:val="clear" w:color="auto" w:fill="auto"/>
            <w:noWrap/>
          </w:tcPr>
          <w:p w14:paraId="2D8F38C4" w14:textId="3B6A4C35"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Administrative Appeals</w:t>
            </w:r>
            <w:r w:rsidR="00BD0AAF">
              <w:rPr>
                <w:rFonts w:cs="Calibri"/>
                <w:iCs/>
                <w:color w:val="000000"/>
                <w:sz w:val="18"/>
                <w:szCs w:val="18"/>
                <w:vertAlign w:val="superscript"/>
              </w:rPr>
              <w:t>6</w:t>
            </w:r>
            <w:r w:rsidRPr="00847FAE">
              <w:rPr>
                <w:rFonts w:cs="Calibri"/>
                <w:iCs/>
                <w:color w:val="000000"/>
                <w:sz w:val="18"/>
                <w:szCs w:val="18"/>
              </w:rPr>
              <w:t xml:space="preserve"> </w:t>
            </w:r>
          </w:p>
        </w:tc>
        <w:tc>
          <w:tcPr>
            <w:tcW w:w="879" w:type="dxa"/>
            <w:tcBorders>
              <w:top w:val="nil"/>
              <w:left w:val="nil"/>
              <w:bottom w:val="nil"/>
              <w:right w:val="nil"/>
            </w:tcBorders>
            <w:shd w:val="clear" w:color="auto" w:fill="auto"/>
            <w:noWrap/>
            <w:vAlign w:val="center"/>
          </w:tcPr>
          <w:p w14:paraId="6A818FFE" w14:textId="77777777" w:rsidR="00FD6F91" w:rsidRPr="00847FAE" w:rsidRDefault="00FD6F91" w:rsidP="00FD6F91">
            <w:pPr>
              <w:jc w:val="center"/>
              <w:rPr>
                <w:rFonts w:cs="Calibri"/>
                <w:color w:val="000000"/>
                <w:sz w:val="18"/>
                <w:szCs w:val="18"/>
              </w:rPr>
            </w:pPr>
            <w:r w:rsidRPr="00847FAE">
              <w:rPr>
                <w:rFonts w:cs="Calibri"/>
                <w:color w:val="000000"/>
                <w:sz w:val="18"/>
                <w:szCs w:val="18"/>
              </w:rPr>
              <w:t>45</w:t>
            </w:r>
          </w:p>
        </w:tc>
        <w:tc>
          <w:tcPr>
            <w:tcW w:w="879" w:type="dxa"/>
            <w:tcBorders>
              <w:top w:val="nil"/>
              <w:left w:val="nil"/>
              <w:bottom w:val="nil"/>
              <w:right w:val="nil"/>
            </w:tcBorders>
            <w:shd w:val="clear" w:color="auto" w:fill="auto"/>
            <w:noWrap/>
            <w:vAlign w:val="center"/>
          </w:tcPr>
          <w:p w14:paraId="077DE67B" w14:textId="77777777" w:rsidR="00FD6F91" w:rsidRPr="00847FAE" w:rsidRDefault="00FD6F91" w:rsidP="00FD6F91">
            <w:pPr>
              <w:jc w:val="center"/>
              <w:rPr>
                <w:rFonts w:cs="Calibri"/>
                <w:color w:val="000000"/>
                <w:sz w:val="18"/>
                <w:szCs w:val="18"/>
              </w:rPr>
            </w:pPr>
            <w:r w:rsidRPr="00847FAE">
              <w:rPr>
                <w:rFonts w:cs="Calibri"/>
                <w:color w:val="000000"/>
                <w:sz w:val="18"/>
                <w:szCs w:val="18"/>
              </w:rPr>
              <w:t>34</w:t>
            </w:r>
          </w:p>
        </w:tc>
        <w:tc>
          <w:tcPr>
            <w:tcW w:w="879" w:type="dxa"/>
            <w:tcBorders>
              <w:top w:val="nil"/>
              <w:left w:val="nil"/>
              <w:bottom w:val="nil"/>
              <w:right w:val="nil"/>
            </w:tcBorders>
            <w:shd w:val="clear" w:color="auto" w:fill="auto"/>
            <w:noWrap/>
            <w:vAlign w:val="center"/>
          </w:tcPr>
          <w:p w14:paraId="03FFC30C" w14:textId="77777777" w:rsidR="00FD6F91" w:rsidRPr="00847FAE" w:rsidRDefault="00FD6F91" w:rsidP="00FD6F91">
            <w:pPr>
              <w:jc w:val="center"/>
              <w:rPr>
                <w:rFonts w:cs="Calibri"/>
                <w:color w:val="000000"/>
                <w:sz w:val="18"/>
                <w:szCs w:val="18"/>
              </w:rPr>
            </w:pPr>
            <w:r w:rsidRPr="00847FAE">
              <w:rPr>
                <w:rFonts w:cs="Calibri"/>
                <w:color w:val="000000"/>
                <w:sz w:val="18"/>
                <w:szCs w:val="18"/>
              </w:rPr>
              <w:t>30</w:t>
            </w:r>
          </w:p>
        </w:tc>
        <w:tc>
          <w:tcPr>
            <w:tcW w:w="879" w:type="dxa"/>
            <w:tcBorders>
              <w:top w:val="nil"/>
              <w:left w:val="nil"/>
              <w:bottom w:val="nil"/>
              <w:right w:val="nil"/>
            </w:tcBorders>
            <w:shd w:val="clear" w:color="auto" w:fill="auto"/>
            <w:noWrap/>
            <w:vAlign w:val="center"/>
          </w:tcPr>
          <w:p w14:paraId="05EA45FB" w14:textId="77777777" w:rsidR="00FD6F91" w:rsidRPr="00847FAE" w:rsidRDefault="00FD6F91" w:rsidP="00FD6F91">
            <w:pPr>
              <w:jc w:val="center"/>
              <w:rPr>
                <w:rFonts w:cs="Calibri"/>
                <w:color w:val="000000"/>
                <w:sz w:val="18"/>
                <w:szCs w:val="18"/>
              </w:rPr>
            </w:pPr>
            <w:r w:rsidRPr="00847FAE">
              <w:rPr>
                <w:rFonts w:cs="Calibri"/>
                <w:color w:val="000000"/>
                <w:sz w:val="18"/>
                <w:szCs w:val="18"/>
              </w:rPr>
              <w:t>46</w:t>
            </w:r>
          </w:p>
        </w:tc>
        <w:tc>
          <w:tcPr>
            <w:tcW w:w="879" w:type="dxa"/>
            <w:tcBorders>
              <w:top w:val="nil"/>
              <w:left w:val="nil"/>
              <w:bottom w:val="nil"/>
              <w:right w:val="nil"/>
            </w:tcBorders>
            <w:shd w:val="clear" w:color="auto" w:fill="auto"/>
            <w:noWrap/>
            <w:vAlign w:val="center"/>
          </w:tcPr>
          <w:p w14:paraId="078B5E84" w14:textId="77777777" w:rsidR="00FD6F91" w:rsidRPr="00847FAE" w:rsidRDefault="00FD6F91" w:rsidP="00FD6F91">
            <w:pPr>
              <w:jc w:val="center"/>
              <w:rPr>
                <w:rFonts w:cs="Calibri"/>
                <w:color w:val="000000"/>
                <w:sz w:val="18"/>
                <w:szCs w:val="18"/>
              </w:rPr>
            </w:pPr>
            <w:r w:rsidRPr="00847FAE">
              <w:rPr>
                <w:rFonts w:cs="Calibri"/>
                <w:color w:val="000000"/>
                <w:sz w:val="18"/>
                <w:szCs w:val="18"/>
              </w:rPr>
              <w:t>36</w:t>
            </w:r>
          </w:p>
        </w:tc>
        <w:tc>
          <w:tcPr>
            <w:tcW w:w="1134" w:type="dxa"/>
            <w:tcBorders>
              <w:top w:val="nil"/>
              <w:left w:val="nil"/>
              <w:bottom w:val="nil"/>
              <w:right w:val="nil"/>
            </w:tcBorders>
            <w:shd w:val="clear" w:color="auto" w:fill="auto"/>
            <w:noWrap/>
            <w:vAlign w:val="center"/>
          </w:tcPr>
          <w:p w14:paraId="08B5A780" w14:textId="77777777" w:rsidR="00FD6F91" w:rsidRPr="00847FAE" w:rsidRDefault="00FD6F91" w:rsidP="00FD6F91">
            <w:pPr>
              <w:jc w:val="center"/>
              <w:rPr>
                <w:rFonts w:cs="Calibri"/>
                <w:color w:val="000000"/>
                <w:sz w:val="18"/>
                <w:szCs w:val="18"/>
              </w:rPr>
            </w:pPr>
            <w:r w:rsidRPr="00847FAE">
              <w:rPr>
                <w:rFonts w:cs="Calibri"/>
                <w:color w:val="000000"/>
                <w:sz w:val="18"/>
                <w:szCs w:val="18"/>
              </w:rPr>
              <w:t>-21.7%</w:t>
            </w:r>
          </w:p>
        </w:tc>
      </w:tr>
      <w:tr w:rsidR="00FD6F91" w:rsidRPr="00847FAE" w14:paraId="1F6D29E6" w14:textId="77777777" w:rsidTr="001F1F60">
        <w:trPr>
          <w:cantSplit/>
          <w:trHeight w:val="255"/>
        </w:trPr>
        <w:tc>
          <w:tcPr>
            <w:tcW w:w="3402" w:type="dxa"/>
            <w:tcBorders>
              <w:top w:val="nil"/>
              <w:left w:val="nil"/>
              <w:bottom w:val="nil"/>
              <w:right w:val="nil"/>
            </w:tcBorders>
            <w:shd w:val="clear" w:color="auto" w:fill="auto"/>
            <w:noWrap/>
          </w:tcPr>
          <w:p w14:paraId="3FF80363" w14:textId="378901D9"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Mining Tribunal</w:t>
            </w:r>
            <w:r w:rsidR="00BD0AAF">
              <w:rPr>
                <w:rFonts w:cs="Calibri"/>
                <w:iCs/>
                <w:color w:val="000000"/>
                <w:sz w:val="18"/>
                <w:szCs w:val="18"/>
                <w:vertAlign w:val="superscript"/>
              </w:rPr>
              <w:t>6</w:t>
            </w:r>
          </w:p>
        </w:tc>
        <w:tc>
          <w:tcPr>
            <w:tcW w:w="879" w:type="dxa"/>
            <w:tcBorders>
              <w:top w:val="nil"/>
              <w:left w:val="nil"/>
              <w:bottom w:val="nil"/>
              <w:right w:val="nil"/>
            </w:tcBorders>
            <w:shd w:val="clear" w:color="auto" w:fill="auto"/>
            <w:noWrap/>
            <w:vAlign w:val="center"/>
          </w:tcPr>
          <w:p w14:paraId="28A6B32D"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879" w:type="dxa"/>
            <w:tcBorders>
              <w:top w:val="nil"/>
              <w:left w:val="nil"/>
              <w:bottom w:val="nil"/>
              <w:right w:val="nil"/>
            </w:tcBorders>
            <w:shd w:val="clear" w:color="auto" w:fill="auto"/>
            <w:noWrap/>
            <w:vAlign w:val="center"/>
          </w:tcPr>
          <w:p w14:paraId="1E348065"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879" w:type="dxa"/>
            <w:tcBorders>
              <w:top w:val="nil"/>
              <w:left w:val="nil"/>
              <w:bottom w:val="nil"/>
              <w:right w:val="nil"/>
            </w:tcBorders>
            <w:shd w:val="clear" w:color="auto" w:fill="auto"/>
            <w:noWrap/>
            <w:vAlign w:val="center"/>
          </w:tcPr>
          <w:p w14:paraId="5F2E5B43" w14:textId="77777777" w:rsidR="00FD6F91" w:rsidRPr="00847FAE" w:rsidRDefault="00FD6F91" w:rsidP="00FD6F91">
            <w:pPr>
              <w:jc w:val="center"/>
              <w:rPr>
                <w:rFonts w:cs="Calibri"/>
                <w:color w:val="000000"/>
                <w:sz w:val="18"/>
                <w:szCs w:val="18"/>
              </w:rPr>
            </w:pPr>
            <w:r w:rsidRPr="00847FAE">
              <w:rPr>
                <w:rFonts w:cs="Calibri"/>
                <w:color w:val="000000"/>
                <w:sz w:val="18"/>
                <w:szCs w:val="18"/>
              </w:rPr>
              <w:t>-</w:t>
            </w:r>
          </w:p>
        </w:tc>
        <w:tc>
          <w:tcPr>
            <w:tcW w:w="879" w:type="dxa"/>
            <w:tcBorders>
              <w:top w:val="nil"/>
              <w:left w:val="nil"/>
              <w:bottom w:val="nil"/>
              <w:right w:val="nil"/>
            </w:tcBorders>
            <w:shd w:val="clear" w:color="auto" w:fill="auto"/>
            <w:noWrap/>
            <w:vAlign w:val="center"/>
          </w:tcPr>
          <w:p w14:paraId="106FF881"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879" w:type="dxa"/>
            <w:tcBorders>
              <w:top w:val="nil"/>
              <w:left w:val="nil"/>
              <w:bottom w:val="nil"/>
              <w:right w:val="nil"/>
            </w:tcBorders>
            <w:shd w:val="clear" w:color="auto" w:fill="auto"/>
            <w:noWrap/>
            <w:vAlign w:val="center"/>
          </w:tcPr>
          <w:p w14:paraId="329D1434" w14:textId="77777777" w:rsidR="00FD6F91" w:rsidRPr="00847FAE" w:rsidRDefault="00FD6F91" w:rsidP="00FD6F91">
            <w:pPr>
              <w:jc w:val="center"/>
              <w:rPr>
                <w:rFonts w:cs="Calibri"/>
                <w:color w:val="000000"/>
                <w:sz w:val="18"/>
                <w:szCs w:val="18"/>
              </w:rPr>
            </w:pPr>
            <w:r w:rsidRPr="00847FAE">
              <w:rPr>
                <w:rFonts w:cs="Calibri"/>
                <w:color w:val="000000"/>
                <w:sz w:val="18"/>
                <w:szCs w:val="18"/>
              </w:rPr>
              <w:t>4</w:t>
            </w:r>
          </w:p>
        </w:tc>
        <w:tc>
          <w:tcPr>
            <w:tcW w:w="1134" w:type="dxa"/>
            <w:tcBorders>
              <w:top w:val="nil"/>
              <w:left w:val="nil"/>
              <w:bottom w:val="nil"/>
              <w:right w:val="nil"/>
            </w:tcBorders>
            <w:shd w:val="clear" w:color="auto" w:fill="auto"/>
            <w:noWrap/>
            <w:vAlign w:val="center"/>
          </w:tcPr>
          <w:p w14:paraId="4F1CD03A" w14:textId="77777777" w:rsidR="00FD6F91" w:rsidRPr="00847FAE" w:rsidRDefault="00FD6F91" w:rsidP="00FD6F91">
            <w:pPr>
              <w:jc w:val="center"/>
              <w:rPr>
                <w:rFonts w:cs="Calibri"/>
                <w:color w:val="000000"/>
                <w:sz w:val="18"/>
                <w:szCs w:val="18"/>
              </w:rPr>
            </w:pPr>
            <w:r w:rsidRPr="00847FAE">
              <w:rPr>
                <w:rFonts w:cs="Calibri"/>
                <w:color w:val="000000"/>
                <w:sz w:val="18"/>
                <w:szCs w:val="18"/>
              </w:rPr>
              <w:t>300.0%</w:t>
            </w:r>
          </w:p>
        </w:tc>
      </w:tr>
      <w:tr w:rsidR="00FD6F91" w:rsidRPr="00847FAE" w14:paraId="5AF1D086" w14:textId="77777777" w:rsidTr="001F1F60">
        <w:trPr>
          <w:cantSplit/>
          <w:trHeight w:val="255"/>
        </w:trPr>
        <w:tc>
          <w:tcPr>
            <w:tcW w:w="3402" w:type="dxa"/>
            <w:tcBorders>
              <w:top w:val="nil"/>
              <w:left w:val="nil"/>
              <w:bottom w:val="nil"/>
              <w:right w:val="nil"/>
            </w:tcBorders>
            <w:shd w:val="clear" w:color="auto" w:fill="auto"/>
            <w:noWrap/>
          </w:tcPr>
          <w:p w14:paraId="39ED1474" w14:textId="77777777" w:rsidR="00FD6F91" w:rsidRPr="00847FAE" w:rsidRDefault="00FD6F91" w:rsidP="00FD6F91">
            <w:pPr>
              <w:widowControl w:val="0"/>
              <w:rPr>
                <w:rFonts w:cs="Calibri"/>
                <w:b/>
                <w:iCs/>
                <w:color w:val="000000"/>
                <w:sz w:val="18"/>
                <w:szCs w:val="18"/>
              </w:rPr>
            </w:pPr>
            <w:r w:rsidRPr="00847FAE">
              <w:rPr>
                <w:rFonts w:cs="Calibri"/>
                <w:b/>
                <w:iCs/>
                <w:color w:val="000000"/>
                <w:sz w:val="18"/>
                <w:szCs w:val="18"/>
              </w:rPr>
              <w:t>Finalisations</w:t>
            </w:r>
          </w:p>
        </w:tc>
        <w:tc>
          <w:tcPr>
            <w:tcW w:w="879" w:type="dxa"/>
            <w:tcBorders>
              <w:top w:val="nil"/>
              <w:left w:val="nil"/>
              <w:bottom w:val="nil"/>
              <w:right w:val="nil"/>
            </w:tcBorders>
            <w:shd w:val="clear" w:color="auto" w:fill="auto"/>
            <w:noWrap/>
          </w:tcPr>
          <w:p w14:paraId="57366CF2"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shd w:val="clear" w:color="auto" w:fill="auto"/>
            <w:noWrap/>
          </w:tcPr>
          <w:p w14:paraId="5DFE72B4"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shd w:val="clear" w:color="auto" w:fill="auto"/>
            <w:noWrap/>
          </w:tcPr>
          <w:p w14:paraId="058347B9"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shd w:val="clear" w:color="auto" w:fill="auto"/>
            <w:noWrap/>
          </w:tcPr>
          <w:p w14:paraId="18634001" w14:textId="77777777" w:rsidR="00FD6F91" w:rsidRPr="00847FAE" w:rsidRDefault="00FD6F91" w:rsidP="00FD6F91">
            <w:pPr>
              <w:widowControl w:val="0"/>
              <w:jc w:val="right"/>
              <w:rPr>
                <w:sz w:val="18"/>
                <w:szCs w:val="18"/>
              </w:rPr>
            </w:pPr>
          </w:p>
        </w:tc>
        <w:tc>
          <w:tcPr>
            <w:tcW w:w="879" w:type="dxa"/>
            <w:tcBorders>
              <w:top w:val="nil"/>
              <w:left w:val="nil"/>
              <w:bottom w:val="nil"/>
              <w:right w:val="nil"/>
            </w:tcBorders>
            <w:shd w:val="clear" w:color="auto" w:fill="auto"/>
            <w:noWrap/>
          </w:tcPr>
          <w:p w14:paraId="329B17E4" w14:textId="77777777" w:rsidR="00FD6F91" w:rsidRPr="00847FAE" w:rsidRDefault="00FD6F91" w:rsidP="00FD6F91">
            <w:pPr>
              <w:widowControl w:val="0"/>
              <w:jc w:val="right"/>
              <w:rPr>
                <w:sz w:val="18"/>
                <w:szCs w:val="18"/>
              </w:rPr>
            </w:pPr>
          </w:p>
        </w:tc>
        <w:tc>
          <w:tcPr>
            <w:tcW w:w="1134" w:type="dxa"/>
            <w:tcBorders>
              <w:top w:val="nil"/>
              <w:left w:val="nil"/>
              <w:bottom w:val="nil"/>
              <w:right w:val="nil"/>
            </w:tcBorders>
            <w:shd w:val="clear" w:color="auto" w:fill="auto"/>
            <w:noWrap/>
          </w:tcPr>
          <w:p w14:paraId="02F06225" w14:textId="77777777" w:rsidR="00FD6F91" w:rsidRPr="00847FAE" w:rsidRDefault="00FD6F91" w:rsidP="00FD6F91">
            <w:pPr>
              <w:widowControl w:val="0"/>
              <w:jc w:val="center"/>
              <w:rPr>
                <w:sz w:val="18"/>
                <w:szCs w:val="18"/>
              </w:rPr>
            </w:pPr>
          </w:p>
        </w:tc>
      </w:tr>
      <w:tr w:rsidR="00FD6F91" w:rsidRPr="00847FAE" w14:paraId="090885DB" w14:textId="77777777" w:rsidTr="001F1F60">
        <w:trPr>
          <w:cantSplit/>
          <w:trHeight w:val="255"/>
        </w:trPr>
        <w:tc>
          <w:tcPr>
            <w:tcW w:w="3402" w:type="dxa"/>
            <w:tcBorders>
              <w:top w:val="nil"/>
              <w:left w:val="nil"/>
              <w:bottom w:val="nil"/>
              <w:right w:val="nil"/>
            </w:tcBorders>
            <w:shd w:val="clear" w:color="auto" w:fill="auto"/>
            <w:noWrap/>
          </w:tcPr>
          <w:p w14:paraId="09D98F89" w14:textId="635E6B0B"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Administrative Appeals</w:t>
            </w:r>
            <w:r w:rsidR="00BD0AAF">
              <w:rPr>
                <w:rFonts w:cs="Calibri"/>
                <w:iCs/>
                <w:color w:val="000000"/>
                <w:sz w:val="18"/>
                <w:szCs w:val="18"/>
                <w:vertAlign w:val="superscript"/>
              </w:rPr>
              <w:t>6</w:t>
            </w:r>
            <w:r w:rsidRPr="00847FAE">
              <w:rPr>
                <w:rFonts w:cs="Calibri"/>
                <w:iCs/>
                <w:color w:val="000000"/>
                <w:sz w:val="18"/>
                <w:szCs w:val="18"/>
              </w:rPr>
              <w:t xml:space="preserve"> </w:t>
            </w:r>
          </w:p>
        </w:tc>
        <w:tc>
          <w:tcPr>
            <w:tcW w:w="879" w:type="dxa"/>
            <w:tcBorders>
              <w:top w:val="nil"/>
              <w:left w:val="nil"/>
              <w:bottom w:val="nil"/>
              <w:right w:val="nil"/>
            </w:tcBorders>
            <w:shd w:val="clear" w:color="auto" w:fill="auto"/>
            <w:noWrap/>
            <w:vAlign w:val="center"/>
          </w:tcPr>
          <w:p w14:paraId="7A641FA2" w14:textId="77777777" w:rsidR="00FD6F91" w:rsidRPr="00847FAE" w:rsidRDefault="00FD6F91" w:rsidP="00FD6F91">
            <w:pPr>
              <w:jc w:val="center"/>
              <w:rPr>
                <w:rFonts w:cs="Calibri"/>
                <w:color w:val="000000"/>
                <w:sz w:val="18"/>
                <w:szCs w:val="18"/>
              </w:rPr>
            </w:pPr>
            <w:r w:rsidRPr="00847FAE">
              <w:rPr>
                <w:rFonts w:cs="Calibri"/>
                <w:color w:val="000000"/>
                <w:sz w:val="18"/>
                <w:szCs w:val="18"/>
              </w:rPr>
              <w:t>38</w:t>
            </w:r>
          </w:p>
        </w:tc>
        <w:tc>
          <w:tcPr>
            <w:tcW w:w="879" w:type="dxa"/>
            <w:tcBorders>
              <w:top w:val="nil"/>
              <w:left w:val="nil"/>
              <w:bottom w:val="nil"/>
              <w:right w:val="nil"/>
            </w:tcBorders>
            <w:shd w:val="clear" w:color="auto" w:fill="auto"/>
            <w:noWrap/>
            <w:vAlign w:val="center"/>
          </w:tcPr>
          <w:p w14:paraId="6E1E71C6" w14:textId="77777777" w:rsidR="00FD6F91" w:rsidRPr="00847FAE" w:rsidRDefault="00FD6F91" w:rsidP="00FD6F91">
            <w:pPr>
              <w:jc w:val="center"/>
              <w:rPr>
                <w:rFonts w:cs="Calibri"/>
                <w:color w:val="000000"/>
                <w:sz w:val="18"/>
                <w:szCs w:val="18"/>
              </w:rPr>
            </w:pPr>
            <w:r w:rsidRPr="00847FAE">
              <w:rPr>
                <w:rFonts w:cs="Calibri"/>
                <w:color w:val="000000"/>
                <w:sz w:val="18"/>
                <w:szCs w:val="18"/>
              </w:rPr>
              <w:t>45</w:t>
            </w:r>
          </w:p>
        </w:tc>
        <w:tc>
          <w:tcPr>
            <w:tcW w:w="879" w:type="dxa"/>
            <w:tcBorders>
              <w:top w:val="nil"/>
              <w:left w:val="nil"/>
              <w:bottom w:val="nil"/>
              <w:right w:val="nil"/>
            </w:tcBorders>
            <w:shd w:val="clear" w:color="auto" w:fill="auto"/>
            <w:noWrap/>
            <w:vAlign w:val="center"/>
          </w:tcPr>
          <w:p w14:paraId="20FFB6BD" w14:textId="77777777" w:rsidR="00FD6F91" w:rsidRPr="00847FAE" w:rsidRDefault="00FD6F91" w:rsidP="00FD6F91">
            <w:pPr>
              <w:jc w:val="center"/>
              <w:rPr>
                <w:rFonts w:cs="Calibri"/>
                <w:color w:val="000000"/>
                <w:sz w:val="18"/>
                <w:szCs w:val="18"/>
              </w:rPr>
            </w:pPr>
            <w:r w:rsidRPr="00847FAE">
              <w:rPr>
                <w:rFonts w:cs="Calibri"/>
                <w:color w:val="000000"/>
                <w:sz w:val="18"/>
                <w:szCs w:val="18"/>
              </w:rPr>
              <w:t>30</w:t>
            </w:r>
          </w:p>
        </w:tc>
        <w:tc>
          <w:tcPr>
            <w:tcW w:w="879" w:type="dxa"/>
            <w:tcBorders>
              <w:top w:val="nil"/>
              <w:left w:val="nil"/>
              <w:bottom w:val="nil"/>
              <w:right w:val="nil"/>
            </w:tcBorders>
            <w:shd w:val="clear" w:color="auto" w:fill="auto"/>
            <w:noWrap/>
            <w:vAlign w:val="center"/>
          </w:tcPr>
          <w:p w14:paraId="0D12233D" w14:textId="77777777" w:rsidR="00FD6F91" w:rsidRPr="00847FAE" w:rsidRDefault="00FD6F91" w:rsidP="00FD6F91">
            <w:pPr>
              <w:jc w:val="center"/>
              <w:rPr>
                <w:rFonts w:cs="Calibri"/>
                <w:color w:val="000000"/>
                <w:sz w:val="18"/>
                <w:szCs w:val="18"/>
              </w:rPr>
            </w:pPr>
            <w:r w:rsidRPr="00847FAE">
              <w:rPr>
                <w:rFonts w:cs="Calibri"/>
                <w:color w:val="000000"/>
                <w:sz w:val="18"/>
                <w:szCs w:val="18"/>
              </w:rPr>
              <w:t>30</w:t>
            </w:r>
          </w:p>
        </w:tc>
        <w:tc>
          <w:tcPr>
            <w:tcW w:w="879" w:type="dxa"/>
            <w:tcBorders>
              <w:top w:val="nil"/>
              <w:left w:val="nil"/>
              <w:bottom w:val="nil"/>
              <w:right w:val="nil"/>
            </w:tcBorders>
            <w:shd w:val="clear" w:color="auto" w:fill="auto"/>
            <w:noWrap/>
            <w:vAlign w:val="center"/>
          </w:tcPr>
          <w:p w14:paraId="0BDEA5F1" w14:textId="77777777" w:rsidR="00FD6F91" w:rsidRPr="00847FAE" w:rsidRDefault="00FD6F91" w:rsidP="00FD6F91">
            <w:pPr>
              <w:jc w:val="center"/>
              <w:rPr>
                <w:rFonts w:cs="Calibri"/>
                <w:color w:val="000000"/>
                <w:sz w:val="18"/>
                <w:szCs w:val="18"/>
              </w:rPr>
            </w:pPr>
            <w:r w:rsidRPr="00847FAE">
              <w:rPr>
                <w:rFonts w:cs="Calibri"/>
                <w:color w:val="000000"/>
                <w:sz w:val="18"/>
                <w:szCs w:val="18"/>
              </w:rPr>
              <w:t>39</w:t>
            </w:r>
          </w:p>
        </w:tc>
        <w:tc>
          <w:tcPr>
            <w:tcW w:w="1134" w:type="dxa"/>
            <w:tcBorders>
              <w:top w:val="nil"/>
              <w:left w:val="nil"/>
              <w:bottom w:val="nil"/>
              <w:right w:val="nil"/>
            </w:tcBorders>
            <w:shd w:val="clear" w:color="auto" w:fill="auto"/>
            <w:noWrap/>
            <w:vAlign w:val="center"/>
          </w:tcPr>
          <w:p w14:paraId="7790CCAA" w14:textId="77777777" w:rsidR="00FD6F91" w:rsidRPr="00847FAE" w:rsidRDefault="00FD6F91" w:rsidP="00FD6F91">
            <w:pPr>
              <w:jc w:val="center"/>
              <w:rPr>
                <w:rFonts w:cs="Calibri"/>
                <w:color w:val="000000"/>
                <w:sz w:val="18"/>
                <w:szCs w:val="18"/>
              </w:rPr>
            </w:pPr>
            <w:r w:rsidRPr="00847FAE">
              <w:rPr>
                <w:rFonts w:cs="Calibri"/>
                <w:color w:val="000000"/>
                <w:sz w:val="18"/>
                <w:szCs w:val="18"/>
              </w:rPr>
              <w:t>30.0%</w:t>
            </w:r>
          </w:p>
        </w:tc>
      </w:tr>
      <w:tr w:rsidR="00FD6F91" w:rsidRPr="00847FAE" w14:paraId="5179A59A" w14:textId="77777777" w:rsidTr="001F1F60">
        <w:trPr>
          <w:cantSplit/>
          <w:trHeight w:val="255"/>
        </w:trPr>
        <w:tc>
          <w:tcPr>
            <w:tcW w:w="3402" w:type="dxa"/>
            <w:tcBorders>
              <w:top w:val="nil"/>
              <w:left w:val="nil"/>
              <w:bottom w:val="single" w:sz="4" w:space="0" w:color="auto"/>
              <w:right w:val="nil"/>
            </w:tcBorders>
            <w:shd w:val="clear" w:color="auto" w:fill="auto"/>
            <w:noWrap/>
          </w:tcPr>
          <w:p w14:paraId="2703CBD9" w14:textId="49139672"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Mining Tribunal</w:t>
            </w:r>
            <w:r w:rsidR="00BD0AAF">
              <w:rPr>
                <w:rFonts w:cs="Calibri"/>
                <w:iCs/>
                <w:color w:val="000000"/>
                <w:sz w:val="18"/>
                <w:szCs w:val="18"/>
                <w:vertAlign w:val="superscript"/>
              </w:rPr>
              <w:t>6</w:t>
            </w:r>
          </w:p>
        </w:tc>
        <w:tc>
          <w:tcPr>
            <w:tcW w:w="879" w:type="dxa"/>
            <w:tcBorders>
              <w:top w:val="nil"/>
              <w:left w:val="nil"/>
              <w:bottom w:val="single" w:sz="4" w:space="0" w:color="auto"/>
              <w:right w:val="nil"/>
            </w:tcBorders>
            <w:shd w:val="clear" w:color="auto" w:fill="auto"/>
            <w:noWrap/>
            <w:vAlign w:val="center"/>
          </w:tcPr>
          <w:p w14:paraId="57AFFA87"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879" w:type="dxa"/>
            <w:tcBorders>
              <w:top w:val="nil"/>
              <w:left w:val="nil"/>
              <w:bottom w:val="single" w:sz="4" w:space="0" w:color="auto"/>
              <w:right w:val="nil"/>
            </w:tcBorders>
            <w:shd w:val="clear" w:color="auto" w:fill="auto"/>
            <w:noWrap/>
            <w:vAlign w:val="center"/>
          </w:tcPr>
          <w:p w14:paraId="152AFDD0" w14:textId="77777777" w:rsidR="00FD6F91" w:rsidRPr="00847FAE" w:rsidRDefault="00FD6F91" w:rsidP="00FD6F91">
            <w:pPr>
              <w:jc w:val="center"/>
              <w:rPr>
                <w:rFonts w:cs="Calibri"/>
                <w:color w:val="000000"/>
                <w:sz w:val="18"/>
                <w:szCs w:val="18"/>
              </w:rPr>
            </w:pPr>
            <w:r w:rsidRPr="00847FAE">
              <w:rPr>
                <w:rFonts w:cs="Calibri"/>
                <w:color w:val="000000"/>
                <w:sz w:val="18"/>
                <w:szCs w:val="18"/>
              </w:rPr>
              <w:t>2</w:t>
            </w:r>
          </w:p>
        </w:tc>
        <w:tc>
          <w:tcPr>
            <w:tcW w:w="879" w:type="dxa"/>
            <w:tcBorders>
              <w:top w:val="nil"/>
              <w:left w:val="nil"/>
              <w:bottom w:val="single" w:sz="4" w:space="0" w:color="auto"/>
              <w:right w:val="nil"/>
            </w:tcBorders>
            <w:shd w:val="clear" w:color="auto" w:fill="auto"/>
            <w:noWrap/>
            <w:vAlign w:val="center"/>
          </w:tcPr>
          <w:p w14:paraId="2D57D633" w14:textId="77777777" w:rsidR="00FD6F91" w:rsidRPr="00847FAE" w:rsidRDefault="00FD6F91" w:rsidP="00FD6F91">
            <w:pPr>
              <w:jc w:val="center"/>
              <w:rPr>
                <w:rFonts w:cs="Calibri"/>
                <w:color w:val="000000"/>
                <w:sz w:val="18"/>
                <w:szCs w:val="18"/>
              </w:rPr>
            </w:pPr>
            <w:r w:rsidRPr="00847FAE">
              <w:rPr>
                <w:rFonts w:cs="Calibri"/>
                <w:color w:val="000000"/>
                <w:sz w:val="18"/>
                <w:szCs w:val="18"/>
              </w:rPr>
              <w:t>-</w:t>
            </w:r>
          </w:p>
        </w:tc>
        <w:tc>
          <w:tcPr>
            <w:tcW w:w="879" w:type="dxa"/>
            <w:tcBorders>
              <w:top w:val="nil"/>
              <w:left w:val="nil"/>
              <w:bottom w:val="single" w:sz="4" w:space="0" w:color="auto"/>
              <w:right w:val="nil"/>
            </w:tcBorders>
            <w:shd w:val="clear" w:color="auto" w:fill="auto"/>
            <w:noWrap/>
            <w:vAlign w:val="center"/>
          </w:tcPr>
          <w:p w14:paraId="1DC140DD" w14:textId="77777777" w:rsidR="00FD6F91" w:rsidRPr="00847FAE" w:rsidRDefault="00FD6F91" w:rsidP="00FD6F91">
            <w:pPr>
              <w:jc w:val="center"/>
              <w:rPr>
                <w:rFonts w:cs="Calibri"/>
                <w:color w:val="000000"/>
                <w:sz w:val="18"/>
                <w:szCs w:val="18"/>
              </w:rPr>
            </w:pPr>
            <w:r w:rsidRPr="00847FAE">
              <w:rPr>
                <w:rFonts w:cs="Calibri"/>
                <w:color w:val="000000"/>
                <w:sz w:val="18"/>
                <w:szCs w:val="18"/>
              </w:rPr>
              <w:t>-</w:t>
            </w:r>
          </w:p>
        </w:tc>
        <w:tc>
          <w:tcPr>
            <w:tcW w:w="879" w:type="dxa"/>
            <w:tcBorders>
              <w:top w:val="nil"/>
              <w:left w:val="nil"/>
              <w:bottom w:val="single" w:sz="4" w:space="0" w:color="auto"/>
              <w:right w:val="nil"/>
            </w:tcBorders>
            <w:shd w:val="clear" w:color="auto" w:fill="auto"/>
            <w:noWrap/>
            <w:vAlign w:val="center"/>
          </w:tcPr>
          <w:p w14:paraId="19E22C10"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1134" w:type="dxa"/>
            <w:tcBorders>
              <w:top w:val="nil"/>
              <w:left w:val="nil"/>
              <w:bottom w:val="single" w:sz="4" w:space="0" w:color="auto"/>
              <w:right w:val="nil"/>
            </w:tcBorders>
            <w:shd w:val="clear" w:color="auto" w:fill="auto"/>
            <w:noWrap/>
            <w:vAlign w:val="center"/>
          </w:tcPr>
          <w:p w14:paraId="14C12A1F" w14:textId="77777777" w:rsidR="00FD6F91" w:rsidRPr="00847FAE" w:rsidRDefault="00FD6F91" w:rsidP="00FD6F91">
            <w:pPr>
              <w:jc w:val="center"/>
              <w:rPr>
                <w:rFonts w:cs="Calibri"/>
                <w:color w:val="000000"/>
                <w:sz w:val="18"/>
                <w:szCs w:val="18"/>
              </w:rPr>
            </w:pPr>
            <w:r w:rsidRPr="00847FAE">
              <w:rPr>
                <w:rFonts w:cs="Calibri"/>
                <w:color w:val="000000"/>
                <w:sz w:val="18"/>
                <w:szCs w:val="18"/>
              </w:rPr>
              <w:t>0.0%</w:t>
            </w:r>
          </w:p>
        </w:tc>
      </w:tr>
      <w:tr w:rsidR="00FD6F91" w:rsidRPr="00847FAE" w14:paraId="43F4E769" w14:textId="77777777" w:rsidTr="001F1F60">
        <w:trPr>
          <w:cantSplit/>
          <w:trHeight w:val="255"/>
        </w:trPr>
        <w:tc>
          <w:tcPr>
            <w:tcW w:w="8931" w:type="dxa"/>
            <w:gridSpan w:val="7"/>
            <w:tcBorders>
              <w:top w:val="single" w:sz="4" w:space="0" w:color="auto"/>
              <w:left w:val="nil"/>
              <w:bottom w:val="nil"/>
              <w:right w:val="nil"/>
            </w:tcBorders>
            <w:shd w:val="clear" w:color="auto" w:fill="auto"/>
            <w:noWrap/>
            <w:vAlign w:val="center"/>
          </w:tcPr>
          <w:p w14:paraId="42D2E394" w14:textId="77777777" w:rsidR="00FD6F91" w:rsidRPr="00847FAE" w:rsidRDefault="00FD6F91" w:rsidP="00FD6F91">
            <w:pPr>
              <w:widowControl w:val="0"/>
              <w:rPr>
                <w:rFonts w:cs="Calibri"/>
                <w:color w:val="000000"/>
                <w:sz w:val="15"/>
                <w:szCs w:val="15"/>
              </w:rPr>
            </w:pPr>
            <w:r w:rsidRPr="00847FAE">
              <w:rPr>
                <w:rFonts w:cs="Calibri"/>
                <w:color w:val="000000"/>
                <w:sz w:val="15"/>
                <w:szCs w:val="15"/>
                <w:vertAlign w:val="superscript"/>
              </w:rPr>
              <w:lastRenderedPageBreak/>
              <w:t xml:space="preserve">1 </w:t>
            </w:r>
            <w:r w:rsidRPr="00847FAE">
              <w:rPr>
                <w:rFonts w:cs="Calibri"/>
                <w:color w:val="000000"/>
                <w:sz w:val="15"/>
                <w:szCs w:val="15"/>
              </w:rPr>
              <w:t xml:space="preserve">In accordance with the Report on Government Services (RoGS) statistics manual, the counting unit adopted for criminal complaints is a defendant per case based unit. This figure includes family violence and intervention order criminal activity (such as the breach of a family violence or intervention order) and not the civil activity (the application of an order) which is set out separately under ‘civil’. </w:t>
            </w:r>
          </w:p>
          <w:p w14:paraId="2F718E6A" w14:textId="54D924D6" w:rsidR="00FD6F91" w:rsidRDefault="00FD6F91" w:rsidP="00FD6F91">
            <w:pPr>
              <w:widowControl w:val="0"/>
              <w:rPr>
                <w:rFonts w:cs="Calibri"/>
                <w:color w:val="000000"/>
                <w:sz w:val="15"/>
                <w:szCs w:val="15"/>
              </w:rPr>
            </w:pPr>
            <w:r w:rsidRPr="00847FAE">
              <w:rPr>
                <w:rFonts w:cs="Calibri"/>
                <w:color w:val="000000"/>
                <w:sz w:val="15"/>
                <w:szCs w:val="15"/>
                <w:vertAlign w:val="superscript"/>
              </w:rPr>
              <w:t>2</w:t>
            </w:r>
            <w:r w:rsidRPr="00847FAE">
              <w:rPr>
                <w:rFonts w:cs="Calibri"/>
                <w:color w:val="000000"/>
                <w:sz w:val="15"/>
                <w:szCs w:val="15"/>
              </w:rPr>
              <w:t xml:space="preserve"> Breaches of orders include all breaches that are not categorised as criminal activity for national ABS and RoGS reporting purposes. Orders include bail, suspended sentence, probation, community service, and parole, among others. A breakdown of these breaches by order type is provided in Table 10.  </w:t>
            </w:r>
          </w:p>
          <w:p w14:paraId="639E2D74" w14:textId="0A17D956" w:rsidR="0096420A" w:rsidRPr="0096420A" w:rsidRDefault="0096420A" w:rsidP="0096420A">
            <w:pPr>
              <w:widowControl w:val="0"/>
              <w:rPr>
                <w:rFonts w:cs="Calibri"/>
                <w:color w:val="000000"/>
                <w:sz w:val="15"/>
                <w:szCs w:val="15"/>
              </w:rPr>
            </w:pPr>
            <w:r w:rsidRPr="0096420A">
              <w:rPr>
                <w:rFonts w:cs="Calibri"/>
                <w:color w:val="000000"/>
                <w:sz w:val="15"/>
                <w:szCs w:val="15"/>
                <w:vertAlign w:val="superscript"/>
              </w:rPr>
              <w:t xml:space="preserve">3 </w:t>
            </w:r>
            <w:r w:rsidR="00530882">
              <w:rPr>
                <w:rFonts w:cs="Calibri"/>
                <w:color w:val="000000"/>
                <w:sz w:val="15"/>
                <w:szCs w:val="15"/>
              </w:rPr>
              <w:t>R</w:t>
            </w:r>
            <w:r w:rsidRPr="0096420A">
              <w:rPr>
                <w:rFonts w:cs="Calibri"/>
                <w:color w:val="000000"/>
                <w:sz w:val="15"/>
                <w:szCs w:val="15"/>
              </w:rPr>
              <w:t xml:space="preserve">eported in the 2016-17 annual report under the separate application type categories ‘Filed Written Application for Bail’ (Bail Act 1994, Section 23) and ‘Filed Written Application to Vary Bail’ (Bail Act 1994, Section 23). </w:t>
            </w:r>
          </w:p>
          <w:p w14:paraId="46429F18" w14:textId="77777777" w:rsidR="0096420A" w:rsidRPr="0096420A" w:rsidRDefault="0096420A" w:rsidP="0096420A">
            <w:pPr>
              <w:widowControl w:val="0"/>
              <w:rPr>
                <w:rFonts w:cs="Calibri"/>
                <w:color w:val="000000"/>
                <w:sz w:val="15"/>
                <w:szCs w:val="15"/>
              </w:rPr>
            </w:pPr>
            <w:r w:rsidRPr="0096420A">
              <w:rPr>
                <w:rFonts w:cs="Calibri"/>
                <w:color w:val="000000"/>
                <w:sz w:val="15"/>
                <w:szCs w:val="15"/>
                <w:vertAlign w:val="superscript"/>
              </w:rPr>
              <w:t xml:space="preserve">4 </w:t>
            </w:r>
            <w:r w:rsidRPr="0096420A">
              <w:rPr>
                <w:rFonts w:cs="Calibri"/>
                <w:color w:val="000000"/>
                <w:sz w:val="15"/>
                <w:szCs w:val="15"/>
              </w:rPr>
              <w:t xml:space="preserve">Formerly reported in the 2016-17 annual report under the application type category ‘Restricted Driver License Application’ (Vehicle and Traffic Act 1999, Section 18). </w:t>
            </w:r>
          </w:p>
          <w:p w14:paraId="296714CA" w14:textId="3ADB9C4F" w:rsidR="0096420A" w:rsidRPr="00847FAE" w:rsidRDefault="0096420A" w:rsidP="0096420A">
            <w:pPr>
              <w:widowControl w:val="0"/>
              <w:rPr>
                <w:rFonts w:cs="Calibri"/>
                <w:color w:val="000000"/>
                <w:sz w:val="15"/>
                <w:szCs w:val="15"/>
              </w:rPr>
            </w:pPr>
            <w:r w:rsidRPr="0096420A">
              <w:rPr>
                <w:rFonts w:cs="Calibri"/>
                <w:color w:val="000000"/>
                <w:sz w:val="15"/>
                <w:szCs w:val="15"/>
                <w:vertAlign w:val="superscript"/>
              </w:rPr>
              <w:t xml:space="preserve">5 </w:t>
            </w:r>
            <w:r w:rsidR="00530882">
              <w:rPr>
                <w:rFonts w:cs="Calibri"/>
                <w:color w:val="000000"/>
                <w:sz w:val="15"/>
                <w:szCs w:val="15"/>
              </w:rPr>
              <w:t>R</w:t>
            </w:r>
            <w:r w:rsidRPr="0096420A">
              <w:rPr>
                <w:rFonts w:cs="Calibri"/>
                <w:color w:val="000000"/>
                <w:sz w:val="15"/>
                <w:szCs w:val="15"/>
              </w:rPr>
              <w:t>eported in the 2016-17 annual report under the separate application type categories of ‘Application to have conviction set aside or penalty varied’ (Monetary Penalties Enforcement Act 2005, Section 40), ‘Preliminary proceedings order by Supreme Court’ (Justice Act 1959,Section 61(2)), ‘Application to set aside conviction and penalty’ (Justices Rules 2003, Regulation 38), ‘Drug treatment order review –vary conditions’ (Sentencing Act 1997, Section 27J), ‘Other applications under Sentencing Act’ (Sentencing Act 1997), ‘Other applications under Youth Justice Act’ (Youth Justice Act 1997), and ‘Other miscellaneous applications’.</w:t>
            </w:r>
          </w:p>
          <w:p w14:paraId="327156B2" w14:textId="106C0778" w:rsidR="00FD6F91" w:rsidRDefault="00CD2234" w:rsidP="00FD6F91">
            <w:pPr>
              <w:widowControl w:val="0"/>
              <w:rPr>
                <w:rFonts w:cs="Calibri"/>
                <w:color w:val="000000"/>
                <w:sz w:val="15"/>
                <w:szCs w:val="15"/>
              </w:rPr>
            </w:pPr>
            <w:r>
              <w:rPr>
                <w:rFonts w:cs="Calibri"/>
                <w:color w:val="000000"/>
                <w:sz w:val="15"/>
                <w:szCs w:val="15"/>
                <w:vertAlign w:val="superscript"/>
              </w:rPr>
              <w:t>6</w:t>
            </w:r>
            <w:r w:rsidR="00FD6F91" w:rsidRPr="00847FAE">
              <w:rPr>
                <w:rFonts w:cs="Calibri"/>
                <w:color w:val="000000"/>
                <w:sz w:val="15"/>
                <w:szCs w:val="15"/>
                <w:vertAlign w:val="superscript"/>
              </w:rPr>
              <w:t xml:space="preserve"> </w:t>
            </w:r>
            <w:r w:rsidR="00FD6F91" w:rsidRPr="00847FAE">
              <w:rPr>
                <w:rFonts w:cs="Calibri"/>
                <w:color w:val="000000"/>
                <w:sz w:val="15"/>
                <w:szCs w:val="15"/>
              </w:rPr>
              <w:t>The counting unit adopted for civil claims and tribunals is case based.</w:t>
            </w:r>
          </w:p>
          <w:p w14:paraId="6EC33E58" w14:textId="77777777" w:rsidR="00CD2234" w:rsidRPr="00CD2234" w:rsidRDefault="00CD2234" w:rsidP="00CD2234">
            <w:pPr>
              <w:widowControl w:val="0"/>
              <w:rPr>
                <w:rFonts w:cs="Calibri"/>
                <w:color w:val="000000"/>
                <w:sz w:val="15"/>
                <w:szCs w:val="15"/>
              </w:rPr>
            </w:pPr>
            <w:r w:rsidRPr="00CD2234">
              <w:rPr>
                <w:rFonts w:cs="Calibri"/>
                <w:iCs/>
                <w:color w:val="000000"/>
                <w:sz w:val="15"/>
                <w:szCs w:val="15"/>
                <w:vertAlign w:val="superscript"/>
              </w:rPr>
              <w:t xml:space="preserve">7 </w:t>
            </w:r>
            <w:r w:rsidRPr="00CD2234">
              <w:rPr>
                <w:rFonts w:cs="Calibri"/>
                <w:color w:val="000000"/>
                <w:sz w:val="15"/>
                <w:szCs w:val="15"/>
              </w:rPr>
              <w:t xml:space="preserve">Family violence order application lodgements do not include the sub-category ‘Other applications regarding family violence order’, a new category in 2017-18, in order to maintain consistency with past Annual Reports. </w:t>
            </w:r>
          </w:p>
          <w:p w14:paraId="4117AA81" w14:textId="77777777" w:rsidR="00FD6F91" w:rsidRPr="00847FAE" w:rsidRDefault="00FD6F91" w:rsidP="00FD6F91">
            <w:pPr>
              <w:widowControl w:val="0"/>
              <w:rPr>
                <w:sz w:val="18"/>
                <w:szCs w:val="18"/>
                <w:vertAlign w:val="superscript"/>
              </w:rPr>
            </w:pPr>
            <w:r w:rsidRPr="00847FAE">
              <w:rPr>
                <w:rFonts w:cs="Calibri"/>
                <w:i/>
                <w:color w:val="000000"/>
                <w:sz w:val="15"/>
                <w:szCs w:val="15"/>
              </w:rPr>
              <w:t>Source: CRIMESStats database; Civil Registry Management System (CRMS).</w:t>
            </w:r>
          </w:p>
        </w:tc>
      </w:tr>
    </w:tbl>
    <w:p w14:paraId="255E8B1A" w14:textId="77777777" w:rsidR="00FD6F91" w:rsidRPr="00847FAE" w:rsidRDefault="00FD6F91" w:rsidP="00FD6F91">
      <w:pPr>
        <w:rPr>
          <w:rFonts w:eastAsiaTheme="minorHAnsi"/>
          <w:lang w:eastAsia="en-US"/>
        </w:rPr>
      </w:pPr>
    </w:p>
    <w:p w14:paraId="370B23C3" w14:textId="77777777" w:rsidR="00FD6F91" w:rsidRPr="00847FAE" w:rsidRDefault="00FD6F91" w:rsidP="00FD6F91">
      <w:pPr>
        <w:rPr>
          <w:rFonts w:eastAsiaTheme="minorHAnsi"/>
          <w:lang w:eastAsia="en-US"/>
        </w:rPr>
      </w:pPr>
    </w:p>
    <w:p w14:paraId="1D81D8B1" w14:textId="77777777" w:rsidR="002F5DC6" w:rsidRPr="002F5DC6" w:rsidRDefault="002F5DC6" w:rsidP="002F5DC6">
      <w:pPr>
        <w:keepNext/>
        <w:keepLines/>
        <w:spacing w:before="40"/>
        <w:outlineLvl w:val="2"/>
        <w:rPr>
          <w:rFonts w:eastAsiaTheme="majorEastAsia" w:cstheme="majorBidi"/>
          <w:lang w:eastAsia="en-US"/>
        </w:rPr>
      </w:pPr>
      <w:bookmarkStart w:id="376" w:name="_Toc527469785"/>
      <w:bookmarkStart w:id="377" w:name="_Toc1041184"/>
      <w:r w:rsidRPr="002F5DC6">
        <w:rPr>
          <w:rFonts w:eastAsiaTheme="majorEastAsia" w:cstheme="majorBidi"/>
          <w:lang w:eastAsia="en-US"/>
        </w:rPr>
        <w:t>Table 6: Family and Domestic Violence Summary Statistics, 2013-14 to 2017-18</w:t>
      </w:r>
      <w:bookmarkEnd w:id="376"/>
      <w:bookmarkEnd w:id="377"/>
    </w:p>
    <w:tbl>
      <w:tblPr>
        <w:tblStyle w:val="TableGrid2"/>
        <w:tblW w:w="8931" w:type="dxa"/>
        <w:tblLayout w:type="fixed"/>
        <w:tblCellMar>
          <w:top w:w="11" w:type="dxa"/>
          <w:bottom w:w="11" w:type="dxa"/>
        </w:tblCellMar>
        <w:tblLook w:val="04A0" w:firstRow="1" w:lastRow="0" w:firstColumn="1" w:lastColumn="0" w:noHBand="0" w:noVBand="1"/>
        <w:tblCaption w:val="Table6FamilyandDomesticViolenceSummaryStatistics2013_14to2017_18"/>
        <w:tblDescription w:val="Tabledescribingfamilyanddomesticviolencesummarystatisticsfortheyears2013_2014to2017_2018"/>
      </w:tblPr>
      <w:tblGrid>
        <w:gridCol w:w="326"/>
        <w:gridCol w:w="977"/>
        <w:gridCol w:w="824"/>
        <w:gridCol w:w="1275"/>
        <w:gridCol w:w="879"/>
        <w:gridCol w:w="879"/>
        <w:gridCol w:w="879"/>
        <w:gridCol w:w="879"/>
        <w:gridCol w:w="879"/>
        <w:gridCol w:w="1134"/>
      </w:tblGrid>
      <w:tr w:rsidR="002F5DC6" w:rsidRPr="002F5DC6" w14:paraId="6B1412C8"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1962C2F0" w14:textId="77777777" w:rsidR="002F5DC6" w:rsidRPr="002F5DC6" w:rsidRDefault="002F5DC6" w:rsidP="002F5DC6">
            <w:pPr>
              <w:widowControl w:val="0"/>
              <w:rPr>
                <w:rFonts w:cs="Calibri"/>
                <w:color w:val="000000"/>
                <w:sz w:val="18"/>
                <w:szCs w:val="18"/>
              </w:rPr>
            </w:pPr>
            <w:r w:rsidRPr="002F5DC6">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7CDD3359" w14:textId="77777777" w:rsidR="002F5DC6" w:rsidRPr="002F5DC6" w:rsidRDefault="002F5DC6" w:rsidP="002F5DC6">
            <w:pPr>
              <w:widowControl w:val="0"/>
              <w:rPr>
                <w:rFonts w:cs="Calibri"/>
                <w:color w:val="000000"/>
                <w:sz w:val="18"/>
                <w:szCs w:val="18"/>
              </w:rPr>
            </w:pPr>
            <w:r w:rsidRPr="002F5DC6">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4D07C615" w14:textId="77777777" w:rsidR="002F5DC6" w:rsidRPr="002F5DC6" w:rsidRDefault="002F5DC6" w:rsidP="002F5DC6">
            <w:pPr>
              <w:widowControl w:val="0"/>
              <w:rPr>
                <w:rFonts w:cs="Calibri"/>
                <w:color w:val="000000"/>
                <w:sz w:val="18"/>
                <w:szCs w:val="18"/>
              </w:rPr>
            </w:pPr>
            <w:r w:rsidRPr="002F5DC6">
              <w:rPr>
                <w:rFonts w:cs="Calibri"/>
                <w:color w:val="000000"/>
                <w:sz w:val="18"/>
                <w:szCs w:val="18"/>
              </w:rPr>
              <w:t> </w:t>
            </w:r>
          </w:p>
        </w:tc>
        <w:tc>
          <w:tcPr>
            <w:tcW w:w="1275" w:type="dxa"/>
            <w:tcBorders>
              <w:top w:val="single" w:sz="4" w:space="0" w:color="auto"/>
              <w:left w:val="nil"/>
              <w:bottom w:val="single" w:sz="4" w:space="0" w:color="auto"/>
              <w:right w:val="nil"/>
            </w:tcBorders>
            <w:noWrap/>
            <w:hideMark/>
          </w:tcPr>
          <w:p w14:paraId="3E46EB12" w14:textId="77777777" w:rsidR="002F5DC6" w:rsidRPr="002F5DC6" w:rsidRDefault="002F5DC6" w:rsidP="002F5DC6">
            <w:pPr>
              <w:widowControl w:val="0"/>
              <w:rPr>
                <w:rFonts w:cs="Calibri"/>
                <w:color w:val="000000"/>
                <w:sz w:val="18"/>
                <w:szCs w:val="18"/>
              </w:rPr>
            </w:pPr>
            <w:r w:rsidRPr="002F5DC6">
              <w:rPr>
                <w:rFonts w:cs="Calibri"/>
                <w:color w:val="000000"/>
                <w:sz w:val="18"/>
                <w:szCs w:val="18"/>
              </w:rPr>
              <w:t> </w:t>
            </w:r>
          </w:p>
        </w:tc>
        <w:tc>
          <w:tcPr>
            <w:tcW w:w="879" w:type="dxa"/>
            <w:tcBorders>
              <w:top w:val="single" w:sz="4" w:space="0" w:color="auto"/>
              <w:left w:val="nil"/>
              <w:bottom w:val="single" w:sz="4" w:space="0" w:color="auto"/>
              <w:right w:val="nil"/>
            </w:tcBorders>
            <w:noWrap/>
            <w:vAlign w:val="bottom"/>
            <w:hideMark/>
          </w:tcPr>
          <w:p w14:paraId="41B4EA67" w14:textId="77777777" w:rsidR="002F5DC6" w:rsidRPr="002F5DC6" w:rsidRDefault="002F5DC6" w:rsidP="002F5DC6">
            <w:pPr>
              <w:widowControl w:val="0"/>
              <w:jc w:val="right"/>
              <w:rPr>
                <w:rFonts w:cs="Calibri"/>
                <w:bCs/>
                <w:color w:val="000000"/>
                <w:sz w:val="18"/>
                <w:szCs w:val="18"/>
                <w:vertAlign w:val="superscript"/>
              </w:rPr>
            </w:pPr>
            <w:r w:rsidRPr="002F5DC6">
              <w:rPr>
                <w:rFonts w:cs="Calibri"/>
                <w:bCs/>
                <w:color w:val="000000"/>
                <w:sz w:val="18"/>
                <w:szCs w:val="18"/>
              </w:rPr>
              <w:t>2013-14</w:t>
            </w:r>
          </w:p>
        </w:tc>
        <w:tc>
          <w:tcPr>
            <w:tcW w:w="879" w:type="dxa"/>
            <w:tcBorders>
              <w:top w:val="single" w:sz="4" w:space="0" w:color="auto"/>
              <w:left w:val="nil"/>
              <w:bottom w:val="single" w:sz="4" w:space="0" w:color="auto"/>
              <w:right w:val="nil"/>
            </w:tcBorders>
            <w:noWrap/>
            <w:vAlign w:val="bottom"/>
            <w:hideMark/>
          </w:tcPr>
          <w:p w14:paraId="54915B97" w14:textId="77777777" w:rsidR="002F5DC6" w:rsidRPr="002F5DC6" w:rsidRDefault="002F5DC6" w:rsidP="002F5DC6">
            <w:pPr>
              <w:widowControl w:val="0"/>
              <w:jc w:val="right"/>
              <w:rPr>
                <w:rFonts w:cs="Calibri"/>
                <w:bCs/>
                <w:color w:val="000000"/>
                <w:sz w:val="18"/>
                <w:szCs w:val="18"/>
              </w:rPr>
            </w:pPr>
            <w:r w:rsidRPr="002F5DC6">
              <w:rPr>
                <w:rFonts w:cs="Calibri"/>
                <w:bCs/>
                <w:color w:val="000000"/>
                <w:sz w:val="18"/>
                <w:szCs w:val="18"/>
              </w:rPr>
              <w:t>2014-15</w:t>
            </w:r>
          </w:p>
        </w:tc>
        <w:tc>
          <w:tcPr>
            <w:tcW w:w="879" w:type="dxa"/>
            <w:tcBorders>
              <w:top w:val="single" w:sz="4" w:space="0" w:color="auto"/>
              <w:left w:val="nil"/>
              <w:bottom w:val="single" w:sz="4" w:space="0" w:color="auto"/>
              <w:right w:val="nil"/>
            </w:tcBorders>
            <w:noWrap/>
            <w:vAlign w:val="bottom"/>
            <w:hideMark/>
          </w:tcPr>
          <w:p w14:paraId="67739874" w14:textId="77777777" w:rsidR="002F5DC6" w:rsidRPr="002F5DC6" w:rsidRDefault="002F5DC6" w:rsidP="002F5DC6">
            <w:pPr>
              <w:widowControl w:val="0"/>
              <w:jc w:val="right"/>
              <w:rPr>
                <w:rFonts w:cs="Calibri"/>
                <w:bCs/>
                <w:color w:val="000000"/>
                <w:sz w:val="18"/>
                <w:szCs w:val="18"/>
              </w:rPr>
            </w:pPr>
            <w:r w:rsidRPr="002F5DC6">
              <w:rPr>
                <w:rFonts w:cs="Calibri"/>
                <w:bCs/>
                <w:color w:val="000000"/>
                <w:sz w:val="18"/>
                <w:szCs w:val="18"/>
              </w:rPr>
              <w:t>2015-16</w:t>
            </w:r>
          </w:p>
        </w:tc>
        <w:tc>
          <w:tcPr>
            <w:tcW w:w="879" w:type="dxa"/>
            <w:tcBorders>
              <w:top w:val="single" w:sz="4" w:space="0" w:color="auto"/>
              <w:left w:val="nil"/>
              <w:bottom w:val="single" w:sz="4" w:space="0" w:color="auto"/>
              <w:right w:val="nil"/>
            </w:tcBorders>
            <w:noWrap/>
            <w:vAlign w:val="bottom"/>
            <w:hideMark/>
          </w:tcPr>
          <w:p w14:paraId="58AC89DC" w14:textId="77777777" w:rsidR="002F5DC6" w:rsidRPr="002F5DC6" w:rsidRDefault="002F5DC6" w:rsidP="002F5DC6">
            <w:pPr>
              <w:widowControl w:val="0"/>
              <w:jc w:val="right"/>
              <w:rPr>
                <w:rFonts w:cs="Calibri"/>
                <w:bCs/>
                <w:color w:val="000000"/>
                <w:sz w:val="18"/>
                <w:szCs w:val="18"/>
              </w:rPr>
            </w:pPr>
            <w:r w:rsidRPr="002F5DC6">
              <w:rPr>
                <w:rFonts w:cs="Calibri"/>
                <w:bCs/>
                <w:color w:val="000000"/>
                <w:sz w:val="18"/>
                <w:szCs w:val="18"/>
              </w:rPr>
              <w:t>2016-17</w:t>
            </w:r>
          </w:p>
        </w:tc>
        <w:tc>
          <w:tcPr>
            <w:tcW w:w="879" w:type="dxa"/>
            <w:tcBorders>
              <w:top w:val="single" w:sz="4" w:space="0" w:color="auto"/>
              <w:left w:val="nil"/>
              <w:bottom w:val="single" w:sz="4" w:space="0" w:color="auto"/>
              <w:right w:val="nil"/>
            </w:tcBorders>
            <w:noWrap/>
            <w:vAlign w:val="bottom"/>
            <w:hideMark/>
          </w:tcPr>
          <w:p w14:paraId="6E319017" w14:textId="77777777" w:rsidR="002F5DC6" w:rsidRPr="002F5DC6" w:rsidRDefault="002F5DC6" w:rsidP="002F5DC6">
            <w:pPr>
              <w:widowControl w:val="0"/>
              <w:rPr>
                <w:rFonts w:cs="Calibri"/>
                <w:bCs/>
                <w:color w:val="000000"/>
                <w:sz w:val="18"/>
                <w:szCs w:val="18"/>
              </w:rPr>
            </w:pPr>
            <w:r w:rsidRPr="002F5DC6">
              <w:rPr>
                <w:rFonts w:cs="Calibri"/>
                <w:bCs/>
                <w:color w:val="000000"/>
                <w:sz w:val="18"/>
                <w:szCs w:val="18"/>
              </w:rPr>
              <w:t>2017-18</w:t>
            </w:r>
          </w:p>
        </w:tc>
        <w:tc>
          <w:tcPr>
            <w:tcW w:w="1134" w:type="dxa"/>
            <w:tcBorders>
              <w:top w:val="single" w:sz="4" w:space="0" w:color="auto"/>
              <w:left w:val="nil"/>
              <w:bottom w:val="single" w:sz="4" w:space="0" w:color="auto"/>
              <w:right w:val="nil"/>
            </w:tcBorders>
            <w:vAlign w:val="bottom"/>
            <w:hideMark/>
          </w:tcPr>
          <w:p w14:paraId="7E71B405" w14:textId="77777777" w:rsidR="002F5DC6" w:rsidRPr="002F5DC6" w:rsidRDefault="002F5DC6" w:rsidP="002F5DC6">
            <w:pPr>
              <w:widowControl w:val="0"/>
              <w:jc w:val="center"/>
              <w:rPr>
                <w:rFonts w:cs="Calibri"/>
                <w:bCs/>
                <w:color w:val="000000"/>
                <w:sz w:val="18"/>
                <w:szCs w:val="18"/>
              </w:rPr>
            </w:pPr>
            <w:r w:rsidRPr="002F5DC6">
              <w:rPr>
                <w:rFonts w:cs="Calibri"/>
                <w:bCs/>
                <w:color w:val="000000"/>
                <w:sz w:val="18"/>
                <w:szCs w:val="18"/>
              </w:rPr>
              <w:t>change 2016-17 to 2017-18</w:t>
            </w:r>
          </w:p>
        </w:tc>
      </w:tr>
      <w:tr w:rsidR="002F5DC6" w:rsidRPr="002F5DC6" w14:paraId="1E77D4E1" w14:textId="77777777" w:rsidTr="001F1F60">
        <w:trPr>
          <w:cantSplit/>
          <w:trHeight w:val="255"/>
        </w:trPr>
        <w:tc>
          <w:tcPr>
            <w:tcW w:w="6918" w:type="dxa"/>
            <w:gridSpan w:val="8"/>
            <w:tcBorders>
              <w:top w:val="single" w:sz="4" w:space="0" w:color="auto"/>
              <w:left w:val="nil"/>
              <w:bottom w:val="single" w:sz="4" w:space="0" w:color="auto"/>
              <w:right w:val="nil"/>
            </w:tcBorders>
            <w:noWrap/>
            <w:vAlign w:val="center"/>
            <w:hideMark/>
          </w:tcPr>
          <w:p w14:paraId="7C21834E" w14:textId="77777777" w:rsidR="002F5DC6" w:rsidRPr="002F5DC6" w:rsidRDefault="002F5DC6" w:rsidP="002F5DC6">
            <w:pPr>
              <w:widowControl w:val="0"/>
              <w:rPr>
                <w:rFonts w:cs="Calibri"/>
                <w:color w:val="000000"/>
                <w:sz w:val="18"/>
                <w:szCs w:val="18"/>
              </w:rPr>
            </w:pPr>
            <w:r w:rsidRPr="002F5DC6">
              <w:rPr>
                <w:rFonts w:cs="Calibri"/>
                <w:color w:val="000000"/>
                <w:sz w:val="18"/>
                <w:szCs w:val="18"/>
              </w:rPr>
              <w:t> FAMILY VIOLENCE ORDERS (FVOs)</w:t>
            </w:r>
          </w:p>
        </w:tc>
        <w:tc>
          <w:tcPr>
            <w:tcW w:w="879" w:type="dxa"/>
            <w:tcBorders>
              <w:top w:val="single" w:sz="4" w:space="0" w:color="auto"/>
              <w:left w:val="nil"/>
              <w:bottom w:val="single" w:sz="4" w:space="0" w:color="auto"/>
              <w:right w:val="nil"/>
            </w:tcBorders>
            <w:noWrap/>
            <w:vAlign w:val="center"/>
            <w:hideMark/>
          </w:tcPr>
          <w:p w14:paraId="2CB742E5" w14:textId="77777777" w:rsidR="002F5DC6" w:rsidRPr="002F5DC6" w:rsidRDefault="002F5DC6" w:rsidP="002F5DC6">
            <w:pPr>
              <w:widowControl w:val="0"/>
              <w:rPr>
                <w:rFonts w:cs="Calibri"/>
                <w:color w:val="000000"/>
                <w:sz w:val="18"/>
                <w:szCs w:val="18"/>
              </w:rPr>
            </w:pPr>
            <w:r w:rsidRPr="002F5DC6">
              <w:rPr>
                <w:rFonts w:cs="Calibri"/>
                <w:color w:val="000000"/>
                <w:sz w:val="18"/>
                <w:szCs w:val="18"/>
              </w:rPr>
              <w:t> </w:t>
            </w:r>
          </w:p>
        </w:tc>
        <w:tc>
          <w:tcPr>
            <w:tcW w:w="1134" w:type="dxa"/>
            <w:tcBorders>
              <w:top w:val="single" w:sz="4" w:space="0" w:color="auto"/>
              <w:left w:val="nil"/>
              <w:bottom w:val="single" w:sz="4" w:space="0" w:color="auto"/>
              <w:right w:val="nil"/>
            </w:tcBorders>
            <w:noWrap/>
            <w:vAlign w:val="center"/>
            <w:hideMark/>
          </w:tcPr>
          <w:p w14:paraId="0D8E12E7" w14:textId="77777777" w:rsidR="002F5DC6" w:rsidRPr="002F5DC6" w:rsidRDefault="002F5DC6" w:rsidP="002F5DC6">
            <w:pPr>
              <w:widowControl w:val="0"/>
              <w:rPr>
                <w:rFonts w:cs="Calibri"/>
                <w:color w:val="000000"/>
                <w:sz w:val="18"/>
                <w:szCs w:val="18"/>
              </w:rPr>
            </w:pPr>
            <w:r w:rsidRPr="002F5DC6">
              <w:rPr>
                <w:rFonts w:cs="Calibri"/>
                <w:color w:val="000000"/>
                <w:sz w:val="18"/>
                <w:szCs w:val="18"/>
              </w:rPr>
              <w:t> </w:t>
            </w:r>
          </w:p>
        </w:tc>
      </w:tr>
      <w:tr w:rsidR="002F5DC6" w:rsidRPr="002F5DC6" w14:paraId="47F23826" w14:textId="77777777" w:rsidTr="001F1F60">
        <w:trPr>
          <w:cantSplit/>
          <w:trHeight w:val="255"/>
        </w:trPr>
        <w:tc>
          <w:tcPr>
            <w:tcW w:w="3402" w:type="dxa"/>
            <w:gridSpan w:val="4"/>
            <w:tcBorders>
              <w:top w:val="single" w:sz="4" w:space="0" w:color="auto"/>
              <w:left w:val="nil"/>
              <w:bottom w:val="nil"/>
              <w:right w:val="nil"/>
            </w:tcBorders>
            <w:shd w:val="clear" w:color="auto" w:fill="D9D9D9" w:themeFill="background1" w:themeFillShade="D9"/>
            <w:noWrap/>
            <w:hideMark/>
          </w:tcPr>
          <w:p w14:paraId="762E6E9D" w14:textId="77777777" w:rsidR="002F5DC6" w:rsidRPr="002F5DC6" w:rsidRDefault="002F5DC6" w:rsidP="002F5DC6">
            <w:pPr>
              <w:widowControl w:val="0"/>
              <w:rPr>
                <w:rFonts w:cs="Calibri"/>
                <w:color w:val="000000"/>
                <w:sz w:val="18"/>
                <w:szCs w:val="18"/>
              </w:rPr>
            </w:pPr>
            <w:r w:rsidRPr="002F5DC6">
              <w:rPr>
                <w:rFonts w:cs="Calibri"/>
                <w:color w:val="000000"/>
                <w:sz w:val="18"/>
                <w:szCs w:val="18"/>
              </w:rPr>
              <w:t>Application to grant a FVO</w:t>
            </w:r>
          </w:p>
        </w:tc>
        <w:tc>
          <w:tcPr>
            <w:tcW w:w="879" w:type="dxa"/>
            <w:tcBorders>
              <w:top w:val="single" w:sz="4" w:space="0" w:color="auto"/>
              <w:left w:val="nil"/>
              <w:bottom w:val="nil"/>
              <w:right w:val="nil"/>
            </w:tcBorders>
            <w:shd w:val="clear" w:color="auto" w:fill="D9D9D9" w:themeFill="background1" w:themeFillShade="D9"/>
            <w:noWrap/>
            <w:vAlign w:val="center"/>
          </w:tcPr>
          <w:p w14:paraId="6E5663AF" w14:textId="77777777" w:rsidR="002F5DC6" w:rsidRPr="002F5DC6" w:rsidRDefault="002F5DC6" w:rsidP="002F5DC6">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033B2B16" w14:textId="77777777" w:rsidR="002F5DC6" w:rsidRPr="002F5DC6" w:rsidRDefault="002F5DC6" w:rsidP="002F5DC6">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0FF09DDF" w14:textId="77777777" w:rsidR="002F5DC6" w:rsidRPr="002F5DC6" w:rsidRDefault="002F5DC6" w:rsidP="002F5DC6">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1CE5344E" w14:textId="77777777" w:rsidR="002F5DC6" w:rsidRPr="002F5DC6" w:rsidRDefault="002F5DC6" w:rsidP="002F5DC6">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201458F9" w14:textId="77777777" w:rsidR="002F5DC6" w:rsidRPr="002F5DC6" w:rsidRDefault="002F5DC6" w:rsidP="002F5DC6">
            <w:pPr>
              <w:jc w:val="right"/>
              <w:rPr>
                <w:rFonts w:cs="Calibri"/>
                <w:iCs/>
                <w:color w:val="000000"/>
                <w:sz w:val="18"/>
                <w:szCs w:val="18"/>
              </w:rPr>
            </w:pPr>
          </w:p>
        </w:tc>
        <w:tc>
          <w:tcPr>
            <w:tcW w:w="1134" w:type="dxa"/>
            <w:tcBorders>
              <w:top w:val="single" w:sz="4" w:space="0" w:color="auto"/>
              <w:left w:val="nil"/>
              <w:bottom w:val="nil"/>
              <w:right w:val="nil"/>
            </w:tcBorders>
            <w:shd w:val="clear" w:color="auto" w:fill="D9D9D9" w:themeFill="background1" w:themeFillShade="D9"/>
            <w:noWrap/>
            <w:vAlign w:val="center"/>
          </w:tcPr>
          <w:p w14:paraId="47A60A9E" w14:textId="77777777" w:rsidR="002F5DC6" w:rsidRPr="002F5DC6" w:rsidRDefault="002F5DC6" w:rsidP="002F5DC6">
            <w:pPr>
              <w:jc w:val="center"/>
              <w:rPr>
                <w:rFonts w:cs="Calibri"/>
                <w:iCs/>
                <w:color w:val="000000"/>
                <w:sz w:val="18"/>
                <w:szCs w:val="18"/>
              </w:rPr>
            </w:pPr>
          </w:p>
        </w:tc>
      </w:tr>
      <w:tr w:rsidR="002F5DC6" w:rsidRPr="002F5DC6" w14:paraId="17D43773" w14:textId="77777777" w:rsidTr="001F1F60">
        <w:trPr>
          <w:cantSplit/>
          <w:trHeight w:val="255"/>
        </w:trPr>
        <w:tc>
          <w:tcPr>
            <w:tcW w:w="3402" w:type="dxa"/>
            <w:gridSpan w:val="4"/>
            <w:tcBorders>
              <w:top w:val="nil"/>
              <w:left w:val="nil"/>
              <w:bottom w:val="nil"/>
              <w:right w:val="nil"/>
            </w:tcBorders>
            <w:noWrap/>
            <w:hideMark/>
          </w:tcPr>
          <w:p w14:paraId="3260E119"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Lodgements</w:t>
            </w:r>
          </w:p>
        </w:tc>
        <w:tc>
          <w:tcPr>
            <w:tcW w:w="879" w:type="dxa"/>
            <w:tcBorders>
              <w:top w:val="nil"/>
              <w:left w:val="nil"/>
              <w:bottom w:val="nil"/>
              <w:right w:val="nil"/>
            </w:tcBorders>
            <w:noWrap/>
            <w:vAlign w:val="center"/>
          </w:tcPr>
          <w:p w14:paraId="49A84703" w14:textId="77777777" w:rsidR="002F5DC6" w:rsidRPr="002F5DC6" w:rsidRDefault="002F5DC6" w:rsidP="002F5DC6">
            <w:pPr>
              <w:jc w:val="center"/>
              <w:rPr>
                <w:rFonts w:cs="Calibri"/>
                <w:color w:val="000000"/>
                <w:sz w:val="18"/>
                <w:szCs w:val="18"/>
              </w:rPr>
            </w:pPr>
            <w:r w:rsidRPr="002F5DC6">
              <w:rPr>
                <w:rFonts w:cs="Calibri"/>
                <w:color w:val="000000"/>
                <w:sz w:val="18"/>
                <w:szCs w:val="18"/>
              </w:rPr>
              <w:t>565</w:t>
            </w:r>
          </w:p>
        </w:tc>
        <w:tc>
          <w:tcPr>
            <w:tcW w:w="879" w:type="dxa"/>
            <w:tcBorders>
              <w:top w:val="nil"/>
              <w:left w:val="nil"/>
              <w:bottom w:val="nil"/>
              <w:right w:val="nil"/>
            </w:tcBorders>
            <w:noWrap/>
            <w:vAlign w:val="center"/>
          </w:tcPr>
          <w:p w14:paraId="57B90A24" w14:textId="77777777" w:rsidR="002F5DC6" w:rsidRPr="002F5DC6" w:rsidRDefault="002F5DC6" w:rsidP="002F5DC6">
            <w:pPr>
              <w:jc w:val="center"/>
              <w:rPr>
                <w:rFonts w:cs="Calibri"/>
                <w:color w:val="000000"/>
                <w:sz w:val="18"/>
                <w:szCs w:val="18"/>
              </w:rPr>
            </w:pPr>
            <w:r w:rsidRPr="002F5DC6">
              <w:rPr>
                <w:rFonts w:cs="Calibri"/>
                <w:color w:val="000000"/>
                <w:sz w:val="18"/>
                <w:szCs w:val="18"/>
              </w:rPr>
              <w:t>532</w:t>
            </w:r>
          </w:p>
        </w:tc>
        <w:tc>
          <w:tcPr>
            <w:tcW w:w="879" w:type="dxa"/>
            <w:tcBorders>
              <w:top w:val="nil"/>
              <w:left w:val="nil"/>
              <w:bottom w:val="nil"/>
              <w:right w:val="nil"/>
            </w:tcBorders>
            <w:noWrap/>
            <w:vAlign w:val="center"/>
          </w:tcPr>
          <w:p w14:paraId="70C6EEED" w14:textId="77777777" w:rsidR="002F5DC6" w:rsidRPr="002F5DC6" w:rsidRDefault="002F5DC6" w:rsidP="002F5DC6">
            <w:pPr>
              <w:jc w:val="center"/>
              <w:rPr>
                <w:rFonts w:cs="Calibri"/>
                <w:color w:val="000000"/>
                <w:sz w:val="18"/>
                <w:szCs w:val="18"/>
              </w:rPr>
            </w:pPr>
            <w:r w:rsidRPr="002F5DC6">
              <w:rPr>
                <w:rFonts w:cs="Calibri"/>
                <w:color w:val="000000"/>
                <w:sz w:val="18"/>
                <w:szCs w:val="18"/>
              </w:rPr>
              <w:t>669</w:t>
            </w:r>
          </w:p>
        </w:tc>
        <w:tc>
          <w:tcPr>
            <w:tcW w:w="879" w:type="dxa"/>
            <w:tcBorders>
              <w:top w:val="nil"/>
              <w:left w:val="nil"/>
              <w:bottom w:val="nil"/>
              <w:right w:val="nil"/>
            </w:tcBorders>
            <w:noWrap/>
            <w:vAlign w:val="center"/>
          </w:tcPr>
          <w:p w14:paraId="1AC8F0DD" w14:textId="77777777" w:rsidR="002F5DC6" w:rsidRPr="002F5DC6" w:rsidRDefault="002F5DC6" w:rsidP="002F5DC6">
            <w:pPr>
              <w:jc w:val="center"/>
              <w:rPr>
                <w:rFonts w:cs="Calibri"/>
                <w:color w:val="000000"/>
                <w:sz w:val="18"/>
                <w:szCs w:val="18"/>
              </w:rPr>
            </w:pPr>
            <w:r w:rsidRPr="002F5DC6">
              <w:rPr>
                <w:rFonts w:cs="Calibri"/>
                <w:color w:val="000000"/>
                <w:sz w:val="18"/>
                <w:szCs w:val="18"/>
              </w:rPr>
              <w:t>583</w:t>
            </w:r>
          </w:p>
        </w:tc>
        <w:tc>
          <w:tcPr>
            <w:tcW w:w="879" w:type="dxa"/>
            <w:tcBorders>
              <w:top w:val="nil"/>
              <w:left w:val="nil"/>
              <w:bottom w:val="nil"/>
              <w:right w:val="nil"/>
            </w:tcBorders>
            <w:noWrap/>
            <w:vAlign w:val="center"/>
          </w:tcPr>
          <w:p w14:paraId="29CCFE04" w14:textId="77777777" w:rsidR="002F5DC6" w:rsidRPr="002F5DC6" w:rsidRDefault="002F5DC6" w:rsidP="002F5DC6">
            <w:pPr>
              <w:jc w:val="center"/>
              <w:rPr>
                <w:rFonts w:cs="Calibri"/>
                <w:color w:val="000000"/>
                <w:sz w:val="18"/>
                <w:szCs w:val="18"/>
              </w:rPr>
            </w:pPr>
            <w:r w:rsidRPr="002F5DC6">
              <w:rPr>
                <w:rFonts w:cs="Calibri"/>
                <w:color w:val="000000"/>
                <w:sz w:val="18"/>
                <w:szCs w:val="18"/>
              </w:rPr>
              <w:t>648</w:t>
            </w:r>
          </w:p>
        </w:tc>
        <w:tc>
          <w:tcPr>
            <w:tcW w:w="1134" w:type="dxa"/>
            <w:tcBorders>
              <w:top w:val="nil"/>
              <w:left w:val="nil"/>
              <w:bottom w:val="nil"/>
              <w:right w:val="nil"/>
            </w:tcBorders>
            <w:noWrap/>
            <w:vAlign w:val="center"/>
          </w:tcPr>
          <w:p w14:paraId="3839ADFB" w14:textId="77777777" w:rsidR="002F5DC6" w:rsidRPr="002F5DC6" w:rsidRDefault="002F5DC6" w:rsidP="002F5DC6">
            <w:pPr>
              <w:jc w:val="center"/>
              <w:rPr>
                <w:rFonts w:cs="Calibri"/>
                <w:color w:val="000000"/>
                <w:sz w:val="18"/>
                <w:szCs w:val="18"/>
              </w:rPr>
            </w:pPr>
            <w:r w:rsidRPr="002F5DC6">
              <w:rPr>
                <w:rFonts w:cs="Calibri"/>
                <w:color w:val="000000"/>
                <w:sz w:val="18"/>
                <w:szCs w:val="18"/>
              </w:rPr>
              <w:t>11.1%</w:t>
            </w:r>
          </w:p>
        </w:tc>
      </w:tr>
      <w:tr w:rsidR="002F5DC6" w:rsidRPr="002F5DC6" w14:paraId="63289A61" w14:textId="77777777" w:rsidTr="001F1F60">
        <w:trPr>
          <w:cantSplit/>
          <w:trHeight w:val="255"/>
        </w:trPr>
        <w:tc>
          <w:tcPr>
            <w:tcW w:w="3402" w:type="dxa"/>
            <w:gridSpan w:val="4"/>
            <w:tcBorders>
              <w:top w:val="nil"/>
              <w:left w:val="nil"/>
              <w:bottom w:val="nil"/>
              <w:right w:val="nil"/>
            </w:tcBorders>
            <w:noWrap/>
          </w:tcPr>
          <w:p w14:paraId="435FF245"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Finalisations</w:t>
            </w:r>
          </w:p>
        </w:tc>
        <w:tc>
          <w:tcPr>
            <w:tcW w:w="879" w:type="dxa"/>
            <w:tcBorders>
              <w:top w:val="nil"/>
              <w:left w:val="nil"/>
              <w:bottom w:val="nil"/>
              <w:right w:val="nil"/>
            </w:tcBorders>
            <w:noWrap/>
            <w:vAlign w:val="center"/>
          </w:tcPr>
          <w:p w14:paraId="52DE2372" w14:textId="77777777" w:rsidR="002F5DC6" w:rsidRPr="002F5DC6" w:rsidRDefault="002F5DC6" w:rsidP="002F5DC6">
            <w:pPr>
              <w:jc w:val="center"/>
              <w:rPr>
                <w:rFonts w:cs="Calibri"/>
                <w:color w:val="000000"/>
                <w:sz w:val="18"/>
                <w:szCs w:val="18"/>
              </w:rPr>
            </w:pPr>
            <w:r w:rsidRPr="002F5DC6">
              <w:rPr>
                <w:rFonts w:cs="Calibri"/>
                <w:color w:val="000000"/>
                <w:sz w:val="18"/>
                <w:szCs w:val="18"/>
              </w:rPr>
              <w:t>489</w:t>
            </w:r>
          </w:p>
        </w:tc>
        <w:tc>
          <w:tcPr>
            <w:tcW w:w="879" w:type="dxa"/>
            <w:tcBorders>
              <w:top w:val="nil"/>
              <w:left w:val="nil"/>
              <w:bottom w:val="nil"/>
              <w:right w:val="nil"/>
            </w:tcBorders>
            <w:noWrap/>
            <w:vAlign w:val="center"/>
          </w:tcPr>
          <w:p w14:paraId="2F02B936" w14:textId="77777777" w:rsidR="002F5DC6" w:rsidRPr="002F5DC6" w:rsidRDefault="002F5DC6" w:rsidP="002F5DC6">
            <w:pPr>
              <w:jc w:val="center"/>
              <w:rPr>
                <w:rFonts w:cs="Calibri"/>
                <w:color w:val="000000"/>
                <w:sz w:val="18"/>
                <w:szCs w:val="18"/>
              </w:rPr>
            </w:pPr>
            <w:r w:rsidRPr="002F5DC6">
              <w:rPr>
                <w:rFonts w:cs="Calibri"/>
                <w:color w:val="000000"/>
                <w:sz w:val="18"/>
                <w:szCs w:val="18"/>
              </w:rPr>
              <w:t>449</w:t>
            </w:r>
          </w:p>
        </w:tc>
        <w:tc>
          <w:tcPr>
            <w:tcW w:w="879" w:type="dxa"/>
            <w:tcBorders>
              <w:top w:val="nil"/>
              <w:left w:val="nil"/>
              <w:bottom w:val="nil"/>
              <w:right w:val="nil"/>
            </w:tcBorders>
            <w:noWrap/>
            <w:vAlign w:val="center"/>
          </w:tcPr>
          <w:p w14:paraId="16881C92" w14:textId="77777777" w:rsidR="002F5DC6" w:rsidRPr="002F5DC6" w:rsidRDefault="002F5DC6" w:rsidP="002F5DC6">
            <w:pPr>
              <w:jc w:val="center"/>
              <w:rPr>
                <w:rFonts w:cs="Calibri"/>
                <w:color w:val="000000"/>
                <w:sz w:val="18"/>
                <w:szCs w:val="18"/>
              </w:rPr>
            </w:pPr>
            <w:r w:rsidRPr="002F5DC6">
              <w:rPr>
                <w:rFonts w:cs="Calibri"/>
                <w:color w:val="000000"/>
                <w:sz w:val="18"/>
                <w:szCs w:val="18"/>
              </w:rPr>
              <w:t>587</w:t>
            </w:r>
          </w:p>
        </w:tc>
        <w:tc>
          <w:tcPr>
            <w:tcW w:w="879" w:type="dxa"/>
            <w:tcBorders>
              <w:top w:val="nil"/>
              <w:left w:val="nil"/>
              <w:bottom w:val="nil"/>
              <w:right w:val="nil"/>
            </w:tcBorders>
            <w:noWrap/>
            <w:vAlign w:val="center"/>
          </w:tcPr>
          <w:p w14:paraId="7EBCB93E" w14:textId="77777777" w:rsidR="002F5DC6" w:rsidRPr="002F5DC6" w:rsidRDefault="002F5DC6" w:rsidP="002F5DC6">
            <w:pPr>
              <w:jc w:val="center"/>
              <w:rPr>
                <w:rFonts w:cs="Calibri"/>
                <w:color w:val="000000"/>
                <w:sz w:val="18"/>
                <w:szCs w:val="18"/>
              </w:rPr>
            </w:pPr>
            <w:r w:rsidRPr="002F5DC6">
              <w:rPr>
                <w:rFonts w:cs="Calibri"/>
                <w:color w:val="000000"/>
                <w:sz w:val="18"/>
                <w:szCs w:val="18"/>
              </w:rPr>
              <w:t>526</w:t>
            </w:r>
          </w:p>
        </w:tc>
        <w:tc>
          <w:tcPr>
            <w:tcW w:w="879" w:type="dxa"/>
            <w:tcBorders>
              <w:top w:val="nil"/>
              <w:left w:val="nil"/>
              <w:bottom w:val="nil"/>
              <w:right w:val="nil"/>
            </w:tcBorders>
            <w:noWrap/>
            <w:vAlign w:val="center"/>
          </w:tcPr>
          <w:p w14:paraId="291B862C" w14:textId="77777777" w:rsidR="002F5DC6" w:rsidRPr="002F5DC6" w:rsidRDefault="002F5DC6" w:rsidP="002F5DC6">
            <w:pPr>
              <w:jc w:val="center"/>
              <w:rPr>
                <w:rFonts w:cs="Calibri"/>
                <w:color w:val="000000"/>
                <w:sz w:val="18"/>
                <w:szCs w:val="18"/>
              </w:rPr>
            </w:pPr>
            <w:r w:rsidRPr="002F5DC6">
              <w:rPr>
                <w:rFonts w:cs="Calibri"/>
                <w:color w:val="000000"/>
                <w:sz w:val="18"/>
                <w:szCs w:val="18"/>
              </w:rPr>
              <w:t>627</w:t>
            </w:r>
          </w:p>
        </w:tc>
        <w:tc>
          <w:tcPr>
            <w:tcW w:w="1134" w:type="dxa"/>
            <w:tcBorders>
              <w:top w:val="nil"/>
              <w:left w:val="nil"/>
              <w:bottom w:val="nil"/>
              <w:right w:val="nil"/>
            </w:tcBorders>
            <w:noWrap/>
            <w:vAlign w:val="center"/>
          </w:tcPr>
          <w:p w14:paraId="1FF70933" w14:textId="77777777" w:rsidR="002F5DC6" w:rsidRPr="002F5DC6" w:rsidRDefault="002F5DC6" w:rsidP="002F5DC6">
            <w:pPr>
              <w:jc w:val="center"/>
              <w:rPr>
                <w:rFonts w:cs="Calibri"/>
                <w:color w:val="000000"/>
                <w:sz w:val="18"/>
                <w:szCs w:val="18"/>
              </w:rPr>
            </w:pPr>
            <w:r w:rsidRPr="002F5DC6">
              <w:rPr>
                <w:rFonts w:cs="Calibri"/>
                <w:color w:val="000000"/>
                <w:sz w:val="18"/>
                <w:szCs w:val="18"/>
              </w:rPr>
              <w:t>19.2%</w:t>
            </w:r>
          </w:p>
        </w:tc>
      </w:tr>
      <w:tr w:rsidR="002F5DC6" w:rsidRPr="002F5DC6" w14:paraId="56C93866"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27B76590"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Applications to extend or vary a FVO</w:t>
            </w:r>
            <w:r w:rsidRPr="002F5DC6">
              <w:rPr>
                <w:rFonts w:cs="Calibri"/>
                <w:iCs/>
                <w:color w:val="000000"/>
                <w:sz w:val="18"/>
                <w:szCs w:val="18"/>
                <w:vertAlign w:val="superscript"/>
              </w:rPr>
              <w:t>1</w:t>
            </w:r>
          </w:p>
        </w:tc>
        <w:tc>
          <w:tcPr>
            <w:tcW w:w="879" w:type="dxa"/>
            <w:tcBorders>
              <w:top w:val="nil"/>
              <w:left w:val="nil"/>
              <w:bottom w:val="nil"/>
              <w:right w:val="nil"/>
            </w:tcBorders>
            <w:shd w:val="clear" w:color="auto" w:fill="D9D9D9" w:themeFill="background1" w:themeFillShade="D9"/>
            <w:noWrap/>
            <w:vAlign w:val="center"/>
          </w:tcPr>
          <w:p w14:paraId="41C0157C"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01051D87"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3C4A719A"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0EF4E536"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409F366" w14:textId="77777777" w:rsidR="002F5DC6" w:rsidRPr="002F5DC6" w:rsidRDefault="002F5DC6" w:rsidP="002F5DC6">
            <w:pPr>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6CCB8564" w14:textId="77777777" w:rsidR="002F5DC6" w:rsidRPr="002F5DC6" w:rsidRDefault="002F5DC6" w:rsidP="002F5DC6">
            <w:pPr>
              <w:jc w:val="center"/>
              <w:rPr>
                <w:rFonts w:cs="Calibri"/>
                <w:iCs/>
                <w:color w:val="000000"/>
                <w:sz w:val="18"/>
                <w:szCs w:val="18"/>
              </w:rPr>
            </w:pPr>
          </w:p>
        </w:tc>
      </w:tr>
      <w:tr w:rsidR="002F5DC6" w:rsidRPr="002F5DC6" w14:paraId="74DCCBED" w14:textId="77777777" w:rsidTr="001F1F60">
        <w:trPr>
          <w:cantSplit/>
          <w:trHeight w:val="255"/>
        </w:trPr>
        <w:tc>
          <w:tcPr>
            <w:tcW w:w="3402" w:type="dxa"/>
            <w:gridSpan w:val="4"/>
            <w:tcBorders>
              <w:top w:val="nil"/>
              <w:left w:val="nil"/>
              <w:bottom w:val="nil"/>
              <w:right w:val="nil"/>
            </w:tcBorders>
            <w:noWrap/>
          </w:tcPr>
          <w:p w14:paraId="008590A1"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Lodgements</w:t>
            </w:r>
          </w:p>
        </w:tc>
        <w:tc>
          <w:tcPr>
            <w:tcW w:w="879" w:type="dxa"/>
            <w:tcBorders>
              <w:top w:val="nil"/>
              <w:left w:val="nil"/>
              <w:bottom w:val="nil"/>
              <w:right w:val="nil"/>
            </w:tcBorders>
            <w:noWrap/>
            <w:vAlign w:val="center"/>
          </w:tcPr>
          <w:p w14:paraId="1F0A0F5C" w14:textId="77777777" w:rsidR="002F5DC6" w:rsidRPr="002F5DC6" w:rsidRDefault="002F5DC6" w:rsidP="002F5DC6">
            <w:pPr>
              <w:jc w:val="center"/>
              <w:rPr>
                <w:rFonts w:cs="Calibri"/>
                <w:color w:val="000000"/>
                <w:sz w:val="18"/>
                <w:szCs w:val="18"/>
              </w:rPr>
            </w:pPr>
            <w:r w:rsidRPr="002F5DC6">
              <w:rPr>
                <w:rFonts w:cs="Calibri"/>
                <w:color w:val="000000"/>
                <w:sz w:val="18"/>
                <w:szCs w:val="18"/>
              </w:rPr>
              <w:t>112</w:t>
            </w:r>
          </w:p>
        </w:tc>
        <w:tc>
          <w:tcPr>
            <w:tcW w:w="879" w:type="dxa"/>
            <w:tcBorders>
              <w:top w:val="nil"/>
              <w:left w:val="nil"/>
              <w:bottom w:val="nil"/>
              <w:right w:val="nil"/>
            </w:tcBorders>
            <w:noWrap/>
            <w:vAlign w:val="center"/>
          </w:tcPr>
          <w:p w14:paraId="5FFC0FF7" w14:textId="77777777" w:rsidR="002F5DC6" w:rsidRPr="002F5DC6" w:rsidRDefault="002F5DC6" w:rsidP="002F5DC6">
            <w:pPr>
              <w:jc w:val="center"/>
              <w:rPr>
                <w:rFonts w:cs="Calibri"/>
                <w:color w:val="000000"/>
                <w:sz w:val="18"/>
                <w:szCs w:val="18"/>
              </w:rPr>
            </w:pPr>
            <w:r w:rsidRPr="002F5DC6">
              <w:rPr>
                <w:rFonts w:cs="Calibri"/>
                <w:color w:val="000000"/>
                <w:sz w:val="18"/>
                <w:szCs w:val="18"/>
              </w:rPr>
              <w:t>163</w:t>
            </w:r>
          </w:p>
        </w:tc>
        <w:tc>
          <w:tcPr>
            <w:tcW w:w="879" w:type="dxa"/>
            <w:tcBorders>
              <w:top w:val="nil"/>
              <w:left w:val="nil"/>
              <w:bottom w:val="nil"/>
              <w:right w:val="nil"/>
            </w:tcBorders>
            <w:noWrap/>
            <w:vAlign w:val="center"/>
          </w:tcPr>
          <w:p w14:paraId="63FD7060" w14:textId="77777777" w:rsidR="002F5DC6" w:rsidRPr="002F5DC6" w:rsidRDefault="002F5DC6" w:rsidP="002F5DC6">
            <w:pPr>
              <w:jc w:val="center"/>
              <w:rPr>
                <w:rFonts w:cs="Calibri"/>
                <w:color w:val="000000"/>
                <w:sz w:val="18"/>
                <w:szCs w:val="18"/>
              </w:rPr>
            </w:pPr>
            <w:r w:rsidRPr="002F5DC6">
              <w:rPr>
                <w:rFonts w:cs="Calibri"/>
                <w:color w:val="000000"/>
                <w:sz w:val="18"/>
                <w:szCs w:val="18"/>
              </w:rPr>
              <w:t>208</w:t>
            </w:r>
          </w:p>
        </w:tc>
        <w:tc>
          <w:tcPr>
            <w:tcW w:w="879" w:type="dxa"/>
            <w:tcBorders>
              <w:top w:val="nil"/>
              <w:left w:val="nil"/>
              <w:bottom w:val="nil"/>
              <w:right w:val="nil"/>
            </w:tcBorders>
            <w:noWrap/>
            <w:vAlign w:val="center"/>
          </w:tcPr>
          <w:p w14:paraId="0CCCFBC7" w14:textId="77777777" w:rsidR="002F5DC6" w:rsidRPr="002F5DC6" w:rsidRDefault="002F5DC6" w:rsidP="002F5DC6">
            <w:pPr>
              <w:jc w:val="center"/>
              <w:rPr>
                <w:rFonts w:cs="Calibri"/>
                <w:color w:val="000000"/>
                <w:sz w:val="18"/>
                <w:szCs w:val="18"/>
              </w:rPr>
            </w:pPr>
            <w:r w:rsidRPr="002F5DC6">
              <w:rPr>
                <w:rFonts w:cs="Calibri"/>
                <w:color w:val="000000"/>
                <w:sz w:val="18"/>
                <w:szCs w:val="18"/>
              </w:rPr>
              <w:t>242</w:t>
            </w:r>
          </w:p>
        </w:tc>
        <w:tc>
          <w:tcPr>
            <w:tcW w:w="879" w:type="dxa"/>
            <w:tcBorders>
              <w:top w:val="nil"/>
              <w:left w:val="nil"/>
              <w:bottom w:val="nil"/>
              <w:right w:val="nil"/>
            </w:tcBorders>
            <w:noWrap/>
            <w:vAlign w:val="center"/>
          </w:tcPr>
          <w:p w14:paraId="2EE3C029" w14:textId="77777777" w:rsidR="002F5DC6" w:rsidRPr="002F5DC6" w:rsidRDefault="002F5DC6" w:rsidP="002F5DC6">
            <w:pPr>
              <w:jc w:val="center"/>
              <w:rPr>
                <w:rFonts w:cs="Calibri"/>
                <w:color w:val="000000"/>
                <w:sz w:val="18"/>
                <w:szCs w:val="18"/>
              </w:rPr>
            </w:pPr>
            <w:r w:rsidRPr="002F5DC6">
              <w:rPr>
                <w:rFonts w:cs="Calibri"/>
                <w:color w:val="000000"/>
                <w:sz w:val="18"/>
                <w:szCs w:val="18"/>
              </w:rPr>
              <w:t>277</w:t>
            </w:r>
          </w:p>
        </w:tc>
        <w:tc>
          <w:tcPr>
            <w:tcW w:w="1134" w:type="dxa"/>
            <w:tcBorders>
              <w:top w:val="nil"/>
              <w:left w:val="nil"/>
              <w:bottom w:val="nil"/>
              <w:right w:val="nil"/>
            </w:tcBorders>
            <w:noWrap/>
            <w:vAlign w:val="center"/>
          </w:tcPr>
          <w:p w14:paraId="724FA794" w14:textId="77777777" w:rsidR="002F5DC6" w:rsidRPr="002F5DC6" w:rsidRDefault="002F5DC6" w:rsidP="002F5DC6">
            <w:pPr>
              <w:jc w:val="center"/>
              <w:rPr>
                <w:rFonts w:cs="Calibri"/>
                <w:color w:val="000000"/>
                <w:sz w:val="18"/>
                <w:szCs w:val="18"/>
              </w:rPr>
            </w:pPr>
            <w:r w:rsidRPr="002F5DC6">
              <w:rPr>
                <w:rFonts w:cs="Calibri"/>
                <w:color w:val="000000"/>
                <w:sz w:val="18"/>
                <w:szCs w:val="18"/>
              </w:rPr>
              <w:t>14.5%</w:t>
            </w:r>
          </w:p>
        </w:tc>
      </w:tr>
      <w:tr w:rsidR="002F5DC6" w:rsidRPr="002F5DC6" w14:paraId="7138CBA4" w14:textId="77777777" w:rsidTr="001F1F60">
        <w:trPr>
          <w:cantSplit/>
          <w:trHeight w:val="255"/>
        </w:trPr>
        <w:tc>
          <w:tcPr>
            <w:tcW w:w="3402" w:type="dxa"/>
            <w:gridSpan w:val="4"/>
            <w:tcBorders>
              <w:top w:val="nil"/>
              <w:left w:val="nil"/>
              <w:bottom w:val="nil"/>
              <w:right w:val="nil"/>
            </w:tcBorders>
            <w:noWrap/>
          </w:tcPr>
          <w:p w14:paraId="55884A58"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Finalisations</w:t>
            </w:r>
          </w:p>
        </w:tc>
        <w:tc>
          <w:tcPr>
            <w:tcW w:w="879" w:type="dxa"/>
            <w:tcBorders>
              <w:top w:val="nil"/>
              <w:left w:val="nil"/>
              <w:bottom w:val="nil"/>
              <w:right w:val="nil"/>
            </w:tcBorders>
            <w:noWrap/>
            <w:vAlign w:val="center"/>
          </w:tcPr>
          <w:p w14:paraId="6898E690" w14:textId="77777777" w:rsidR="002F5DC6" w:rsidRPr="002F5DC6" w:rsidRDefault="002F5DC6" w:rsidP="002F5DC6">
            <w:pPr>
              <w:jc w:val="center"/>
              <w:rPr>
                <w:rFonts w:cs="Calibri"/>
                <w:color w:val="000000"/>
                <w:sz w:val="18"/>
                <w:szCs w:val="18"/>
              </w:rPr>
            </w:pPr>
            <w:r w:rsidRPr="002F5DC6">
              <w:rPr>
                <w:rFonts w:cs="Calibri"/>
                <w:color w:val="000000"/>
                <w:sz w:val="18"/>
                <w:szCs w:val="18"/>
              </w:rPr>
              <w:t>108</w:t>
            </w:r>
          </w:p>
        </w:tc>
        <w:tc>
          <w:tcPr>
            <w:tcW w:w="879" w:type="dxa"/>
            <w:tcBorders>
              <w:top w:val="nil"/>
              <w:left w:val="nil"/>
              <w:bottom w:val="nil"/>
              <w:right w:val="nil"/>
            </w:tcBorders>
            <w:noWrap/>
            <w:vAlign w:val="center"/>
          </w:tcPr>
          <w:p w14:paraId="4CD1FEEC" w14:textId="77777777" w:rsidR="002F5DC6" w:rsidRPr="002F5DC6" w:rsidRDefault="002F5DC6" w:rsidP="002F5DC6">
            <w:pPr>
              <w:jc w:val="center"/>
              <w:rPr>
                <w:rFonts w:cs="Calibri"/>
                <w:color w:val="000000"/>
                <w:sz w:val="18"/>
                <w:szCs w:val="18"/>
              </w:rPr>
            </w:pPr>
            <w:r w:rsidRPr="002F5DC6">
              <w:rPr>
                <w:rFonts w:cs="Calibri"/>
                <w:color w:val="000000"/>
                <w:sz w:val="18"/>
                <w:szCs w:val="18"/>
              </w:rPr>
              <w:t>143</w:t>
            </w:r>
          </w:p>
        </w:tc>
        <w:tc>
          <w:tcPr>
            <w:tcW w:w="879" w:type="dxa"/>
            <w:tcBorders>
              <w:top w:val="nil"/>
              <w:left w:val="nil"/>
              <w:bottom w:val="nil"/>
              <w:right w:val="nil"/>
            </w:tcBorders>
            <w:noWrap/>
            <w:vAlign w:val="center"/>
          </w:tcPr>
          <w:p w14:paraId="2F2D910E" w14:textId="77777777" w:rsidR="002F5DC6" w:rsidRPr="002F5DC6" w:rsidRDefault="002F5DC6" w:rsidP="002F5DC6">
            <w:pPr>
              <w:jc w:val="center"/>
              <w:rPr>
                <w:rFonts w:cs="Calibri"/>
                <w:color w:val="000000"/>
                <w:sz w:val="18"/>
                <w:szCs w:val="18"/>
              </w:rPr>
            </w:pPr>
            <w:r w:rsidRPr="002F5DC6">
              <w:rPr>
                <w:rFonts w:cs="Calibri"/>
                <w:color w:val="000000"/>
                <w:sz w:val="18"/>
                <w:szCs w:val="18"/>
              </w:rPr>
              <w:t>157</w:t>
            </w:r>
          </w:p>
        </w:tc>
        <w:tc>
          <w:tcPr>
            <w:tcW w:w="879" w:type="dxa"/>
            <w:tcBorders>
              <w:top w:val="nil"/>
              <w:left w:val="nil"/>
              <w:bottom w:val="nil"/>
              <w:right w:val="nil"/>
            </w:tcBorders>
            <w:noWrap/>
            <w:vAlign w:val="center"/>
          </w:tcPr>
          <w:p w14:paraId="0222A074" w14:textId="77777777" w:rsidR="002F5DC6" w:rsidRPr="002F5DC6" w:rsidRDefault="002F5DC6" w:rsidP="002F5DC6">
            <w:pPr>
              <w:jc w:val="center"/>
              <w:rPr>
                <w:rFonts w:cs="Calibri"/>
                <w:color w:val="000000"/>
                <w:sz w:val="18"/>
                <w:szCs w:val="18"/>
              </w:rPr>
            </w:pPr>
            <w:r w:rsidRPr="002F5DC6">
              <w:rPr>
                <w:rFonts w:cs="Calibri"/>
                <w:color w:val="000000"/>
                <w:sz w:val="18"/>
                <w:szCs w:val="18"/>
              </w:rPr>
              <w:t>205</w:t>
            </w:r>
          </w:p>
        </w:tc>
        <w:tc>
          <w:tcPr>
            <w:tcW w:w="879" w:type="dxa"/>
            <w:tcBorders>
              <w:top w:val="nil"/>
              <w:left w:val="nil"/>
              <w:bottom w:val="nil"/>
              <w:right w:val="nil"/>
            </w:tcBorders>
            <w:noWrap/>
            <w:vAlign w:val="center"/>
          </w:tcPr>
          <w:p w14:paraId="057237DE" w14:textId="77777777" w:rsidR="002F5DC6" w:rsidRPr="002F5DC6" w:rsidRDefault="002F5DC6" w:rsidP="002F5DC6">
            <w:pPr>
              <w:jc w:val="center"/>
              <w:rPr>
                <w:rFonts w:cs="Calibri"/>
                <w:color w:val="000000"/>
                <w:sz w:val="18"/>
                <w:szCs w:val="18"/>
              </w:rPr>
            </w:pPr>
            <w:r w:rsidRPr="002F5DC6">
              <w:rPr>
                <w:rFonts w:cs="Calibri"/>
                <w:color w:val="000000"/>
                <w:sz w:val="18"/>
                <w:szCs w:val="18"/>
              </w:rPr>
              <w:t>227</w:t>
            </w:r>
          </w:p>
        </w:tc>
        <w:tc>
          <w:tcPr>
            <w:tcW w:w="1134" w:type="dxa"/>
            <w:tcBorders>
              <w:top w:val="nil"/>
              <w:left w:val="nil"/>
              <w:bottom w:val="nil"/>
              <w:right w:val="nil"/>
            </w:tcBorders>
            <w:noWrap/>
            <w:vAlign w:val="center"/>
          </w:tcPr>
          <w:p w14:paraId="09D5FC32" w14:textId="77777777" w:rsidR="002F5DC6" w:rsidRPr="002F5DC6" w:rsidRDefault="002F5DC6" w:rsidP="002F5DC6">
            <w:pPr>
              <w:jc w:val="center"/>
              <w:rPr>
                <w:rFonts w:cs="Calibri"/>
                <w:color w:val="000000"/>
                <w:sz w:val="18"/>
                <w:szCs w:val="18"/>
              </w:rPr>
            </w:pPr>
            <w:r w:rsidRPr="002F5DC6">
              <w:rPr>
                <w:rFonts w:cs="Calibri"/>
                <w:color w:val="000000"/>
                <w:sz w:val="18"/>
                <w:szCs w:val="18"/>
              </w:rPr>
              <w:t>10.7%</w:t>
            </w:r>
          </w:p>
        </w:tc>
      </w:tr>
      <w:tr w:rsidR="002F5DC6" w:rsidRPr="002F5DC6" w14:paraId="2E81E51F" w14:textId="77777777" w:rsidTr="001F1F60">
        <w:trPr>
          <w:cantSplit/>
          <w:trHeight w:val="255"/>
        </w:trPr>
        <w:tc>
          <w:tcPr>
            <w:tcW w:w="4281" w:type="dxa"/>
            <w:gridSpan w:val="5"/>
            <w:tcBorders>
              <w:top w:val="nil"/>
              <w:left w:val="nil"/>
              <w:bottom w:val="nil"/>
              <w:right w:val="nil"/>
            </w:tcBorders>
            <w:shd w:val="clear" w:color="auto" w:fill="D9D9D9" w:themeFill="background1" w:themeFillShade="D9"/>
            <w:noWrap/>
            <w:vAlign w:val="center"/>
          </w:tcPr>
          <w:p w14:paraId="2AE93A15" w14:textId="77777777" w:rsidR="002F5DC6" w:rsidRPr="002F5DC6" w:rsidRDefault="002F5DC6" w:rsidP="002F5DC6">
            <w:pPr>
              <w:rPr>
                <w:rFonts w:cs="Calibri"/>
                <w:color w:val="000000"/>
                <w:sz w:val="18"/>
                <w:szCs w:val="18"/>
              </w:rPr>
            </w:pPr>
            <w:r w:rsidRPr="002F5DC6">
              <w:rPr>
                <w:rFonts w:cs="Calibri"/>
                <w:iCs/>
                <w:color w:val="000000"/>
                <w:sz w:val="18"/>
                <w:szCs w:val="18"/>
              </w:rPr>
              <w:t>Applications to extend or vary a Police FVO</w:t>
            </w:r>
            <w:r w:rsidRPr="002F5DC6">
              <w:rPr>
                <w:rFonts w:cs="Calibri"/>
                <w:iCs/>
                <w:color w:val="000000"/>
                <w:sz w:val="18"/>
                <w:szCs w:val="18"/>
                <w:vertAlign w:val="superscript"/>
              </w:rPr>
              <w:t>2</w:t>
            </w:r>
          </w:p>
        </w:tc>
        <w:tc>
          <w:tcPr>
            <w:tcW w:w="879" w:type="dxa"/>
            <w:tcBorders>
              <w:top w:val="nil"/>
              <w:left w:val="nil"/>
              <w:bottom w:val="nil"/>
              <w:right w:val="nil"/>
            </w:tcBorders>
            <w:shd w:val="clear" w:color="auto" w:fill="D9D9D9" w:themeFill="background1" w:themeFillShade="D9"/>
            <w:noWrap/>
            <w:vAlign w:val="center"/>
          </w:tcPr>
          <w:p w14:paraId="506612F7" w14:textId="77777777" w:rsidR="002F5DC6" w:rsidRPr="002F5DC6" w:rsidRDefault="002F5DC6" w:rsidP="002F5DC6">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76F277AD" w14:textId="77777777" w:rsidR="002F5DC6" w:rsidRPr="002F5DC6" w:rsidRDefault="002F5DC6" w:rsidP="002F5DC6">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4EE621E8" w14:textId="77777777" w:rsidR="002F5DC6" w:rsidRPr="002F5DC6" w:rsidRDefault="002F5DC6" w:rsidP="002F5DC6">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DAF9712" w14:textId="77777777" w:rsidR="002F5DC6" w:rsidRPr="002F5DC6" w:rsidRDefault="002F5DC6" w:rsidP="002F5DC6">
            <w:pPr>
              <w:jc w:val="center"/>
              <w:rPr>
                <w:rFonts w:cs="Calibri"/>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04438CEC" w14:textId="77777777" w:rsidR="002F5DC6" w:rsidRPr="002F5DC6" w:rsidRDefault="002F5DC6" w:rsidP="002F5DC6">
            <w:pPr>
              <w:jc w:val="center"/>
              <w:rPr>
                <w:rFonts w:cs="Calibri"/>
                <w:color w:val="000000"/>
                <w:sz w:val="18"/>
                <w:szCs w:val="18"/>
              </w:rPr>
            </w:pPr>
          </w:p>
        </w:tc>
      </w:tr>
      <w:tr w:rsidR="002F5DC6" w:rsidRPr="002F5DC6" w14:paraId="087B9139" w14:textId="77777777" w:rsidTr="001F1F60">
        <w:trPr>
          <w:cantSplit/>
          <w:trHeight w:val="255"/>
        </w:trPr>
        <w:tc>
          <w:tcPr>
            <w:tcW w:w="3402" w:type="dxa"/>
            <w:gridSpan w:val="4"/>
            <w:tcBorders>
              <w:top w:val="nil"/>
              <w:left w:val="nil"/>
              <w:bottom w:val="nil"/>
              <w:right w:val="nil"/>
            </w:tcBorders>
            <w:noWrap/>
          </w:tcPr>
          <w:p w14:paraId="483F9042"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 xml:space="preserve">   Lodgements</w:t>
            </w:r>
          </w:p>
        </w:tc>
        <w:tc>
          <w:tcPr>
            <w:tcW w:w="879" w:type="dxa"/>
            <w:tcBorders>
              <w:top w:val="nil"/>
              <w:left w:val="nil"/>
              <w:bottom w:val="nil"/>
              <w:right w:val="nil"/>
            </w:tcBorders>
            <w:noWrap/>
            <w:vAlign w:val="center"/>
          </w:tcPr>
          <w:p w14:paraId="498DFE15" w14:textId="77777777" w:rsidR="002F5DC6" w:rsidRPr="002F5DC6" w:rsidRDefault="002F5DC6" w:rsidP="002F5DC6">
            <w:pPr>
              <w:jc w:val="center"/>
              <w:rPr>
                <w:rFonts w:cs="Calibri"/>
                <w:color w:val="000000"/>
                <w:sz w:val="18"/>
                <w:szCs w:val="18"/>
              </w:rPr>
            </w:pPr>
            <w:r w:rsidRPr="002F5DC6">
              <w:rPr>
                <w:rFonts w:cs="Calibri"/>
                <w:color w:val="000000"/>
                <w:sz w:val="18"/>
                <w:szCs w:val="18"/>
              </w:rPr>
              <w:t>101</w:t>
            </w:r>
          </w:p>
        </w:tc>
        <w:tc>
          <w:tcPr>
            <w:tcW w:w="879" w:type="dxa"/>
            <w:tcBorders>
              <w:top w:val="nil"/>
              <w:left w:val="nil"/>
              <w:bottom w:val="nil"/>
              <w:right w:val="nil"/>
            </w:tcBorders>
            <w:noWrap/>
            <w:vAlign w:val="center"/>
          </w:tcPr>
          <w:p w14:paraId="675937C1" w14:textId="77777777" w:rsidR="002F5DC6" w:rsidRPr="002F5DC6" w:rsidRDefault="002F5DC6" w:rsidP="002F5DC6">
            <w:pPr>
              <w:jc w:val="center"/>
              <w:rPr>
                <w:rFonts w:cs="Calibri"/>
                <w:color w:val="000000"/>
                <w:sz w:val="18"/>
                <w:szCs w:val="18"/>
              </w:rPr>
            </w:pPr>
            <w:r w:rsidRPr="002F5DC6">
              <w:rPr>
                <w:rFonts w:cs="Calibri"/>
                <w:color w:val="000000"/>
                <w:sz w:val="18"/>
                <w:szCs w:val="18"/>
              </w:rPr>
              <w:t>125</w:t>
            </w:r>
          </w:p>
        </w:tc>
        <w:tc>
          <w:tcPr>
            <w:tcW w:w="879" w:type="dxa"/>
            <w:tcBorders>
              <w:top w:val="nil"/>
              <w:left w:val="nil"/>
              <w:bottom w:val="nil"/>
              <w:right w:val="nil"/>
            </w:tcBorders>
            <w:noWrap/>
            <w:vAlign w:val="center"/>
          </w:tcPr>
          <w:p w14:paraId="64BCD5EE" w14:textId="77777777" w:rsidR="002F5DC6" w:rsidRPr="002F5DC6" w:rsidRDefault="002F5DC6" w:rsidP="002F5DC6">
            <w:pPr>
              <w:jc w:val="center"/>
              <w:rPr>
                <w:rFonts w:cs="Calibri"/>
                <w:color w:val="000000"/>
                <w:sz w:val="18"/>
                <w:szCs w:val="18"/>
              </w:rPr>
            </w:pPr>
            <w:r w:rsidRPr="002F5DC6">
              <w:rPr>
                <w:rFonts w:cs="Calibri"/>
                <w:color w:val="000000"/>
                <w:sz w:val="18"/>
                <w:szCs w:val="18"/>
              </w:rPr>
              <w:t>131</w:t>
            </w:r>
          </w:p>
        </w:tc>
        <w:tc>
          <w:tcPr>
            <w:tcW w:w="879" w:type="dxa"/>
            <w:tcBorders>
              <w:top w:val="nil"/>
              <w:left w:val="nil"/>
              <w:bottom w:val="nil"/>
              <w:right w:val="nil"/>
            </w:tcBorders>
            <w:noWrap/>
            <w:vAlign w:val="center"/>
          </w:tcPr>
          <w:p w14:paraId="3B67FE1A" w14:textId="77777777" w:rsidR="002F5DC6" w:rsidRPr="002F5DC6" w:rsidRDefault="002F5DC6" w:rsidP="002F5DC6">
            <w:pPr>
              <w:jc w:val="center"/>
              <w:rPr>
                <w:rFonts w:cs="Calibri"/>
                <w:color w:val="000000"/>
                <w:sz w:val="18"/>
                <w:szCs w:val="18"/>
              </w:rPr>
            </w:pPr>
            <w:r w:rsidRPr="002F5DC6">
              <w:rPr>
                <w:rFonts w:cs="Calibri"/>
                <w:color w:val="000000"/>
                <w:sz w:val="18"/>
                <w:szCs w:val="18"/>
              </w:rPr>
              <w:t>128</w:t>
            </w:r>
          </w:p>
        </w:tc>
        <w:tc>
          <w:tcPr>
            <w:tcW w:w="879" w:type="dxa"/>
            <w:tcBorders>
              <w:top w:val="nil"/>
              <w:left w:val="nil"/>
              <w:bottom w:val="nil"/>
              <w:right w:val="nil"/>
            </w:tcBorders>
            <w:noWrap/>
            <w:vAlign w:val="center"/>
          </w:tcPr>
          <w:p w14:paraId="1F8C01D7" w14:textId="77777777" w:rsidR="002F5DC6" w:rsidRPr="002F5DC6" w:rsidRDefault="002F5DC6" w:rsidP="002F5DC6">
            <w:pPr>
              <w:jc w:val="center"/>
              <w:rPr>
                <w:rFonts w:cs="Calibri"/>
                <w:color w:val="000000"/>
                <w:sz w:val="18"/>
                <w:szCs w:val="18"/>
              </w:rPr>
            </w:pPr>
            <w:r w:rsidRPr="002F5DC6">
              <w:rPr>
                <w:rFonts w:cs="Calibri"/>
                <w:color w:val="000000"/>
                <w:sz w:val="18"/>
                <w:szCs w:val="18"/>
              </w:rPr>
              <w:t>151</w:t>
            </w:r>
          </w:p>
        </w:tc>
        <w:tc>
          <w:tcPr>
            <w:tcW w:w="1134" w:type="dxa"/>
            <w:tcBorders>
              <w:top w:val="nil"/>
              <w:left w:val="nil"/>
              <w:bottom w:val="nil"/>
              <w:right w:val="nil"/>
            </w:tcBorders>
            <w:noWrap/>
            <w:vAlign w:val="center"/>
          </w:tcPr>
          <w:p w14:paraId="592F5924" w14:textId="77777777" w:rsidR="002F5DC6" w:rsidRPr="002F5DC6" w:rsidRDefault="002F5DC6" w:rsidP="002F5DC6">
            <w:pPr>
              <w:jc w:val="center"/>
              <w:rPr>
                <w:rFonts w:cs="Calibri"/>
                <w:color w:val="000000"/>
                <w:sz w:val="18"/>
                <w:szCs w:val="18"/>
              </w:rPr>
            </w:pPr>
            <w:r w:rsidRPr="002F5DC6">
              <w:rPr>
                <w:rFonts w:cs="Calibri"/>
                <w:color w:val="000000"/>
                <w:sz w:val="18"/>
                <w:szCs w:val="18"/>
              </w:rPr>
              <w:t>18.0%</w:t>
            </w:r>
          </w:p>
        </w:tc>
      </w:tr>
      <w:tr w:rsidR="002F5DC6" w:rsidRPr="002F5DC6" w14:paraId="7D36A25D" w14:textId="77777777" w:rsidTr="001F1F60">
        <w:trPr>
          <w:cantSplit/>
          <w:trHeight w:val="255"/>
        </w:trPr>
        <w:tc>
          <w:tcPr>
            <w:tcW w:w="3402" w:type="dxa"/>
            <w:gridSpan w:val="4"/>
            <w:tcBorders>
              <w:top w:val="nil"/>
              <w:left w:val="nil"/>
              <w:bottom w:val="nil"/>
              <w:right w:val="nil"/>
            </w:tcBorders>
            <w:noWrap/>
          </w:tcPr>
          <w:p w14:paraId="077EF4B4"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 xml:space="preserve">   Finalisations</w:t>
            </w:r>
          </w:p>
        </w:tc>
        <w:tc>
          <w:tcPr>
            <w:tcW w:w="879" w:type="dxa"/>
            <w:tcBorders>
              <w:top w:val="nil"/>
              <w:left w:val="nil"/>
              <w:bottom w:val="nil"/>
              <w:right w:val="nil"/>
            </w:tcBorders>
            <w:noWrap/>
            <w:vAlign w:val="center"/>
          </w:tcPr>
          <w:p w14:paraId="2C7E4B53" w14:textId="77777777" w:rsidR="002F5DC6" w:rsidRPr="002F5DC6" w:rsidRDefault="002F5DC6" w:rsidP="002F5DC6">
            <w:pPr>
              <w:jc w:val="center"/>
              <w:rPr>
                <w:rFonts w:cs="Calibri"/>
                <w:color w:val="000000"/>
                <w:sz w:val="18"/>
                <w:szCs w:val="18"/>
              </w:rPr>
            </w:pPr>
            <w:r w:rsidRPr="002F5DC6">
              <w:rPr>
                <w:rFonts w:cs="Calibri"/>
                <w:color w:val="000000"/>
                <w:sz w:val="18"/>
                <w:szCs w:val="18"/>
              </w:rPr>
              <w:t>88</w:t>
            </w:r>
          </w:p>
        </w:tc>
        <w:tc>
          <w:tcPr>
            <w:tcW w:w="879" w:type="dxa"/>
            <w:tcBorders>
              <w:top w:val="nil"/>
              <w:left w:val="nil"/>
              <w:bottom w:val="nil"/>
              <w:right w:val="nil"/>
            </w:tcBorders>
            <w:noWrap/>
            <w:vAlign w:val="center"/>
          </w:tcPr>
          <w:p w14:paraId="041C6FE5" w14:textId="77777777" w:rsidR="002F5DC6" w:rsidRPr="002F5DC6" w:rsidRDefault="002F5DC6" w:rsidP="002F5DC6">
            <w:pPr>
              <w:jc w:val="center"/>
              <w:rPr>
                <w:rFonts w:cs="Calibri"/>
                <w:color w:val="000000"/>
                <w:sz w:val="18"/>
                <w:szCs w:val="18"/>
              </w:rPr>
            </w:pPr>
            <w:r w:rsidRPr="002F5DC6">
              <w:rPr>
                <w:rFonts w:cs="Calibri"/>
                <w:color w:val="000000"/>
                <w:sz w:val="18"/>
                <w:szCs w:val="18"/>
              </w:rPr>
              <w:t>97</w:t>
            </w:r>
          </w:p>
        </w:tc>
        <w:tc>
          <w:tcPr>
            <w:tcW w:w="879" w:type="dxa"/>
            <w:tcBorders>
              <w:top w:val="nil"/>
              <w:left w:val="nil"/>
              <w:bottom w:val="nil"/>
              <w:right w:val="nil"/>
            </w:tcBorders>
            <w:noWrap/>
            <w:vAlign w:val="center"/>
          </w:tcPr>
          <w:p w14:paraId="51FD5545" w14:textId="77777777" w:rsidR="002F5DC6" w:rsidRPr="002F5DC6" w:rsidRDefault="002F5DC6" w:rsidP="002F5DC6">
            <w:pPr>
              <w:jc w:val="center"/>
              <w:rPr>
                <w:rFonts w:cs="Calibri"/>
                <w:color w:val="000000"/>
                <w:sz w:val="18"/>
                <w:szCs w:val="18"/>
              </w:rPr>
            </w:pPr>
            <w:r w:rsidRPr="002F5DC6">
              <w:rPr>
                <w:rFonts w:cs="Calibri"/>
                <w:color w:val="000000"/>
                <w:sz w:val="18"/>
                <w:szCs w:val="18"/>
              </w:rPr>
              <w:t>91</w:t>
            </w:r>
          </w:p>
        </w:tc>
        <w:tc>
          <w:tcPr>
            <w:tcW w:w="879" w:type="dxa"/>
            <w:tcBorders>
              <w:top w:val="nil"/>
              <w:left w:val="nil"/>
              <w:bottom w:val="nil"/>
              <w:right w:val="nil"/>
            </w:tcBorders>
            <w:noWrap/>
            <w:vAlign w:val="center"/>
          </w:tcPr>
          <w:p w14:paraId="7EBD10EE" w14:textId="77777777" w:rsidR="002F5DC6" w:rsidRPr="002F5DC6" w:rsidRDefault="002F5DC6" w:rsidP="002F5DC6">
            <w:pPr>
              <w:jc w:val="center"/>
              <w:rPr>
                <w:rFonts w:cs="Calibri"/>
                <w:color w:val="000000"/>
                <w:sz w:val="18"/>
                <w:szCs w:val="18"/>
              </w:rPr>
            </w:pPr>
            <w:r w:rsidRPr="002F5DC6">
              <w:rPr>
                <w:rFonts w:cs="Calibri"/>
                <w:color w:val="000000"/>
                <w:sz w:val="18"/>
                <w:szCs w:val="18"/>
              </w:rPr>
              <w:t>93</w:t>
            </w:r>
          </w:p>
        </w:tc>
        <w:tc>
          <w:tcPr>
            <w:tcW w:w="879" w:type="dxa"/>
            <w:tcBorders>
              <w:top w:val="nil"/>
              <w:left w:val="nil"/>
              <w:bottom w:val="nil"/>
              <w:right w:val="nil"/>
            </w:tcBorders>
            <w:noWrap/>
            <w:vAlign w:val="center"/>
          </w:tcPr>
          <w:p w14:paraId="363F64A3" w14:textId="77777777" w:rsidR="002F5DC6" w:rsidRPr="002F5DC6" w:rsidRDefault="002F5DC6" w:rsidP="002F5DC6">
            <w:pPr>
              <w:jc w:val="center"/>
              <w:rPr>
                <w:rFonts w:cs="Calibri"/>
                <w:color w:val="000000"/>
                <w:sz w:val="18"/>
                <w:szCs w:val="18"/>
              </w:rPr>
            </w:pPr>
            <w:r w:rsidRPr="002F5DC6">
              <w:rPr>
                <w:rFonts w:cs="Calibri"/>
                <w:color w:val="000000"/>
                <w:sz w:val="18"/>
                <w:szCs w:val="18"/>
              </w:rPr>
              <w:t>117</w:t>
            </w:r>
          </w:p>
        </w:tc>
        <w:tc>
          <w:tcPr>
            <w:tcW w:w="1134" w:type="dxa"/>
            <w:tcBorders>
              <w:top w:val="nil"/>
              <w:left w:val="nil"/>
              <w:bottom w:val="nil"/>
              <w:right w:val="nil"/>
            </w:tcBorders>
            <w:noWrap/>
            <w:vAlign w:val="center"/>
          </w:tcPr>
          <w:p w14:paraId="39048387" w14:textId="77777777" w:rsidR="002F5DC6" w:rsidRPr="002F5DC6" w:rsidRDefault="002F5DC6" w:rsidP="002F5DC6">
            <w:pPr>
              <w:jc w:val="center"/>
              <w:rPr>
                <w:rFonts w:cs="Calibri"/>
                <w:color w:val="000000"/>
                <w:sz w:val="18"/>
                <w:szCs w:val="18"/>
              </w:rPr>
            </w:pPr>
            <w:r w:rsidRPr="002F5DC6">
              <w:rPr>
                <w:rFonts w:cs="Calibri"/>
                <w:color w:val="000000"/>
                <w:sz w:val="18"/>
                <w:szCs w:val="18"/>
              </w:rPr>
              <w:t>25.8%</w:t>
            </w:r>
          </w:p>
        </w:tc>
      </w:tr>
      <w:tr w:rsidR="002F5DC6" w:rsidRPr="002F5DC6" w14:paraId="6045FC20"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33FFBF33"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Applications to revoke a FVO</w:t>
            </w:r>
          </w:p>
        </w:tc>
        <w:tc>
          <w:tcPr>
            <w:tcW w:w="879" w:type="dxa"/>
            <w:tcBorders>
              <w:top w:val="nil"/>
              <w:left w:val="nil"/>
              <w:bottom w:val="nil"/>
              <w:right w:val="nil"/>
            </w:tcBorders>
            <w:shd w:val="clear" w:color="auto" w:fill="D9D9D9" w:themeFill="background1" w:themeFillShade="D9"/>
            <w:noWrap/>
            <w:vAlign w:val="center"/>
          </w:tcPr>
          <w:p w14:paraId="7556D347"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1EF43D23"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1ADA2263"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3D65EC0F"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0A1DC8DB" w14:textId="77777777" w:rsidR="002F5DC6" w:rsidRPr="002F5DC6" w:rsidRDefault="002F5DC6" w:rsidP="002F5DC6">
            <w:pPr>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33AF1F06" w14:textId="77777777" w:rsidR="002F5DC6" w:rsidRPr="002F5DC6" w:rsidRDefault="002F5DC6" w:rsidP="002F5DC6">
            <w:pPr>
              <w:jc w:val="center"/>
              <w:rPr>
                <w:rFonts w:cs="Calibri"/>
                <w:iCs/>
                <w:color w:val="000000"/>
                <w:sz w:val="18"/>
                <w:szCs w:val="18"/>
              </w:rPr>
            </w:pPr>
          </w:p>
        </w:tc>
      </w:tr>
      <w:tr w:rsidR="002F5DC6" w:rsidRPr="002F5DC6" w14:paraId="3B5F9013" w14:textId="77777777" w:rsidTr="001F1F60">
        <w:trPr>
          <w:cantSplit/>
          <w:trHeight w:val="255"/>
        </w:trPr>
        <w:tc>
          <w:tcPr>
            <w:tcW w:w="3402" w:type="dxa"/>
            <w:gridSpan w:val="4"/>
            <w:tcBorders>
              <w:top w:val="nil"/>
              <w:left w:val="nil"/>
              <w:bottom w:val="nil"/>
              <w:right w:val="nil"/>
            </w:tcBorders>
            <w:noWrap/>
          </w:tcPr>
          <w:p w14:paraId="77E63462"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Lodgements</w:t>
            </w:r>
          </w:p>
        </w:tc>
        <w:tc>
          <w:tcPr>
            <w:tcW w:w="879" w:type="dxa"/>
            <w:tcBorders>
              <w:top w:val="nil"/>
              <w:left w:val="nil"/>
              <w:bottom w:val="nil"/>
              <w:right w:val="nil"/>
            </w:tcBorders>
            <w:noWrap/>
            <w:vAlign w:val="center"/>
          </w:tcPr>
          <w:p w14:paraId="55748EDC" w14:textId="77777777" w:rsidR="002F5DC6" w:rsidRPr="002F5DC6" w:rsidRDefault="002F5DC6" w:rsidP="002F5DC6">
            <w:pPr>
              <w:jc w:val="center"/>
              <w:rPr>
                <w:rFonts w:cs="Calibri"/>
                <w:color w:val="000000"/>
                <w:sz w:val="18"/>
                <w:szCs w:val="18"/>
              </w:rPr>
            </w:pPr>
            <w:r w:rsidRPr="002F5DC6">
              <w:rPr>
                <w:rFonts w:cs="Calibri"/>
                <w:color w:val="000000"/>
                <w:sz w:val="18"/>
                <w:szCs w:val="18"/>
              </w:rPr>
              <w:t>31</w:t>
            </w:r>
          </w:p>
        </w:tc>
        <w:tc>
          <w:tcPr>
            <w:tcW w:w="879" w:type="dxa"/>
            <w:tcBorders>
              <w:top w:val="nil"/>
              <w:left w:val="nil"/>
              <w:bottom w:val="nil"/>
              <w:right w:val="nil"/>
            </w:tcBorders>
            <w:noWrap/>
            <w:vAlign w:val="center"/>
          </w:tcPr>
          <w:p w14:paraId="7399601E" w14:textId="77777777" w:rsidR="002F5DC6" w:rsidRPr="002F5DC6" w:rsidRDefault="002F5DC6" w:rsidP="002F5DC6">
            <w:pPr>
              <w:jc w:val="center"/>
              <w:rPr>
                <w:rFonts w:cs="Calibri"/>
                <w:color w:val="000000"/>
                <w:sz w:val="18"/>
                <w:szCs w:val="18"/>
              </w:rPr>
            </w:pPr>
            <w:r w:rsidRPr="002F5DC6">
              <w:rPr>
                <w:rFonts w:cs="Calibri"/>
                <w:color w:val="000000"/>
                <w:sz w:val="18"/>
                <w:szCs w:val="18"/>
              </w:rPr>
              <w:t>22</w:t>
            </w:r>
          </w:p>
        </w:tc>
        <w:tc>
          <w:tcPr>
            <w:tcW w:w="879" w:type="dxa"/>
            <w:tcBorders>
              <w:top w:val="nil"/>
              <w:left w:val="nil"/>
              <w:bottom w:val="nil"/>
              <w:right w:val="nil"/>
            </w:tcBorders>
            <w:noWrap/>
            <w:vAlign w:val="center"/>
          </w:tcPr>
          <w:p w14:paraId="5E0942B4" w14:textId="77777777" w:rsidR="002F5DC6" w:rsidRPr="002F5DC6" w:rsidRDefault="002F5DC6" w:rsidP="002F5DC6">
            <w:pPr>
              <w:jc w:val="center"/>
              <w:rPr>
                <w:rFonts w:cs="Calibri"/>
                <w:color w:val="000000"/>
                <w:sz w:val="18"/>
                <w:szCs w:val="18"/>
              </w:rPr>
            </w:pPr>
            <w:r w:rsidRPr="002F5DC6">
              <w:rPr>
                <w:rFonts w:cs="Calibri"/>
                <w:color w:val="000000"/>
                <w:sz w:val="18"/>
                <w:szCs w:val="18"/>
              </w:rPr>
              <w:t>42</w:t>
            </w:r>
          </w:p>
        </w:tc>
        <w:tc>
          <w:tcPr>
            <w:tcW w:w="879" w:type="dxa"/>
            <w:tcBorders>
              <w:top w:val="nil"/>
              <w:left w:val="nil"/>
              <w:bottom w:val="nil"/>
              <w:right w:val="nil"/>
            </w:tcBorders>
            <w:noWrap/>
            <w:vAlign w:val="center"/>
          </w:tcPr>
          <w:p w14:paraId="2450CB22" w14:textId="77777777" w:rsidR="002F5DC6" w:rsidRPr="002F5DC6" w:rsidRDefault="002F5DC6" w:rsidP="002F5DC6">
            <w:pPr>
              <w:jc w:val="center"/>
              <w:rPr>
                <w:rFonts w:cs="Calibri"/>
                <w:color w:val="000000"/>
                <w:sz w:val="18"/>
                <w:szCs w:val="18"/>
              </w:rPr>
            </w:pPr>
            <w:r w:rsidRPr="002F5DC6">
              <w:rPr>
                <w:rFonts w:cs="Calibri"/>
                <w:color w:val="000000"/>
                <w:sz w:val="18"/>
                <w:szCs w:val="18"/>
              </w:rPr>
              <w:t>37</w:t>
            </w:r>
          </w:p>
        </w:tc>
        <w:tc>
          <w:tcPr>
            <w:tcW w:w="879" w:type="dxa"/>
            <w:tcBorders>
              <w:top w:val="nil"/>
              <w:left w:val="nil"/>
              <w:bottom w:val="nil"/>
              <w:right w:val="nil"/>
            </w:tcBorders>
            <w:noWrap/>
            <w:vAlign w:val="center"/>
          </w:tcPr>
          <w:p w14:paraId="4A8DA5BA" w14:textId="77777777" w:rsidR="002F5DC6" w:rsidRPr="002F5DC6" w:rsidRDefault="002F5DC6" w:rsidP="002F5DC6">
            <w:pPr>
              <w:jc w:val="center"/>
              <w:rPr>
                <w:rFonts w:cs="Calibri"/>
                <w:color w:val="000000"/>
                <w:sz w:val="18"/>
                <w:szCs w:val="18"/>
              </w:rPr>
            </w:pPr>
            <w:r w:rsidRPr="002F5DC6">
              <w:rPr>
                <w:rFonts w:cs="Calibri"/>
                <w:color w:val="000000"/>
                <w:sz w:val="18"/>
                <w:szCs w:val="18"/>
              </w:rPr>
              <w:t>24</w:t>
            </w:r>
          </w:p>
        </w:tc>
        <w:tc>
          <w:tcPr>
            <w:tcW w:w="1134" w:type="dxa"/>
            <w:tcBorders>
              <w:top w:val="nil"/>
              <w:left w:val="nil"/>
              <w:bottom w:val="nil"/>
              <w:right w:val="nil"/>
            </w:tcBorders>
            <w:noWrap/>
            <w:vAlign w:val="center"/>
          </w:tcPr>
          <w:p w14:paraId="371BAA43" w14:textId="77777777" w:rsidR="002F5DC6" w:rsidRPr="002F5DC6" w:rsidRDefault="002F5DC6" w:rsidP="002F5DC6">
            <w:pPr>
              <w:jc w:val="center"/>
              <w:rPr>
                <w:rFonts w:cs="Calibri"/>
                <w:color w:val="000000"/>
                <w:sz w:val="18"/>
                <w:szCs w:val="18"/>
              </w:rPr>
            </w:pPr>
            <w:r w:rsidRPr="002F5DC6">
              <w:rPr>
                <w:rFonts w:cs="Calibri"/>
                <w:color w:val="000000"/>
                <w:sz w:val="18"/>
                <w:szCs w:val="18"/>
              </w:rPr>
              <w:t>-35.1%</w:t>
            </w:r>
          </w:p>
        </w:tc>
      </w:tr>
      <w:tr w:rsidR="002F5DC6" w:rsidRPr="002F5DC6" w14:paraId="3E5A48FF" w14:textId="77777777" w:rsidTr="001F1F60">
        <w:trPr>
          <w:cantSplit/>
          <w:trHeight w:val="255"/>
        </w:trPr>
        <w:tc>
          <w:tcPr>
            <w:tcW w:w="3402" w:type="dxa"/>
            <w:gridSpan w:val="4"/>
            <w:tcBorders>
              <w:top w:val="nil"/>
              <w:left w:val="nil"/>
              <w:bottom w:val="nil"/>
              <w:right w:val="nil"/>
            </w:tcBorders>
            <w:noWrap/>
          </w:tcPr>
          <w:p w14:paraId="5C270A88"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Finalisations</w:t>
            </w:r>
          </w:p>
        </w:tc>
        <w:tc>
          <w:tcPr>
            <w:tcW w:w="879" w:type="dxa"/>
            <w:tcBorders>
              <w:top w:val="nil"/>
              <w:left w:val="nil"/>
              <w:bottom w:val="nil"/>
              <w:right w:val="nil"/>
            </w:tcBorders>
            <w:noWrap/>
            <w:vAlign w:val="center"/>
          </w:tcPr>
          <w:p w14:paraId="60CBF73E" w14:textId="77777777" w:rsidR="002F5DC6" w:rsidRPr="002F5DC6" w:rsidRDefault="002F5DC6" w:rsidP="002F5DC6">
            <w:pPr>
              <w:jc w:val="center"/>
              <w:rPr>
                <w:rFonts w:cs="Calibri"/>
                <w:color w:val="000000"/>
                <w:sz w:val="18"/>
                <w:szCs w:val="18"/>
              </w:rPr>
            </w:pPr>
            <w:r w:rsidRPr="002F5DC6">
              <w:rPr>
                <w:rFonts w:cs="Calibri"/>
                <w:color w:val="000000"/>
                <w:sz w:val="18"/>
                <w:szCs w:val="18"/>
              </w:rPr>
              <w:t>29</w:t>
            </w:r>
          </w:p>
        </w:tc>
        <w:tc>
          <w:tcPr>
            <w:tcW w:w="879" w:type="dxa"/>
            <w:tcBorders>
              <w:top w:val="nil"/>
              <w:left w:val="nil"/>
              <w:bottom w:val="nil"/>
              <w:right w:val="nil"/>
            </w:tcBorders>
            <w:noWrap/>
            <w:vAlign w:val="center"/>
          </w:tcPr>
          <w:p w14:paraId="0BD8FEB0" w14:textId="77777777" w:rsidR="002F5DC6" w:rsidRPr="002F5DC6" w:rsidRDefault="002F5DC6" w:rsidP="002F5DC6">
            <w:pPr>
              <w:jc w:val="center"/>
              <w:rPr>
                <w:rFonts w:cs="Calibri"/>
                <w:color w:val="000000"/>
                <w:sz w:val="18"/>
                <w:szCs w:val="18"/>
              </w:rPr>
            </w:pPr>
            <w:r w:rsidRPr="002F5DC6">
              <w:rPr>
                <w:rFonts w:cs="Calibri"/>
                <w:color w:val="000000"/>
                <w:sz w:val="18"/>
                <w:szCs w:val="18"/>
              </w:rPr>
              <w:t>15</w:t>
            </w:r>
          </w:p>
        </w:tc>
        <w:tc>
          <w:tcPr>
            <w:tcW w:w="879" w:type="dxa"/>
            <w:tcBorders>
              <w:top w:val="nil"/>
              <w:left w:val="nil"/>
              <w:bottom w:val="nil"/>
              <w:right w:val="nil"/>
            </w:tcBorders>
            <w:noWrap/>
            <w:vAlign w:val="center"/>
          </w:tcPr>
          <w:p w14:paraId="1EAF4E67" w14:textId="77777777" w:rsidR="002F5DC6" w:rsidRPr="002F5DC6" w:rsidRDefault="002F5DC6" w:rsidP="002F5DC6">
            <w:pPr>
              <w:jc w:val="center"/>
              <w:rPr>
                <w:rFonts w:cs="Calibri"/>
                <w:color w:val="000000"/>
                <w:sz w:val="18"/>
                <w:szCs w:val="18"/>
              </w:rPr>
            </w:pPr>
            <w:r w:rsidRPr="002F5DC6">
              <w:rPr>
                <w:rFonts w:cs="Calibri"/>
                <w:color w:val="000000"/>
                <w:sz w:val="18"/>
                <w:szCs w:val="18"/>
              </w:rPr>
              <w:t>38</w:t>
            </w:r>
          </w:p>
        </w:tc>
        <w:tc>
          <w:tcPr>
            <w:tcW w:w="879" w:type="dxa"/>
            <w:tcBorders>
              <w:top w:val="nil"/>
              <w:left w:val="nil"/>
              <w:bottom w:val="nil"/>
              <w:right w:val="nil"/>
            </w:tcBorders>
            <w:noWrap/>
            <w:vAlign w:val="center"/>
          </w:tcPr>
          <w:p w14:paraId="465F7C31" w14:textId="77777777" w:rsidR="002F5DC6" w:rsidRPr="002F5DC6" w:rsidRDefault="002F5DC6" w:rsidP="002F5DC6">
            <w:pPr>
              <w:jc w:val="center"/>
              <w:rPr>
                <w:rFonts w:cs="Calibri"/>
                <w:color w:val="000000"/>
                <w:sz w:val="18"/>
                <w:szCs w:val="18"/>
              </w:rPr>
            </w:pPr>
            <w:r w:rsidRPr="002F5DC6">
              <w:rPr>
                <w:rFonts w:cs="Calibri"/>
                <w:color w:val="000000"/>
                <w:sz w:val="18"/>
                <w:szCs w:val="18"/>
              </w:rPr>
              <w:t>28</w:t>
            </w:r>
          </w:p>
        </w:tc>
        <w:tc>
          <w:tcPr>
            <w:tcW w:w="879" w:type="dxa"/>
            <w:tcBorders>
              <w:top w:val="nil"/>
              <w:left w:val="nil"/>
              <w:bottom w:val="nil"/>
              <w:right w:val="nil"/>
            </w:tcBorders>
            <w:noWrap/>
            <w:vAlign w:val="center"/>
          </w:tcPr>
          <w:p w14:paraId="582C352C" w14:textId="77777777" w:rsidR="002F5DC6" w:rsidRPr="002F5DC6" w:rsidRDefault="002F5DC6" w:rsidP="002F5DC6">
            <w:pPr>
              <w:jc w:val="center"/>
              <w:rPr>
                <w:rFonts w:cs="Calibri"/>
                <w:color w:val="000000"/>
                <w:sz w:val="18"/>
                <w:szCs w:val="18"/>
              </w:rPr>
            </w:pPr>
            <w:r w:rsidRPr="002F5DC6">
              <w:rPr>
                <w:rFonts w:cs="Calibri"/>
                <w:color w:val="000000"/>
                <w:sz w:val="18"/>
                <w:szCs w:val="18"/>
              </w:rPr>
              <w:t>29</w:t>
            </w:r>
          </w:p>
        </w:tc>
        <w:tc>
          <w:tcPr>
            <w:tcW w:w="1134" w:type="dxa"/>
            <w:tcBorders>
              <w:top w:val="nil"/>
              <w:left w:val="nil"/>
              <w:bottom w:val="nil"/>
              <w:right w:val="nil"/>
            </w:tcBorders>
            <w:noWrap/>
            <w:vAlign w:val="center"/>
          </w:tcPr>
          <w:p w14:paraId="3300BCDD" w14:textId="77777777" w:rsidR="002F5DC6" w:rsidRPr="002F5DC6" w:rsidRDefault="002F5DC6" w:rsidP="002F5DC6">
            <w:pPr>
              <w:jc w:val="center"/>
              <w:rPr>
                <w:rFonts w:cs="Calibri"/>
                <w:color w:val="000000"/>
                <w:sz w:val="18"/>
                <w:szCs w:val="18"/>
              </w:rPr>
            </w:pPr>
            <w:r w:rsidRPr="002F5DC6">
              <w:rPr>
                <w:rFonts w:cs="Calibri"/>
                <w:color w:val="000000"/>
                <w:sz w:val="18"/>
                <w:szCs w:val="18"/>
              </w:rPr>
              <w:t>3.6%</w:t>
            </w:r>
          </w:p>
        </w:tc>
      </w:tr>
      <w:tr w:rsidR="002F5DC6" w:rsidRPr="002F5DC6" w14:paraId="0D00F569"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28AF28E4"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Applications to revoke a Police FVO</w:t>
            </w:r>
          </w:p>
        </w:tc>
        <w:tc>
          <w:tcPr>
            <w:tcW w:w="879" w:type="dxa"/>
            <w:tcBorders>
              <w:top w:val="nil"/>
              <w:left w:val="nil"/>
              <w:bottom w:val="nil"/>
              <w:right w:val="nil"/>
            </w:tcBorders>
            <w:shd w:val="clear" w:color="auto" w:fill="D9D9D9" w:themeFill="background1" w:themeFillShade="D9"/>
            <w:noWrap/>
            <w:vAlign w:val="center"/>
          </w:tcPr>
          <w:p w14:paraId="62C08CE4" w14:textId="77777777" w:rsidR="002F5DC6" w:rsidRPr="002F5DC6" w:rsidRDefault="002F5DC6" w:rsidP="002F5DC6">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0FE9ED69" w14:textId="77777777" w:rsidR="002F5DC6" w:rsidRPr="002F5DC6" w:rsidRDefault="002F5DC6" w:rsidP="002F5DC6">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1C457BCF" w14:textId="77777777" w:rsidR="002F5DC6" w:rsidRPr="002F5DC6" w:rsidRDefault="002F5DC6" w:rsidP="002F5DC6">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30AB838D" w14:textId="77777777" w:rsidR="002F5DC6" w:rsidRPr="002F5DC6" w:rsidRDefault="002F5DC6" w:rsidP="002F5DC6">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3EE27969" w14:textId="77777777" w:rsidR="002F5DC6" w:rsidRPr="002F5DC6" w:rsidRDefault="002F5DC6" w:rsidP="002F5DC6">
            <w:pPr>
              <w:jc w:val="center"/>
              <w:rPr>
                <w:rFonts w:cs="Calibri"/>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11588C09" w14:textId="77777777" w:rsidR="002F5DC6" w:rsidRPr="002F5DC6" w:rsidRDefault="002F5DC6" w:rsidP="002F5DC6">
            <w:pPr>
              <w:jc w:val="center"/>
              <w:rPr>
                <w:rFonts w:cs="Calibri"/>
                <w:color w:val="000000"/>
                <w:sz w:val="18"/>
                <w:szCs w:val="18"/>
              </w:rPr>
            </w:pPr>
          </w:p>
        </w:tc>
      </w:tr>
      <w:tr w:rsidR="002F5DC6" w:rsidRPr="002F5DC6" w14:paraId="11858632" w14:textId="77777777" w:rsidTr="001F1F60">
        <w:trPr>
          <w:cantSplit/>
          <w:trHeight w:val="255"/>
        </w:trPr>
        <w:tc>
          <w:tcPr>
            <w:tcW w:w="3402" w:type="dxa"/>
            <w:gridSpan w:val="4"/>
            <w:tcBorders>
              <w:top w:val="nil"/>
              <w:left w:val="nil"/>
              <w:bottom w:val="nil"/>
              <w:right w:val="nil"/>
            </w:tcBorders>
            <w:noWrap/>
          </w:tcPr>
          <w:p w14:paraId="78D38333"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 xml:space="preserve">   Lodgements</w:t>
            </w:r>
          </w:p>
        </w:tc>
        <w:tc>
          <w:tcPr>
            <w:tcW w:w="879" w:type="dxa"/>
            <w:tcBorders>
              <w:top w:val="nil"/>
              <w:left w:val="nil"/>
              <w:bottom w:val="nil"/>
              <w:right w:val="nil"/>
            </w:tcBorders>
            <w:noWrap/>
            <w:vAlign w:val="center"/>
          </w:tcPr>
          <w:p w14:paraId="655D355C" w14:textId="77777777" w:rsidR="002F5DC6" w:rsidRPr="002F5DC6" w:rsidRDefault="002F5DC6" w:rsidP="002F5DC6">
            <w:pPr>
              <w:jc w:val="center"/>
              <w:rPr>
                <w:rFonts w:cs="Calibri"/>
                <w:color w:val="000000"/>
                <w:sz w:val="18"/>
                <w:szCs w:val="18"/>
              </w:rPr>
            </w:pPr>
            <w:r w:rsidRPr="002F5DC6">
              <w:rPr>
                <w:rFonts w:cs="Calibri"/>
                <w:color w:val="000000"/>
                <w:sz w:val="18"/>
                <w:szCs w:val="18"/>
              </w:rPr>
              <w:t>58</w:t>
            </w:r>
          </w:p>
        </w:tc>
        <w:tc>
          <w:tcPr>
            <w:tcW w:w="879" w:type="dxa"/>
            <w:tcBorders>
              <w:top w:val="nil"/>
              <w:left w:val="nil"/>
              <w:bottom w:val="nil"/>
              <w:right w:val="nil"/>
            </w:tcBorders>
            <w:noWrap/>
            <w:vAlign w:val="center"/>
          </w:tcPr>
          <w:p w14:paraId="43D4F1C0" w14:textId="77777777" w:rsidR="002F5DC6" w:rsidRPr="002F5DC6" w:rsidRDefault="002F5DC6" w:rsidP="002F5DC6">
            <w:pPr>
              <w:jc w:val="center"/>
              <w:rPr>
                <w:rFonts w:cs="Calibri"/>
                <w:color w:val="000000"/>
                <w:sz w:val="18"/>
                <w:szCs w:val="18"/>
              </w:rPr>
            </w:pPr>
            <w:r w:rsidRPr="002F5DC6">
              <w:rPr>
                <w:rFonts w:cs="Calibri"/>
                <w:color w:val="000000"/>
                <w:sz w:val="18"/>
                <w:szCs w:val="18"/>
              </w:rPr>
              <w:t>46</w:t>
            </w:r>
          </w:p>
        </w:tc>
        <w:tc>
          <w:tcPr>
            <w:tcW w:w="879" w:type="dxa"/>
            <w:tcBorders>
              <w:top w:val="nil"/>
              <w:left w:val="nil"/>
              <w:bottom w:val="nil"/>
              <w:right w:val="nil"/>
            </w:tcBorders>
            <w:noWrap/>
            <w:vAlign w:val="center"/>
          </w:tcPr>
          <w:p w14:paraId="5B4B18BB" w14:textId="77777777" w:rsidR="002F5DC6" w:rsidRPr="002F5DC6" w:rsidRDefault="002F5DC6" w:rsidP="002F5DC6">
            <w:pPr>
              <w:jc w:val="center"/>
              <w:rPr>
                <w:rFonts w:cs="Calibri"/>
                <w:color w:val="000000"/>
                <w:sz w:val="18"/>
                <w:szCs w:val="18"/>
              </w:rPr>
            </w:pPr>
            <w:r w:rsidRPr="002F5DC6">
              <w:rPr>
                <w:rFonts w:cs="Calibri"/>
                <w:color w:val="000000"/>
                <w:sz w:val="18"/>
                <w:szCs w:val="18"/>
              </w:rPr>
              <w:t>49</w:t>
            </w:r>
          </w:p>
        </w:tc>
        <w:tc>
          <w:tcPr>
            <w:tcW w:w="879" w:type="dxa"/>
            <w:tcBorders>
              <w:top w:val="nil"/>
              <w:left w:val="nil"/>
              <w:bottom w:val="nil"/>
              <w:right w:val="nil"/>
            </w:tcBorders>
            <w:noWrap/>
            <w:vAlign w:val="center"/>
          </w:tcPr>
          <w:p w14:paraId="6B00B0CC" w14:textId="77777777" w:rsidR="002F5DC6" w:rsidRPr="002F5DC6" w:rsidRDefault="002F5DC6" w:rsidP="002F5DC6">
            <w:pPr>
              <w:jc w:val="center"/>
              <w:rPr>
                <w:rFonts w:cs="Calibri"/>
                <w:color w:val="000000"/>
                <w:sz w:val="18"/>
                <w:szCs w:val="18"/>
              </w:rPr>
            </w:pPr>
            <w:r w:rsidRPr="002F5DC6">
              <w:rPr>
                <w:rFonts w:cs="Calibri"/>
                <w:color w:val="000000"/>
                <w:sz w:val="18"/>
                <w:szCs w:val="18"/>
              </w:rPr>
              <w:t>41</w:t>
            </w:r>
          </w:p>
        </w:tc>
        <w:tc>
          <w:tcPr>
            <w:tcW w:w="879" w:type="dxa"/>
            <w:tcBorders>
              <w:top w:val="nil"/>
              <w:left w:val="nil"/>
              <w:bottom w:val="nil"/>
              <w:right w:val="nil"/>
            </w:tcBorders>
            <w:noWrap/>
            <w:vAlign w:val="center"/>
          </w:tcPr>
          <w:p w14:paraId="148B6D69" w14:textId="77777777" w:rsidR="002F5DC6" w:rsidRPr="002F5DC6" w:rsidRDefault="002F5DC6" w:rsidP="002F5DC6">
            <w:pPr>
              <w:jc w:val="center"/>
              <w:rPr>
                <w:rFonts w:cs="Calibri"/>
                <w:color w:val="000000"/>
                <w:sz w:val="18"/>
                <w:szCs w:val="18"/>
              </w:rPr>
            </w:pPr>
            <w:r w:rsidRPr="002F5DC6">
              <w:rPr>
                <w:rFonts w:cs="Calibri"/>
                <w:color w:val="000000"/>
                <w:sz w:val="18"/>
                <w:szCs w:val="18"/>
              </w:rPr>
              <w:t>49</w:t>
            </w:r>
          </w:p>
        </w:tc>
        <w:tc>
          <w:tcPr>
            <w:tcW w:w="1134" w:type="dxa"/>
            <w:tcBorders>
              <w:top w:val="nil"/>
              <w:left w:val="nil"/>
              <w:bottom w:val="nil"/>
              <w:right w:val="nil"/>
            </w:tcBorders>
            <w:noWrap/>
            <w:vAlign w:val="center"/>
          </w:tcPr>
          <w:p w14:paraId="43F10CD1" w14:textId="77777777" w:rsidR="002F5DC6" w:rsidRPr="002F5DC6" w:rsidRDefault="002F5DC6" w:rsidP="002F5DC6">
            <w:pPr>
              <w:jc w:val="center"/>
              <w:rPr>
                <w:rFonts w:cs="Calibri"/>
                <w:color w:val="000000"/>
                <w:sz w:val="18"/>
                <w:szCs w:val="18"/>
              </w:rPr>
            </w:pPr>
            <w:r w:rsidRPr="002F5DC6">
              <w:rPr>
                <w:rFonts w:cs="Calibri"/>
                <w:color w:val="000000"/>
                <w:sz w:val="18"/>
                <w:szCs w:val="18"/>
              </w:rPr>
              <w:t>19.5%</w:t>
            </w:r>
          </w:p>
        </w:tc>
      </w:tr>
      <w:tr w:rsidR="002F5DC6" w:rsidRPr="002F5DC6" w14:paraId="0D17ACF1" w14:textId="77777777" w:rsidTr="001F1F60">
        <w:trPr>
          <w:cantSplit/>
          <w:trHeight w:val="255"/>
        </w:trPr>
        <w:tc>
          <w:tcPr>
            <w:tcW w:w="3402" w:type="dxa"/>
            <w:gridSpan w:val="4"/>
            <w:tcBorders>
              <w:top w:val="nil"/>
              <w:left w:val="nil"/>
              <w:bottom w:val="nil"/>
              <w:right w:val="nil"/>
            </w:tcBorders>
            <w:noWrap/>
          </w:tcPr>
          <w:p w14:paraId="4A79DE97"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 xml:space="preserve">   Finalisations</w:t>
            </w:r>
          </w:p>
        </w:tc>
        <w:tc>
          <w:tcPr>
            <w:tcW w:w="879" w:type="dxa"/>
            <w:tcBorders>
              <w:top w:val="nil"/>
              <w:left w:val="nil"/>
              <w:bottom w:val="nil"/>
              <w:right w:val="nil"/>
            </w:tcBorders>
            <w:noWrap/>
            <w:vAlign w:val="center"/>
          </w:tcPr>
          <w:p w14:paraId="405D2A10" w14:textId="77777777" w:rsidR="002F5DC6" w:rsidRPr="002F5DC6" w:rsidRDefault="002F5DC6" w:rsidP="002F5DC6">
            <w:pPr>
              <w:jc w:val="center"/>
              <w:rPr>
                <w:rFonts w:cs="Calibri"/>
                <w:color w:val="000000"/>
                <w:sz w:val="18"/>
                <w:szCs w:val="18"/>
              </w:rPr>
            </w:pPr>
            <w:r w:rsidRPr="002F5DC6">
              <w:rPr>
                <w:rFonts w:cs="Calibri"/>
                <w:color w:val="000000"/>
                <w:sz w:val="18"/>
                <w:szCs w:val="18"/>
              </w:rPr>
              <w:t>50</w:t>
            </w:r>
          </w:p>
        </w:tc>
        <w:tc>
          <w:tcPr>
            <w:tcW w:w="879" w:type="dxa"/>
            <w:tcBorders>
              <w:top w:val="nil"/>
              <w:left w:val="nil"/>
              <w:bottom w:val="nil"/>
              <w:right w:val="nil"/>
            </w:tcBorders>
            <w:noWrap/>
            <w:vAlign w:val="center"/>
          </w:tcPr>
          <w:p w14:paraId="51236E2B" w14:textId="77777777" w:rsidR="002F5DC6" w:rsidRPr="002F5DC6" w:rsidRDefault="002F5DC6" w:rsidP="002F5DC6">
            <w:pPr>
              <w:jc w:val="center"/>
              <w:rPr>
                <w:rFonts w:cs="Calibri"/>
                <w:color w:val="000000"/>
                <w:sz w:val="18"/>
                <w:szCs w:val="18"/>
              </w:rPr>
            </w:pPr>
            <w:r w:rsidRPr="002F5DC6">
              <w:rPr>
                <w:rFonts w:cs="Calibri"/>
                <w:color w:val="000000"/>
                <w:sz w:val="18"/>
                <w:szCs w:val="18"/>
              </w:rPr>
              <w:t>39</w:t>
            </w:r>
          </w:p>
        </w:tc>
        <w:tc>
          <w:tcPr>
            <w:tcW w:w="879" w:type="dxa"/>
            <w:tcBorders>
              <w:top w:val="nil"/>
              <w:left w:val="nil"/>
              <w:bottom w:val="nil"/>
              <w:right w:val="nil"/>
            </w:tcBorders>
            <w:noWrap/>
            <w:vAlign w:val="center"/>
          </w:tcPr>
          <w:p w14:paraId="574656F7" w14:textId="77777777" w:rsidR="002F5DC6" w:rsidRPr="002F5DC6" w:rsidRDefault="002F5DC6" w:rsidP="002F5DC6">
            <w:pPr>
              <w:jc w:val="center"/>
              <w:rPr>
                <w:rFonts w:cs="Calibri"/>
                <w:color w:val="000000"/>
                <w:sz w:val="18"/>
                <w:szCs w:val="18"/>
              </w:rPr>
            </w:pPr>
            <w:r w:rsidRPr="002F5DC6">
              <w:rPr>
                <w:rFonts w:cs="Calibri"/>
                <w:color w:val="000000"/>
                <w:sz w:val="18"/>
                <w:szCs w:val="18"/>
              </w:rPr>
              <w:t>37</w:t>
            </w:r>
          </w:p>
        </w:tc>
        <w:tc>
          <w:tcPr>
            <w:tcW w:w="879" w:type="dxa"/>
            <w:tcBorders>
              <w:top w:val="nil"/>
              <w:left w:val="nil"/>
              <w:bottom w:val="nil"/>
              <w:right w:val="nil"/>
            </w:tcBorders>
            <w:noWrap/>
            <w:vAlign w:val="center"/>
          </w:tcPr>
          <w:p w14:paraId="4083186C" w14:textId="77777777" w:rsidR="002F5DC6" w:rsidRPr="002F5DC6" w:rsidRDefault="002F5DC6" w:rsidP="002F5DC6">
            <w:pPr>
              <w:jc w:val="center"/>
              <w:rPr>
                <w:rFonts w:cs="Calibri"/>
                <w:color w:val="000000"/>
                <w:sz w:val="18"/>
                <w:szCs w:val="18"/>
              </w:rPr>
            </w:pPr>
            <w:r w:rsidRPr="002F5DC6">
              <w:rPr>
                <w:rFonts w:cs="Calibri"/>
                <w:color w:val="000000"/>
                <w:sz w:val="18"/>
                <w:szCs w:val="18"/>
              </w:rPr>
              <w:t>45</w:t>
            </w:r>
          </w:p>
        </w:tc>
        <w:tc>
          <w:tcPr>
            <w:tcW w:w="879" w:type="dxa"/>
            <w:tcBorders>
              <w:top w:val="nil"/>
              <w:left w:val="nil"/>
              <w:bottom w:val="nil"/>
              <w:right w:val="nil"/>
            </w:tcBorders>
            <w:noWrap/>
            <w:vAlign w:val="center"/>
          </w:tcPr>
          <w:p w14:paraId="004CC726" w14:textId="77777777" w:rsidR="002F5DC6" w:rsidRPr="002F5DC6" w:rsidRDefault="002F5DC6" w:rsidP="002F5DC6">
            <w:pPr>
              <w:jc w:val="center"/>
              <w:rPr>
                <w:rFonts w:cs="Calibri"/>
                <w:color w:val="000000"/>
                <w:sz w:val="18"/>
                <w:szCs w:val="18"/>
              </w:rPr>
            </w:pPr>
            <w:r w:rsidRPr="002F5DC6">
              <w:rPr>
                <w:rFonts w:cs="Calibri"/>
                <w:color w:val="000000"/>
                <w:sz w:val="18"/>
                <w:szCs w:val="18"/>
              </w:rPr>
              <w:t>53</w:t>
            </w:r>
          </w:p>
        </w:tc>
        <w:tc>
          <w:tcPr>
            <w:tcW w:w="1134" w:type="dxa"/>
            <w:tcBorders>
              <w:top w:val="nil"/>
              <w:left w:val="nil"/>
              <w:bottom w:val="nil"/>
              <w:right w:val="nil"/>
            </w:tcBorders>
            <w:noWrap/>
            <w:vAlign w:val="center"/>
          </w:tcPr>
          <w:p w14:paraId="1C809D1A" w14:textId="77777777" w:rsidR="002F5DC6" w:rsidRPr="002F5DC6" w:rsidRDefault="002F5DC6" w:rsidP="002F5DC6">
            <w:pPr>
              <w:jc w:val="center"/>
              <w:rPr>
                <w:rFonts w:cs="Calibri"/>
                <w:color w:val="000000"/>
                <w:sz w:val="18"/>
                <w:szCs w:val="18"/>
              </w:rPr>
            </w:pPr>
            <w:r w:rsidRPr="002F5DC6">
              <w:rPr>
                <w:rFonts w:cs="Calibri"/>
                <w:color w:val="000000"/>
                <w:sz w:val="18"/>
                <w:szCs w:val="18"/>
              </w:rPr>
              <w:t>17.8%</w:t>
            </w:r>
          </w:p>
        </w:tc>
      </w:tr>
      <w:tr w:rsidR="002F5DC6" w:rsidRPr="002F5DC6" w14:paraId="30F2C941"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605247C8"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lastRenderedPageBreak/>
              <w:t>Applications to register an Interstate FVO</w:t>
            </w:r>
          </w:p>
        </w:tc>
        <w:tc>
          <w:tcPr>
            <w:tcW w:w="879" w:type="dxa"/>
            <w:tcBorders>
              <w:top w:val="nil"/>
              <w:left w:val="nil"/>
              <w:bottom w:val="nil"/>
              <w:right w:val="nil"/>
            </w:tcBorders>
            <w:shd w:val="clear" w:color="auto" w:fill="D9D9D9" w:themeFill="background1" w:themeFillShade="D9"/>
            <w:noWrap/>
            <w:vAlign w:val="center"/>
          </w:tcPr>
          <w:p w14:paraId="4F98A044"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2D493E06"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DDD468A"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5CE81E95"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4FEA1D1C" w14:textId="77777777" w:rsidR="002F5DC6" w:rsidRPr="002F5DC6" w:rsidRDefault="002F5DC6" w:rsidP="002F5DC6">
            <w:pPr>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636B92FC" w14:textId="77777777" w:rsidR="002F5DC6" w:rsidRPr="002F5DC6" w:rsidRDefault="002F5DC6" w:rsidP="002F5DC6">
            <w:pPr>
              <w:jc w:val="center"/>
              <w:rPr>
                <w:rFonts w:cs="Calibri"/>
                <w:iCs/>
                <w:color w:val="000000"/>
                <w:sz w:val="18"/>
                <w:szCs w:val="18"/>
              </w:rPr>
            </w:pPr>
          </w:p>
        </w:tc>
      </w:tr>
      <w:tr w:rsidR="002F5DC6" w:rsidRPr="002F5DC6" w14:paraId="75596894" w14:textId="77777777" w:rsidTr="001F1F60">
        <w:trPr>
          <w:cantSplit/>
          <w:trHeight w:val="255"/>
        </w:trPr>
        <w:tc>
          <w:tcPr>
            <w:tcW w:w="3402" w:type="dxa"/>
            <w:gridSpan w:val="4"/>
            <w:tcBorders>
              <w:top w:val="nil"/>
              <w:left w:val="nil"/>
              <w:bottom w:val="nil"/>
              <w:right w:val="nil"/>
            </w:tcBorders>
            <w:noWrap/>
          </w:tcPr>
          <w:p w14:paraId="6D1F982E"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Lodgements</w:t>
            </w:r>
          </w:p>
        </w:tc>
        <w:tc>
          <w:tcPr>
            <w:tcW w:w="879" w:type="dxa"/>
            <w:tcBorders>
              <w:top w:val="nil"/>
              <w:left w:val="nil"/>
              <w:bottom w:val="nil"/>
              <w:right w:val="nil"/>
            </w:tcBorders>
            <w:noWrap/>
            <w:vAlign w:val="center"/>
          </w:tcPr>
          <w:p w14:paraId="701E072E" w14:textId="77777777" w:rsidR="002F5DC6" w:rsidRPr="002F5DC6" w:rsidRDefault="002F5DC6" w:rsidP="002F5DC6">
            <w:pPr>
              <w:jc w:val="center"/>
              <w:rPr>
                <w:rFonts w:cs="Calibri"/>
                <w:color w:val="000000"/>
                <w:sz w:val="18"/>
                <w:szCs w:val="18"/>
              </w:rPr>
            </w:pPr>
            <w:r w:rsidRPr="002F5DC6">
              <w:rPr>
                <w:rFonts w:cs="Calibri"/>
                <w:color w:val="000000"/>
                <w:sz w:val="18"/>
                <w:szCs w:val="18"/>
              </w:rPr>
              <w:t>17</w:t>
            </w:r>
          </w:p>
        </w:tc>
        <w:tc>
          <w:tcPr>
            <w:tcW w:w="879" w:type="dxa"/>
            <w:tcBorders>
              <w:top w:val="nil"/>
              <w:left w:val="nil"/>
              <w:bottom w:val="nil"/>
              <w:right w:val="nil"/>
            </w:tcBorders>
            <w:noWrap/>
            <w:vAlign w:val="center"/>
          </w:tcPr>
          <w:p w14:paraId="4B067442" w14:textId="77777777" w:rsidR="002F5DC6" w:rsidRPr="002F5DC6" w:rsidRDefault="002F5DC6" w:rsidP="002F5DC6">
            <w:pPr>
              <w:jc w:val="center"/>
              <w:rPr>
                <w:rFonts w:cs="Calibri"/>
                <w:color w:val="000000"/>
                <w:sz w:val="18"/>
                <w:szCs w:val="18"/>
              </w:rPr>
            </w:pPr>
            <w:r w:rsidRPr="002F5DC6">
              <w:rPr>
                <w:rFonts w:cs="Calibri"/>
                <w:color w:val="000000"/>
                <w:sz w:val="18"/>
                <w:szCs w:val="18"/>
              </w:rPr>
              <w:t>21</w:t>
            </w:r>
          </w:p>
        </w:tc>
        <w:tc>
          <w:tcPr>
            <w:tcW w:w="879" w:type="dxa"/>
            <w:tcBorders>
              <w:top w:val="nil"/>
              <w:left w:val="nil"/>
              <w:bottom w:val="nil"/>
              <w:right w:val="nil"/>
            </w:tcBorders>
            <w:noWrap/>
            <w:vAlign w:val="center"/>
          </w:tcPr>
          <w:p w14:paraId="51A6EE41" w14:textId="77777777" w:rsidR="002F5DC6" w:rsidRPr="002F5DC6" w:rsidRDefault="002F5DC6" w:rsidP="002F5DC6">
            <w:pPr>
              <w:jc w:val="center"/>
              <w:rPr>
                <w:rFonts w:cs="Calibri"/>
                <w:color w:val="000000"/>
                <w:sz w:val="18"/>
                <w:szCs w:val="18"/>
              </w:rPr>
            </w:pPr>
            <w:r w:rsidRPr="002F5DC6">
              <w:rPr>
                <w:rFonts w:cs="Calibri"/>
                <w:color w:val="000000"/>
                <w:sz w:val="18"/>
                <w:szCs w:val="18"/>
              </w:rPr>
              <w:t>30</w:t>
            </w:r>
          </w:p>
        </w:tc>
        <w:tc>
          <w:tcPr>
            <w:tcW w:w="879" w:type="dxa"/>
            <w:tcBorders>
              <w:top w:val="nil"/>
              <w:left w:val="nil"/>
              <w:bottom w:val="nil"/>
              <w:right w:val="nil"/>
            </w:tcBorders>
            <w:noWrap/>
            <w:vAlign w:val="center"/>
          </w:tcPr>
          <w:p w14:paraId="0C0F0B22" w14:textId="77777777" w:rsidR="002F5DC6" w:rsidRPr="002F5DC6" w:rsidRDefault="002F5DC6" w:rsidP="002F5DC6">
            <w:pPr>
              <w:jc w:val="center"/>
              <w:rPr>
                <w:rFonts w:cs="Calibri"/>
                <w:color w:val="000000"/>
                <w:sz w:val="18"/>
                <w:szCs w:val="18"/>
              </w:rPr>
            </w:pPr>
            <w:r w:rsidRPr="002F5DC6">
              <w:rPr>
                <w:rFonts w:cs="Calibri"/>
                <w:color w:val="000000"/>
                <w:sz w:val="18"/>
                <w:szCs w:val="18"/>
              </w:rPr>
              <w:t>27</w:t>
            </w:r>
          </w:p>
        </w:tc>
        <w:tc>
          <w:tcPr>
            <w:tcW w:w="879" w:type="dxa"/>
            <w:tcBorders>
              <w:top w:val="nil"/>
              <w:left w:val="nil"/>
              <w:bottom w:val="nil"/>
              <w:right w:val="nil"/>
            </w:tcBorders>
            <w:noWrap/>
            <w:vAlign w:val="center"/>
          </w:tcPr>
          <w:p w14:paraId="382AD0D3" w14:textId="77777777" w:rsidR="002F5DC6" w:rsidRPr="002F5DC6" w:rsidRDefault="002F5DC6" w:rsidP="002F5DC6">
            <w:pPr>
              <w:jc w:val="center"/>
              <w:rPr>
                <w:rFonts w:cs="Calibri"/>
                <w:color w:val="000000"/>
                <w:sz w:val="18"/>
                <w:szCs w:val="18"/>
              </w:rPr>
            </w:pPr>
            <w:r w:rsidRPr="002F5DC6">
              <w:rPr>
                <w:rFonts w:cs="Calibri"/>
                <w:color w:val="000000"/>
                <w:sz w:val="18"/>
                <w:szCs w:val="18"/>
              </w:rPr>
              <w:t>19</w:t>
            </w:r>
          </w:p>
        </w:tc>
        <w:tc>
          <w:tcPr>
            <w:tcW w:w="1134" w:type="dxa"/>
            <w:tcBorders>
              <w:top w:val="nil"/>
              <w:left w:val="nil"/>
              <w:bottom w:val="nil"/>
              <w:right w:val="nil"/>
            </w:tcBorders>
            <w:noWrap/>
            <w:vAlign w:val="center"/>
          </w:tcPr>
          <w:p w14:paraId="5D99EE57" w14:textId="77777777" w:rsidR="002F5DC6" w:rsidRPr="002F5DC6" w:rsidRDefault="002F5DC6" w:rsidP="002F5DC6">
            <w:pPr>
              <w:jc w:val="center"/>
              <w:rPr>
                <w:rFonts w:cs="Calibri"/>
                <w:color w:val="000000"/>
                <w:sz w:val="18"/>
                <w:szCs w:val="18"/>
              </w:rPr>
            </w:pPr>
            <w:r w:rsidRPr="002F5DC6">
              <w:rPr>
                <w:rFonts w:cs="Calibri"/>
                <w:color w:val="000000"/>
                <w:sz w:val="18"/>
                <w:szCs w:val="18"/>
              </w:rPr>
              <w:t>-29.6%</w:t>
            </w:r>
          </w:p>
        </w:tc>
      </w:tr>
      <w:tr w:rsidR="002F5DC6" w:rsidRPr="002F5DC6" w14:paraId="3185DCF3" w14:textId="77777777" w:rsidTr="001F1F60">
        <w:trPr>
          <w:cantSplit/>
          <w:trHeight w:val="255"/>
        </w:trPr>
        <w:tc>
          <w:tcPr>
            <w:tcW w:w="3402" w:type="dxa"/>
            <w:gridSpan w:val="4"/>
            <w:tcBorders>
              <w:top w:val="nil"/>
              <w:left w:val="nil"/>
              <w:bottom w:val="nil"/>
              <w:right w:val="nil"/>
            </w:tcBorders>
            <w:noWrap/>
          </w:tcPr>
          <w:p w14:paraId="020DE1F7"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Finalisations</w:t>
            </w:r>
          </w:p>
        </w:tc>
        <w:tc>
          <w:tcPr>
            <w:tcW w:w="879" w:type="dxa"/>
            <w:tcBorders>
              <w:top w:val="nil"/>
              <w:left w:val="nil"/>
              <w:bottom w:val="nil"/>
              <w:right w:val="nil"/>
            </w:tcBorders>
            <w:noWrap/>
            <w:vAlign w:val="center"/>
          </w:tcPr>
          <w:p w14:paraId="69A27F4B" w14:textId="77777777" w:rsidR="002F5DC6" w:rsidRPr="002F5DC6" w:rsidRDefault="002F5DC6" w:rsidP="002F5DC6">
            <w:pPr>
              <w:jc w:val="center"/>
              <w:rPr>
                <w:rFonts w:cs="Calibri"/>
                <w:color w:val="000000"/>
                <w:sz w:val="18"/>
                <w:szCs w:val="18"/>
              </w:rPr>
            </w:pPr>
            <w:r w:rsidRPr="002F5DC6">
              <w:rPr>
                <w:rFonts w:cs="Calibri"/>
                <w:color w:val="000000"/>
                <w:sz w:val="18"/>
                <w:szCs w:val="18"/>
              </w:rPr>
              <w:t>10</w:t>
            </w:r>
          </w:p>
        </w:tc>
        <w:tc>
          <w:tcPr>
            <w:tcW w:w="879" w:type="dxa"/>
            <w:tcBorders>
              <w:top w:val="nil"/>
              <w:left w:val="nil"/>
              <w:bottom w:val="nil"/>
              <w:right w:val="nil"/>
            </w:tcBorders>
            <w:noWrap/>
            <w:vAlign w:val="center"/>
          </w:tcPr>
          <w:p w14:paraId="19FA53CA" w14:textId="77777777" w:rsidR="002F5DC6" w:rsidRPr="002F5DC6" w:rsidRDefault="002F5DC6" w:rsidP="002F5DC6">
            <w:pPr>
              <w:jc w:val="center"/>
              <w:rPr>
                <w:rFonts w:cs="Calibri"/>
                <w:color w:val="000000"/>
                <w:sz w:val="18"/>
                <w:szCs w:val="18"/>
              </w:rPr>
            </w:pPr>
            <w:r w:rsidRPr="002F5DC6">
              <w:rPr>
                <w:rFonts w:cs="Calibri"/>
                <w:color w:val="000000"/>
                <w:sz w:val="18"/>
                <w:szCs w:val="18"/>
              </w:rPr>
              <w:t>19</w:t>
            </w:r>
          </w:p>
        </w:tc>
        <w:tc>
          <w:tcPr>
            <w:tcW w:w="879" w:type="dxa"/>
            <w:tcBorders>
              <w:top w:val="nil"/>
              <w:left w:val="nil"/>
              <w:bottom w:val="nil"/>
              <w:right w:val="nil"/>
            </w:tcBorders>
            <w:noWrap/>
            <w:vAlign w:val="center"/>
          </w:tcPr>
          <w:p w14:paraId="336D3A4F" w14:textId="77777777" w:rsidR="002F5DC6" w:rsidRPr="002F5DC6" w:rsidRDefault="002F5DC6" w:rsidP="002F5DC6">
            <w:pPr>
              <w:jc w:val="center"/>
              <w:rPr>
                <w:rFonts w:cs="Calibri"/>
                <w:color w:val="000000"/>
                <w:sz w:val="18"/>
                <w:szCs w:val="18"/>
              </w:rPr>
            </w:pPr>
            <w:r w:rsidRPr="002F5DC6">
              <w:rPr>
                <w:rFonts w:cs="Calibri"/>
                <w:color w:val="000000"/>
                <w:sz w:val="18"/>
                <w:szCs w:val="18"/>
              </w:rPr>
              <w:t>24</w:t>
            </w:r>
          </w:p>
        </w:tc>
        <w:tc>
          <w:tcPr>
            <w:tcW w:w="879" w:type="dxa"/>
            <w:tcBorders>
              <w:top w:val="nil"/>
              <w:left w:val="nil"/>
              <w:bottom w:val="nil"/>
              <w:right w:val="nil"/>
            </w:tcBorders>
            <w:noWrap/>
            <w:vAlign w:val="center"/>
          </w:tcPr>
          <w:p w14:paraId="0062BEF2" w14:textId="77777777" w:rsidR="002F5DC6" w:rsidRPr="002F5DC6" w:rsidRDefault="002F5DC6" w:rsidP="002F5DC6">
            <w:pPr>
              <w:jc w:val="center"/>
              <w:rPr>
                <w:rFonts w:cs="Calibri"/>
                <w:color w:val="000000"/>
                <w:sz w:val="18"/>
                <w:szCs w:val="18"/>
              </w:rPr>
            </w:pPr>
            <w:r w:rsidRPr="002F5DC6">
              <w:rPr>
                <w:rFonts w:cs="Calibri"/>
                <w:color w:val="000000"/>
                <w:sz w:val="18"/>
                <w:szCs w:val="18"/>
              </w:rPr>
              <w:t>23</w:t>
            </w:r>
          </w:p>
        </w:tc>
        <w:tc>
          <w:tcPr>
            <w:tcW w:w="879" w:type="dxa"/>
            <w:tcBorders>
              <w:top w:val="nil"/>
              <w:left w:val="nil"/>
              <w:bottom w:val="nil"/>
              <w:right w:val="nil"/>
            </w:tcBorders>
            <w:noWrap/>
            <w:vAlign w:val="center"/>
          </w:tcPr>
          <w:p w14:paraId="67440003" w14:textId="77777777" w:rsidR="002F5DC6" w:rsidRPr="002F5DC6" w:rsidRDefault="002F5DC6" w:rsidP="002F5DC6">
            <w:pPr>
              <w:jc w:val="center"/>
              <w:rPr>
                <w:rFonts w:cs="Calibri"/>
                <w:color w:val="000000"/>
                <w:sz w:val="18"/>
                <w:szCs w:val="18"/>
              </w:rPr>
            </w:pPr>
            <w:r w:rsidRPr="002F5DC6">
              <w:rPr>
                <w:rFonts w:cs="Calibri"/>
                <w:color w:val="000000"/>
                <w:sz w:val="18"/>
                <w:szCs w:val="18"/>
              </w:rPr>
              <w:t>19</w:t>
            </w:r>
          </w:p>
        </w:tc>
        <w:tc>
          <w:tcPr>
            <w:tcW w:w="1134" w:type="dxa"/>
            <w:tcBorders>
              <w:top w:val="nil"/>
              <w:left w:val="nil"/>
              <w:bottom w:val="nil"/>
              <w:right w:val="nil"/>
            </w:tcBorders>
            <w:noWrap/>
            <w:vAlign w:val="center"/>
          </w:tcPr>
          <w:p w14:paraId="36C1527A" w14:textId="77777777" w:rsidR="002F5DC6" w:rsidRPr="002F5DC6" w:rsidRDefault="002F5DC6" w:rsidP="002F5DC6">
            <w:pPr>
              <w:jc w:val="center"/>
              <w:rPr>
                <w:rFonts w:cs="Calibri"/>
                <w:color w:val="000000"/>
                <w:sz w:val="18"/>
                <w:szCs w:val="18"/>
              </w:rPr>
            </w:pPr>
            <w:r w:rsidRPr="002F5DC6">
              <w:rPr>
                <w:rFonts w:cs="Calibri"/>
                <w:color w:val="000000"/>
                <w:sz w:val="18"/>
                <w:szCs w:val="18"/>
              </w:rPr>
              <w:t>-17.4%</w:t>
            </w:r>
          </w:p>
        </w:tc>
      </w:tr>
      <w:tr w:rsidR="002F5DC6" w:rsidRPr="002F5DC6" w14:paraId="62EA2F10"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777A2CD1"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Other applications regarding FVOs</w:t>
            </w:r>
            <w:r w:rsidRPr="002F5DC6">
              <w:rPr>
                <w:rFonts w:cs="Calibri"/>
                <w:iCs/>
                <w:color w:val="000000"/>
                <w:sz w:val="18"/>
                <w:szCs w:val="18"/>
                <w:vertAlign w:val="superscript"/>
              </w:rPr>
              <w:t>3</w:t>
            </w:r>
          </w:p>
        </w:tc>
        <w:tc>
          <w:tcPr>
            <w:tcW w:w="879" w:type="dxa"/>
            <w:tcBorders>
              <w:top w:val="nil"/>
              <w:left w:val="nil"/>
              <w:bottom w:val="nil"/>
              <w:right w:val="nil"/>
            </w:tcBorders>
            <w:shd w:val="clear" w:color="auto" w:fill="D9D9D9" w:themeFill="background1" w:themeFillShade="D9"/>
            <w:noWrap/>
            <w:vAlign w:val="center"/>
          </w:tcPr>
          <w:p w14:paraId="25164643"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2924763"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20C99302"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701978BC"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1C39A94D" w14:textId="77777777" w:rsidR="002F5DC6" w:rsidRPr="002F5DC6" w:rsidRDefault="002F5DC6" w:rsidP="002F5DC6">
            <w:pPr>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6B20C31D" w14:textId="77777777" w:rsidR="002F5DC6" w:rsidRPr="002F5DC6" w:rsidRDefault="002F5DC6" w:rsidP="002F5DC6">
            <w:pPr>
              <w:jc w:val="center"/>
              <w:rPr>
                <w:rFonts w:cs="Calibri"/>
                <w:iCs/>
                <w:color w:val="000000"/>
                <w:sz w:val="18"/>
                <w:szCs w:val="18"/>
              </w:rPr>
            </w:pPr>
          </w:p>
        </w:tc>
      </w:tr>
      <w:tr w:rsidR="002F5DC6" w:rsidRPr="002F5DC6" w14:paraId="6070F1D8" w14:textId="77777777" w:rsidTr="001F1F60">
        <w:trPr>
          <w:cantSplit/>
          <w:trHeight w:val="255"/>
        </w:trPr>
        <w:tc>
          <w:tcPr>
            <w:tcW w:w="3402" w:type="dxa"/>
            <w:gridSpan w:val="4"/>
            <w:tcBorders>
              <w:top w:val="nil"/>
              <w:left w:val="nil"/>
              <w:bottom w:val="nil"/>
              <w:right w:val="nil"/>
            </w:tcBorders>
            <w:shd w:val="clear" w:color="auto" w:fill="auto"/>
            <w:noWrap/>
          </w:tcPr>
          <w:p w14:paraId="4D1C58A5"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Lodgements</w:t>
            </w:r>
          </w:p>
        </w:tc>
        <w:tc>
          <w:tcPr>
            <w:tcW w:w="879" w:type="dxa"/>
            <w:tcBorders>
              <w:top w:val="nil"/>
              <w:left w:val="nil"/>
              <w:bottom w:val="nil"/>
              <w:right w:val="nil"/>
            </w:tcBorders>
            <w:shd w:val="clear" w:color="auto" w:fill="auto"/>
            <w:noWrap/>
            <w:vAlign w:val="center"/>
          </w:tcPr>
          <w:p w14:paraId="538197FE" w14:textId="77777777" w:rsidR="002F5DC6" w:rsidRPr="002F5DC6" w:rsidRDefault="002F5DC6" w:rsidP="002F5DC6">
            <w:pPr>
              <w:jc w:val="center"/>
              <w:rPr>
                <w:rFonts w:cs="Calibri"/>
                <w:color w:val="000000"/>
                <w:sz w:val="18"/>
                <w:szCs w:val="18"/>
              </w:rPr>
            </w:pPr>
            <w:r w:rsidRPr="002F5DC6">
              <w:rPr>
                <w:rFonts w:cs="Calibri"/>
                <w:color w:val="000000"/>
                <w:sz w:val="18"/>
                <w:szCs w:val="18"/>
              </w:rPr>
              <w:t>3</w:t>
            </w:r>
          </w:p>
        </w:tc>
        <w:tc>
          <w:tcPr>
            <w:tcW w:w="879" w:type="dxa"/>
            <w:tcBorders>
              <w:top w:val="nil"/>
              <w:left w:val="nil"/>
              <w:bottom w:val="nil"/>
              <w:right w:val="nil"/>
            </w:tcBorders>
            <w:shd w:val="clear" w:color="auto" w:fill="auto"/>
            <w:noWrap/>
            <w:vAlign w:val="center"/>
          </w:tcPr>
          <w:p w14:paraId="2DB0D440" w14:textId="77777777" w:rsidR="002F5DC6" w:rsidRPr="002F5DC6" w:rsidRDefault="002F5DC6" w:rsidP="002F5DC6">
            <w:pPr>
              <w:jc w:val="center"/>
              <w:rPr>
                <w:rFonts w:cs="Calibri"/>
                <w:color w:val="000000"/>
                <w:sz w:val="18"/>
                <w:szCs w:val="18"/>
              </w:rPr>
            </w:pPr>
            <w:r w:rsidRPr="002F5DC6">
              <w:rPr>
                <w:rFonts w:cs="Calibri"/>
                <w:color w:val="000000"/>
                <w:sz w:val="18"/>
                <w:szCs w:val="18"/>
              </w:rPr>
              <w:t>1</w:t>
            </w:r>
          </w:p>
        </w:tc>
        <w:tc>
          <w:tcPr>
            <w:tcW w:w="879" w:type="dxa"/>
            <w:tcBorders>
              <w:top w:val="nil"/>
              <w:left w:val="nil"/>
              <w:bottom w:val="nil"/>
              <w:right w:val="nil"/>
            </w:tcBorders>
            <w:shd w:val="clear" w:color="auto" w:fill="auto"/>
            <w:noWrap/>
            <w:vAlign w:val="center"/>
          </w:tcPr>
          <w:p w14:paraId="73CB6115" w14:textId="77777777" w:rsidR="002F5DC6" w:rsidRPr="002F5DC6" w:rsidRDefault="002F5DC6" w:rsidP="002F5DC6">
            <w:pPr>
              <w:jc w:val="center"/>
              <w:rPr>
                <w:rFonts w:cs="Calibri"/>
                <w:color w:val="000000"/>
                <w:sz w:val="18"/>
                <w:szCs w:val="18"/>
              </w:rPr>
            </w:pPr>
            <w:r w:rsidRPr="002F5DC6">
              <w:rPr>
                <w:rFonts w:cs="Calibri"/>
                <w:color w:val="000000"/>
                <w:sz w:val="18"/>
                <w:szCs w:val="18"/>
              </w:rPr>
              <w:t>1</w:t>
            </w:r>
          </w:p>
        </w:tc>
        <w:tc>
          <w:tcPr>
            <w:tcW w:w="879" w:type="dxa"/>
            <w:tcBorders>
              <w:top w:val="nil"/>
              <w:left w:val="nil"/>
              <w:bottom w:val="nil"/>
              <w:right w:val="nil"/>
            </w:tcBorders>
            <w:shd w:val="clear" w:color="auto" w:fill="auto"/>
            <w:noWrap/>
            <w:vAlign w:val="center"/>
          </w:tcPr>
          <w:p w14:paraId="5C58478E" w14:textId="77777777" w:rsidR="002F5DC6" w:rsidRPr="002F5DC6" w:rsidRDefault="002F5DC6" w:rsidP="002F5DC6">
            <w:pPr>
              <w:jc w:val="center"/>
              <w:rPr>
                <w:rFonts w:cs="Calibri"/>
                <w:color w:val="000000"/>
                <w:sz w:val="18"/>
                <w:szCs w:val="18"/>
              </w:rPr>
            </w:pPr>
            <w:r w:rsidRPr="002F5DC6">
              <w:rPr>
                <w:rFonts w:cs="Calibri"/>
                <w:color w:val="000000"/>
                <w:sz w:val="18"/>
                <w:szCs w:val="18"/>
              </w:rPr>
              <w:t>2</w:t>
            </w:r>
          </w:p>
        </w:tc>
        <w:tc>
          <w:tcPr>
            <w:tcW w:w="879" w:type="dxa"/>
            <w:tcBorders>
              <w:top w:val="nil"/>
              <w:left w:val="nil"/>
              <w:bottom w:val="nil"/>
              <w:right w:val="nil"/>
            </w:tcBorders>
            <w:shd w:val="clear" w:color="auto" w:fill="auto"/>
            <w:noWrap/>
            <w:vAlign w:val="center"/>
          </w:tcPr>
          <w:p w14:paraId="41BE0633" w14:textId="77777777" w:rsidR="002F5DC6" w:rsidRPr="002F5DC6" w:rsidRDefault="002F5DC6" w:rsidP="002F5DC6">
            <w:pPr>
              <w:jc w:val="center"/>
              <w:rPr>
                <w:rFonts w:cs="Calibri"/>
                <w:color w:val="000000"/>
                <w:sz w:val="18"/>
                <w:szCs w:val="18"/>
              </w:rPr>
            </w:pPr>
            <w:r w:rsidRPr="002F5DC6">
              <w:rPr>
                <w:rFonts w:cs="Calibri"/>
                <w:color w:val="000000"/>
                <w:sz w:val="18"/>
                <w:szCs w:val="18"/>
              </w:rPr>
              <w:t>4</w:t>
            </w:r>
          </w:p>
        </w:tc>
        <w:tc>
          <w:tcPr>
            <w:tcW w:w="1134" w:type="dxa"/>
            <w:tcBorders>
              <w:top w:val="nil"/>
              <w:left w:val="nil"/>
              <w:bottom w:val="nil"/>
              <w:right w:val="nil"/>
            </w:tcBorders>
            <w:shd w:val="clear" w:color="auto" w:fill="auto"/>
            <w:noWrap/>
            <w:vAlign w:val="center"/>
          </w:tcPr>
          <w:p w14:paraId="3200B6C8" w14:textId="77777777" w:rsidR="002F5DC6" w:rsidRPr="002F5DC6" w:rsidRDefault="002F5DC6" w:rsidP="002F5DC6">
            <w:pPr>
              <w:jc w:val="center"/>
              <w:rPr>
                <w:rFonts w:cs="Calibri"/>
                <w:color w:val="000000"/>
                <w:sz w:val="18"/>
                <w:szCs w:val="18"/>
              </w:rPr>
            </w:pPr>
            <w:r w:rsidRPr="002F5DC6">
              <w:rPr>
                <w:rFonts w:cs="Calibri"/>
                <w:color w:val="000000"/>
                <w:sz w:val="18"/>
                <w:szCs w:val="18"/>
              </w:rPr>
              <w:t>100.0%</w:t>
            </w:r>
          </w:p>
        </w:tc>
      </w:tr>
      <w:tr w:rsidR="002F5DC6" w:rsidRPr="002F5DC6" w14:paraId="13AC54A9" w14:textId="77777777" w:rsidTr="001F1F60">
        <w:trPr>
          <w:cantSplit/>
          <w:trHeight w:val="255"/>
        </w:trPr>
        <w:tc>
          <w:tcPr>
            <w:tcW w:w="3402" w:type="dxa"/>
            <w:gridSpan w:val="4"/>
            <w:tcBorders>
              <w:top w:val="nil"/>
              <w:left w:val="nil"/>
              <w:bottom w:val="nil"/>
              <w:right w:val="nil"/>
            </w:tcBorders>
            <w:shd w:val="clear" w:color="auto" w:fill="auto"/>
            <w:noWrap/>
          </w:tcPr>
          <w:p w14:paraId="67FAC77B"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Finalisations</w:t>
            </w:r>
          </w:p>
        </w:tc>
        <w:tc>
          <w:tcPr>
            <w:tcW w:w="879" w:type="dxa"/>
            <w:tcBorders>
              <w:top w:val="nil"/>
              <w:left w:val="nil"/>
              <w:bottom w:val="nil"/>
              <w:right w:val="nil"/>
            </w:tcBorders>
            <w:shd w:val="clear" w:color="auto" w:fill="auto"/>
            <w:noWrap/>
            <w:vAlign w:val="center"/>
          </w:tcPr>
          <w:p w14:paraId="1AC395A0" w14:textId="77777777" w:rsidR="002F5DC6" w:rsidRPr="002F5DC6" w:rsidRDefault="002F5DC6" w:rsidP="002F5DC6">
            <w:pPr>
              <w:jc w:val="center"/>
              <w:rPr>
                <w:rFonts w:cs="Calibri"/>
                <w:color w:val="000000"/>
                <w:sz w:val="18"/>
                <w:szCs w:val="18"/>
              </w:rPr>
            </w:pPr>
            <w:r w:rsidRPr="002F5DC6">
              <w:rPr>
                <w:rFonts w:cs="Calibri"/>
                <w:color w:val="000000"/>
                <w:sz w:val="18"/>
                <w:szCs w:val="18"/>
              </w:rPr>
              <w:t>3</w:t>
            </w:r>
          </w:p>
        </w:tc>
        <w:tc>
          <w:tcPr>
            <w:tcW w:w="879" w:type="dxa"/>
            <w:tcBorders>
              <w:top w:val="nil"/>
              <w:left w:val="nil"/>
              <w:bottom w:val="nil"/>
              <w:right w:val="nil"/>
            </w:tcBorders>
            <w:shd w:val="clear" w:color="auto" w:fill="auto"/>
            <w:noWrap/>
            <w:vAlign w:val="center"/>
          </w:tcPr>
          <w:p w14:paraId="5C4FC9BB" w14:textId="77777777" w:rsidR="002F5DC6" w:rsidRPr="002F5DC6" w:rsidRDefault="002F5DC6" w:rsidP="002F5DC6">
            <w:pPr>
              <w:jc w:val="center"/>
              <w:rPr>
                <w:rFonts w:cs="Calibri"/>
                <w:color w:val="000000"/>
                <w:sz w:val="18"/>
                <w:szCs w:val="18"/>
              </w:rPr>
            </w:pPr>
            <w:r w:rsidRPr="002F5DC6">
              <w:rPr>
                <w:rFonts w:cs="Calibri"/>
                <w:color w:val="000000"/>
                <w:sz w:val="18"/>
                <w:szCs w:val="18"/>
              </w:rPr>
              <w:t>1</w:t>
            </w:r>
          </w:p>
        </w:tc>
        <w:tc>
          <w:tcPr>
            <w:tcW w:w="879" w:type="dxa"/>
            <w:tcBorders>
              <w:top w:val="nil"/>
              <w:left w:val="nil"/>
              <w:bottom w:val="nil"/>
              <w:right w:val="nil"/>
            </w:tcBorders>
            <w:shd w:val="clear" w:color="auto" w:fill="auto"/>
            <w:noWrap/>
            <w:vAlign w:val="center"/>
          </w:tcPr>
          <w:p w14:paraId="7BFAE405" w14:textId="77777777" w:rsidR="002F5DC6" w:rsidRPr="002F5DC6" w:rsidRDefault="002F5DC6" w:rsidP="002F5DC6">
            <w:pPr>
              <w:jc w:val="center"/>
              <w:rPr>
                <w:rFonts w:cs="Calibri"/>
                <w:color w:val="000000"/>
                <w:sz w:val="18"/>
                <w:szCs w:val="18"/>
              </w:rPr>
            </w:pPr>
            <w:r w:rsidRPr="002F5DC6">
              <w:rPr>
                <w:rFonts w:cs="Calibri"/>
                <w:color w:val="000000"/>
                <w:sz w:val="18"/>
                <w:szCs w:val="18"/>
              </w:rPr>
              <w:t>0</w:t>
            </w:r>
          </w:p>
        </w:tc>
        <w:tc>
          <w:tcPr>
            <w:tcW w:w="879" w:type="dxa"/>
            <w:tcBorders>
              <w:top w:val="nil"/>
              <w:left w:val="nil"/>
              <w:bottom w:val="nil"/>
              <w:right w:val="nil"/>
            </w:tcBorders>
            <w:shd w:val="clear" w:color="auto" w:fill="auto"/>
            <w:noWrap/>
            <w:vAlign w:val="center"/>
          </w:tcPr>
          <w:p w14:paraId="630A92E5" w14:textId="77777777" w:rsidR="002F5DC6" w:rsidRPr="002F5DC6" w:rsidRDefault="002F5DC6" w:rsidP="002F5DC6">
            <w:pPr>
              <w:jc w:val="center"/>
              <w:rPr>
                <w:rFonts w:cs="Calibri"/>
                <w:color w:val="000000"/>
                <w:sz w:val="18"/>
                <w:szCs w:val="18"/>
              </w:rPr>
            </w:pPr>
            <w:r w:rsidRPr="002F5DC6">
              <w:rPr>
                <w:rFonts w:cs="Calibri"/>
                <w:color w:val="000000"/>
                <w:sz w:val="18"/>
                <w:szCs w:val="18"/>
              </w:rPr>
              <w:t>2</w:t>
            </w:r>
          </w:p>
        </w:tc>
        <w:tc>
          <w:tcPr>
            <w:tcW w:w="879" w:type="dxa"/>
            <w:tcBorders>
              <w:top w:val="nil"/>
              <w:left w:val="nil"/>
              <w:bottom w:val="nil"/>
              <w:right w:val="nil"/>
            </w:tcBorders>
            <w:shd w:val="clear" w:color="auto" w:fill="auto"/>
            <w:noWrap/>
            <w:vAlign w:val="center"/>
          </w:tcPr>
          <w:p w14:paraId="27B2376E" w14:textId="77777777" w:rsidR="002F5DC6" w:rsidRPr="002F5DC6" w:rsidRDefault="002F5DC6" w:rsidP="002F5DC6">
            <w:pPr>
              <w:jc w:val="center"/>
              <w:rPr>
                <w:rFonts w:cs="Calibri"/>
                <w:color w:val="000000"/>
                <w:sz w:val="18"/>
                <w:szCs w:val="18"/>
              </w:rPr>
            </w:pPr>
            <w:r w:rsidRPr="002F5DC6">
              <w:rPr>
                <w:rFonts w:cs="Calibri"/>
                <w:color w:val="000000"/>
                <w:sz w:val="18"/>
                <w:szCs w:val="18"/>
              </w:rPr>
              <w:t>1</w:t>
            </w:r>
          </w:p>
        </w:tc>
        <w:tc>
          <w:tcPr>
            <w:tcW w:w="1134" w:type="dxa"/>
            <w:tcBorders>
              <w:top w:val="nil"/>
              <w:left w:val="nil"/>
              <w:bottom w:val="nil"/>
              <w:right w:val="nil"/>
            </w:tcBorders>
            <w:shd w:val="clear" w:color="auto" w:fill="auto"/>
            <w:noWrap/>
            <w:vAlign w:val="center"/>
          </w:tcPr>
          <w:p w14:paraId="7B054170" w14:textId="77777777" w:rsidR="002F5DC6" w:rsidRPr="002F5DC6" w:rsidRDefault="002F5DC6" w:rsidP="002F5DC6">
            <w:pPr>
              <w:jc w:val="center"/>
              <w:rPr>
                <w:rFonts w:cs="Calibri"/>
                <w:color w:val="000000"/>
                <w:sz w:val="18"/>
                <w:szCs w:val="18"/>
              </w:rPr>
            </w:pPr>
            <w:r w:rsidRPr="002F5DC6">
              <w:rPr>
                <w:rFonts w:cs="Calibri"/>
                <w:color w:val="000000"/>
                <w:sz w:val="18"/>
                <w:szCs w:val="18"/>
              </w:rPr>
              <w:t>-50.0%</w:t>
            </w:r>
          </w:p>
        </w:tc>
      </w:tr>
      <w:tr w:rsidR="002F5DC6" w:rsidRPr="002F5DC6" w14:paraId="39ED479B"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55388B52" w14:textId="77777777" w:rsidR="002F5DC6" w:rsidRPr="002F5DC6" w:rsidRDefault="002F5DC6" w:rsidP="002F5DC6">
            <w:pPr>
              <w:widowControl w:val="0"/>
              <w:rPr>
                <w:rFonts w:cs="Calibri"/>
                <w:iCs/>
                <w:color w:val="000000"/>
                <w:sz w:val="18"/>
                <w:szCs w:val="18"/>
              </w:rPr>
            </w:pPr>
            <w:r w:rsidRPr="002F5DC6">
              <w:rPr>
                <w:rFonts w:cs="Calibri"/>
                <w:iCs/>
                <w:color w:val="000000"/>
                <w:sz w:val="18"/>
                <w:szCs w:val="18"/>
              </w:rPr>
              <w:t>Breach of FVOs and Police FVOs</w:t>
            </w:r>
            <w:r w:rsidRPr="002F5DC6">
              <w:rPr>
                <w:rFonts w:cs="Calibri"/>
                <w:iCs/>
                <w:color w:val="000000"/>
                <w:sz w:val="18"/>
                <w:szCs w:val="18"/>
                <w:vertAlign w:val="superscript"/>
              </w:rPr>
              <w:t>4</w:t>
            </w:r>
          </w:p>
        </w:tc>
        <w:tc>
          <w:tcPr>
            <w:tcW w:w="879" w:type="dxa"/>
            <w:tcBorders>
              <w:top w:val="nil"/>
              <w:left w:val="nil"/>
              <w:bottom w:val="nil"/>
              <w:right w:val="nil"/>
            </w:tcBorders>
            <w:shd w:val="clear" w:color="auto" w:fill="D9D9D9" w:themeFill="background1" w:themeFillShade="D9"/>
            <w:noWrap/>
            <w:vAlign w:val="center"/>
          </w:tcPr>
          <w:p w14:paraId="75459DE8"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0AC7B450"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2A5D0B40"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4E8553D7" w14:textId="77777777" w:rsidR="002F5DC6" w:rsidRPr="002F5DC6" w:rsidRDefault="002F5DC6" w:rsidP="002F5DC6">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BEE44C8" w14:textId="77777777" w:rsidR="002F5DC6" w:rsidRPr="002F5DC6" w:rsidRDefault="002F5DC6" w:rsidP="002F5DC6">
            <w:pPr>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2ED19927" w14:textId="77777777" w:rsidR="002F5DC6" w:rsidRPr="002F5DC6" w:rsidRDefault="002F5DC6" w:rsidP="002F5DC6">
            <w:pPr>
              <w:jc w:val="center"/>
              <w:rPr>
                <w:rFonts w:cs="Calibri"/>
                <w:iCs/>
                <w:color w:val="000000"/>
                <w:sz w:val="18"/>
                <w:szCs w:val="18"/>
              </w:rPr>
            </w:pPr>
          </w:p>
        </w:tc>
      </w:tr>
      <w:tr w:rsidR="002F5DC6" w:rsidRPr="002F5DC6" w14:paraId="40C74B11" w14:textId="77777777" w:rsidTr="001F1F60">
        <w:trPr>
          <w:cantSplit/>
          <w:trHeight w:val="255"/>
        </w:trPr>
        <w:tc>
          <w:tcPr>
            <w:tcW w:w="3402" w:type="dxa"/>
            <w:gridSpan w:val="4"/>
            <w:tcBorders>
              <w:top w:val="nil"/>
              <w:left w:val="nil"/>
              <w:bottom w:val="nil"/>
              <w:right w:val="nil"/>
            </w:tcBorders>
            <w:noWrap/>
          </w:tcPr>
          <w:p w14:paraId="5EE0E85D"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Lodgements</w:t>
            </w:r>
          </w:p>
        </w:tc>
        <w:tc>
          <w:tcPr>
            <w:tcW w:w="879" w:type="dxa"/>
            <w:tcBorders>
              <w:top w:val="nil"/>
              <w:left w:val="nil"/>
              <w:bottom w:val="nil"/>
              <w:right w:val="nil"/>
            </w:tcBorders>
            <w:noWrap/>
            <w:vAlign w:val="center"/>
          </w:tcPr>
          <w:p w14:paraId="753F1691" w14:textId="77777777" w:rsidR="002F5DC6" w:rsidRPr="002F5DC6" w:rsidRDefault="002F5DC6" w:rsidP="002F5DC6">
            <w:pPr>
              <w:jc w:val="center"/>
              <w:rPr>
                <w:rFonts w:cs="Calibri"/>
                <w:color w:val="000000"/>
                <w:sz w:val="18"/>
                <w:szCs w:val="18"/>
              </w:rPr>
            </w:pPr>
            <w:r w:rsidRPr="002F5DC6">
              <w:rPr>
                <w:rFonts w:cs="Calibri"/>
                <w:color w:val="000000"/>
                <w:sz w:val="18"/>
                <w:szCs w:val="18"/>
              </w:rPr>
              <w:t>492</w:t>
            </w:r>
          </w:p>
        </w:tc>
        <w:tc>
          <w:tcPr>
            <w:tcW w:w="879" w:type="dxa"/>
            <w:tcBorders>
              <w:top w:val="nil"/>
              <w:left w:val="nil"/>
              <w:bottom w:val="nil"/>
              <w:right w:val="nil"/>
            </w:tcBorders>
            <w:noWrap/>
            <w:vAlign w:val="center"/>
          </w:tcPr>
          <w:p w14:paraId="1051B044" w14:textId="77777777" w:rsidR="002F5DC6" w:rsidRPr="002F5DC6" w:rsidRDefault="002F5DC6" w:rsidP="002F5DC6">
            <w:pPr>
              <w:jc w:val="center"/>
              <w:rPr>
                <w:rFonts w:cs="Calibri"/>
                <w:color w:val="000000"/>
                <w:sz w:val="18"/>
                <w:szCs w:val="18"/>
              </w:rPr>
            </w:pPr>
            <w:r w:rsidRPr="002F5DC6">
              <w:rPr>
                <w:rFonts w:cs="Calibri"/>
                <w:color w:val="000000"/>
                <w:sz w:val="18"/>
                <w:szCs w:val="18"/>
              </w:rPr>
              <w:t>552</w:t>
            </w:r>
          </w:p>
        </w:tc>
        <w:tc>
          <w:tcPr>
            <w:tcW w:w="879" w:type="dxa"/>
            <w:tcBorders>
              <w:top w:val="nil"/>
              <w:left w:val="nil"/>
              <w:bottom w:val="nil"/>
              <w:right w:val="nil"/>
            </w:tcBorders>
            <w:noWrap/>
            <w:vAlign w:val="center"/>
          </w:tcPr>
          <w:p w14:paraId="28E3D049" w14:textId="77777777" w:rsidR="002F5DC6" w:rsidRPr="002F5DC6" w:rsidRDefault="002F5DC6" w:rsidP="002F5DC6">
            <w:pPr>
              <w:jc w:val="center"/>
              <w:rPr>
                <w:rFonts w:cs="Calibri"/>
                <w:color w:val="000000"/>
                <w:sz w:val="18"/>
                <w:szCs w:val="18"/>
              </w:rPr>
            </w:pPr>
            <w:r w:rsidRPr="002F5DC6">
              <w:rPr>
                <w:rFonts w:cs="Calibri"/>
                <w:color w:val="000000"/>
                <w:sz w:val="18"/>
                <w:szCs w:val="18"/>
              </w:rPr>
              <w:t>738</w:t>
            </w:r>
          </w:p>
        </w:tc>
        <w:tc>
          <w:tcPr>
            <w:tcW w:w="879" w:type="dxa"/>
            <w:tcBorders>
              <w:top w:val="nil"/>
              <w:left w:val="nil"/>
              <w:bottom w:val="nil"/>
              <w:right w:val="nil"/>
            </w:tcBorders>
            <w:noWrap/>
            <w:vAlign w:val="center"/>
          </w:tcPr>
          <w:p w14:paraId="46BA411C" w14:textId="77777777" w:rsidR="002F5DC6" w:rsidRPr="002F5DC6" w:rsidRDefault="002F5DC6" w:rsidP="002F5DC6">
            <w:pPr>
              <w:jc w:val="center"/>
              <w:rPr>
                <w:rFonts w:cs="Calibri"/>
                <w:color w:val="000000"/>
                <w:sz w:val="18"/>
                <w:szCs w:val="18"/>
              </w:rPr>
            </w:pPr>
            <w:r w:rsidRPr="002F5DC6">
              <w:rPr>
                <w:rFonts w:cs="Calibri"/>
                <w:color w:val="000000"/>
                <w:sz w:val="18"/>
                <w:szCs w:val="18"/>
              </w:rPr>
              <w:t>760</w:t>
            </w:r>
          </w:p>
        </w:tc>
        <w:tc>
          <w:tcPr>
            <w:tcW w:w="879" w:type="dxa"/>
            <w:tcBorders>
              <w:top w:val="nil"/>
              <w:left w:val="nil"/>
              <w:bottom w:val="nil"/>
              <w:right w:val="nil"/>
            </w:tcBorders>
            <w:noWrap/>
            <w:vAlign w:val="center"/>
          </w:tcPr>
          <w:p w14:paraId="726098AC" w14:textId="77777777" w:rsidR="002F5DC6" w:rsidRPr="002F5DC6" w:rsidRDefault="002F5DC6" w:rsidP="002F5DC6">
            <w:pPr>
              <w:jc w:val="center"/>
              <w:rPr>
                <w:rFonts w:cs="Calibri"/>
                <w:color w:val="000000"/>
                <w:sz w:val="18"/>
                <w:szCs w:val="18"/>
              </w:rPr>
            </w:pPr>
            <w:r w:rsidRPr="002F5DC6">
              <w:rPr>
                <w:rFonts w:cs="Calibri"/>
                <w:color w:val="000000"/>
                <w:sz w:val="18"/>
                <w:szCs w:val="18"/>
              </w:rPr>
              <w:t>803</w:t>
            </w:r>
          </w:p>
        </w:tc>
        <w:tc>
          <w:tcPr>
            <w:tcW w:w="1134" w:type="dxa"/>
            <w:tcBorders>
              <w:top w:val="nil"/>
              <w:left w:val="nil"/>
              <w:bottom w:val="nil"/>
              <w:right w:val="nil"/>
            </w:tcBorders>
            <w:noWrap/>
            <w:vAlign w:val="center"/>
          </w:tcPr>
          <w:p w14:paraId="7ECE05F4" w14:textId="77777777" w:rsidR="002F5DC6" w:rsidRPr="002F5DC6" w:rsidRDefault="002F5DC6" w:rsidP="002F5DC6">
            <w:pPr>
              <w:jc w:val="center"/>
              <w:rPr>
                <w:rFonts w:cs="Calibri"/>
                <w:color w:val="000000"/>
                <w:sz w:val="18"/>
                <w:szCs w:val="18"/>
              </w:rPr>
            </w:pPr>
            <w:r w:rsidRPr="002F5DC6">
              <w:rPr>
                <w:rFonts w:cs="Calibri"/>
                <w:color w:val="000000"/>
                <w:sz w:val="18"/>
                <w:szCs w:val="18"/>
              </w:rPr>
              <w:t>5.7%</w:t>
            </w:r>
          </w:p>
        </w:tc>
      </w:tr>
      <w:tr w:rsidR="002F5DC6" w:rsidRPr="002F5DC6" w14:paraId="6ED457A6" w14:textId="77777777" w:rsidTr="001F1F60">
        <w:trPr>
          <w:cantSplit/>
          <w:trHeight w:val="255"/>
        </w:trPr>
        <w:tc>
          <w:tcPr>
            <w:tcW w:w="3402" w:type="dxa"/>
            <w:gridSpan w:val="4"/>
            <w:tcBorders>
              <w:top w:val="nil"/>
              <w:left w:val="nil"/>
              <w:bottom w:val="single" w:sz="4" w:space="0" w:color="auto"/>
              <w:right w:val="nil"/>
            </w:tcBorders>
            <w:noWrap/>
          </w:tcPr>
          <w:p w14:paraId="38979488" w14:textId="77777777" w:rsidR="002F5DC6" w:rsidRPr="002F5DC6" w:rsidRDefault="002F5DC6" w:rsidP="002F5DC6">
            <w:pPr>
              <w:widowControl w:val="0"/>
              <w:rPr>
                <w:rFonts w:cs="Calibri"/>
                <w:color w:val="000000"/>
                <w:sz w:val="18"/>
                <w:szCs w:val="18"/>
              </w:rPr>
            </w:pPr>
            <w:r w:rsidRPr="002F5DC6">
              <w:rPr>
                <w:rFonts w:cs="Calibri"/>
                <w:iCs/>
                <w:color w:val="000000"/>
                <w:sz w:val="18"/>
                <w:szCs w:val="18"/>
              </w:rPr>
              <w:t xml:space="preserve">   Finalisations</w:t>
            </w:r>
          </w:p>
        </w:tc>
        <w:tc>
          <w:tcPr>
            <w:tcW w:w="879" w:type="dxa"/>
            <w:tcBorders>
              <w:top w:val="nil"/>
              <w:left w:val="nil"/>
              <w:bottom w:val="single" w:sz="4" w:space="0" w:color="auto"/>
              <w:right w:val="nil"/>
            </w:tcBorders>
            <w:noWrap/>
            <w:vAlign w:val="center"/>
          </w:tcPr>
          <w:p w14:paraId="2A29F894" w14:textId="77777777" w:rsidR="002F5DC6" w:rsidRPr="002F5DC6" w:rsidRDefault="002F5DC6" w:rsidP="002F5DC6">
            <w:pPr>
              <w:jc w:val="center"/>
              <w:rPr>
                <w:rFonts w:cs="Calibri"/>
                <w:color w:val="000000"/>
                <w:sz w:val="18"/>
                <w:szCs w:val="18"/>
              </w:rPr>
            </w:pPr>
            <w:r w:rsidRPr="002F5DC6">
              <w:rPr>
                <w:rFonts w:cs="Calibri"/>
                <w:color w:val="000000"/>
                <w:sz w:val="18"/>
                <w:szCs w:val="18"/>
              </w:rPr>
              <w:t>438</w:t>
            </w:r>
          </w:p>
        </w:tc>
        <w:tc>
          <w:tcPr>
            <w:tcW w:w="879" w:type="dxa"/>
            <w:tcBorders>
              <w:top w:val="nil"/>
              <w:left w:val="nil"/>
              <w:bottom w:val="single" w:sz="4" w:space="0" w:color="auto"/>
              <w:right w:val="nil"/>
            </w:tcBorders>
            <w:noWrap/>
            <w:vAlign w:val="center"/>
          </w:tcPr>
          <w:p w14:paraId="27321112" w14:textId="77777777" w:rsidR="002F5DC6" w:rsidRPr="002F5DC6" w:rsidRDefault="002F5DC6" w:rsidP="002F5DC6">
            <w:pPr>
              <w:jc w:val="center"/>
              <w:rPr>
                <w:rFonts w:cs="Calibri"/>
                <w:color w:val="000000"/>
                <w:sz w:val="18"/>
                <w:szCs w:val="18"/>
              </w:rPr>
            </w:pPr>
            <w:r w:rsidRPr="002F5DC6">
              <w:rPr>
                <w:rFonts w:cs="Calibri"/>
                <w:color w:val="000000"/>
                <w:sz w:val="18"/>
                <w:szCs w:val="18"/>
              </w:rPr>
              <w:t>506</w:t>
            </w:r>
          </w:p>
        </w:tc>
        <w:tc>
          <w:tcPr>
            <w:tcW w:w="879" w:type="dxa"/>
            <w:tcBorders>
              <w:top w:val="nil"/>
              <w:left w:val="nil"/>
              <w:bottom w:val="single" w:sz="4" w:space="0" w:color="auto"/>
              <w:right w:val="nil"/>
            </w:tcBorders>
            <w:noWrap/>
            <w:vAlign w:val="center"/>
          </w:tcPr>
          <w:p w14:paraId="46C5A812" w14:textId="77777777" w:rsidR="002F5DC6" w:rsidRPr="002F5DC6" w:rsidRDefault="002F5DC6" w:rsidP="002F5DC6">
            <w:pPr>
              <w:jc w:val="center"/>
              <w:rPr>
                <w:rFonts w:cs="Calibri"/>
                <w:color w:val="000000"/>
                <w:sz w:val="18"/>
                <w:szCs w:val="18"/>
              </w:rPr>
            </w:pPr>
            <w:r w:rsidRPr="002F5DC6">
              <w:rPr>
                <w:rFonts w:cs="Calibri"/>
                <w:color w:val="000000"/>
                <w:sz w:val="18"/>
                <w:szCs w:val="18"/>
              </w:rPr>
              <w:t>622</w:t>
            </w:r>
          </w:p>
        </w:tc>
        <w:tc>
          <w:tcPr>
            <w:tcW w:w="879" w:type="dxa"/>
            <w:tcBorders>
              <w:top w:val="nil"/>
              <w:left w:val="nil"/>
              <w:bottom w:val="single" w:sz="4" w:space="0" w:color="auto"/>
              <w:right w:val="nil"/>
            </w:tcBorders>
            <w:noWrap/>
            <w:vAlign w:val="center"/>
          </w:tcPr>
          <w:p w14:paraId="27CD8DC9" w14:textId="77777777" w:rsidR="002F5DC6" w:rsidRPr="002F5DC6" w:rsidRDefault="002F5DC6" w:rsidP="002F5DC6">
            <w:pPr>
              <w:jc w:val="center"/>
              <w:rPr>
                <w:rFonts w:cs="Calibri"/>
                <w:color w:val="000000"/>
                <w:sz w:val="18"/>
                <w:szCs w:val="18"/>
              </w:rPr>
            </w:pPr>
            <w:r w:rsidRPr="002F5DC6">
              <w:rPr>
                <w:rFonts w:cs="Calibri"/>
                <w:color w:val="000000"/>
                <w:sz w:val="18"/>
                <w:szCs w:val="18"/>
              </w:rPr>
              <w:t>689</w:t>
            </w:r>
          </w:p>
        </w:tc>
        <w:tc>
          <w:tcPr>
            <w:tcW w:w="879" w:type="dxa"/>
            <w:tcBorders>
              <w:top w:val="nil"/>
              <w:left w:val="nil"/>
              <w:bottom w:val="single" w:sz="4" w:space="0" w:color="auto"/>
              <w:right w:val="nil"/>
            </w:tcBorders>
            <w:noWrap/>
            <w:vAlign w:val="center"/>
          </w:tcPr>
          <w:p w14:paraId="13C52A4B" w14:textId="77777777" w:rsidR="002F5DC6" w:rsidRPr="002F5DC6" w:rsidRDefault="002F5DC6" w:rsidP="002F5DC6">
            <w:pPr>
              <w:jc w:val="center"/>
              <w:rPr>
                <w:rFonts w:cs="Calibri"/>
                <w:color w:val="000000"/>
                <w:sz w:val="18"/>
                <w:szCs w:val="18"/>
              </w:rPr>
            </w:pPr>
            <w:r w:rsidRPr="002F5DC6">
              <w:rPr>
                <w:rFonts w:cs="Calibri"/>
                <w:color w:val="000000"/>
                <w:sz w:val="18"/>
                <w:szCs w:val="18"/>
              </w:rPr>
              <w:t>748</w:t>
            </w:r>
          </w:p>
        </w:tc>
        <w:tc>
          <w:tcPr>
            <w:tcW w:w="1134" w:type="dxa"/>
            <w:tcBorders>
              <w:top w:val="nil"/>
              <w:left w:val="nil"/>
              <w:bottom w:val="single" w:sz="4" w:space="0" w:color="auto"/>
              <w:right w:val="nil"/>
            </w:tcBorders>
            <w:noWrap/>
            <w:vAlign w:val="center"/>
          </w:tcPr>
          <w:p w14:paraId="0DF443A9" w14:textId="77777777" w:rsidR="002F5DC6" w:rsidRPr="002F5DC6" w:rsidRDefault="002F5DC6" w:rsidP="002F5DC6">
            <w:pPr>
              <w:jc w:val="center"/>
              <w:rPr>
                <w:rFonts w:cs="Calibri"/>
                <w:color w:val="000000"/>
                <w:sz w:val="18"/>
                <w:szCs w:val="18"/>
              </w:rPr>
            </w:pPr>
            <w:r w:rsidRPr="002F5DC6">
              <w:rPr>
                <w:rFonts w:cs="Calibri"/>
                <w:color w:val="000000"/>
                <w:sz w:val="18"/>
                <w:szCs w:val="18"/>
              </w:rPr>
              <w:t>8.6%</w:t>
            </w:r>
          </w:p>
        </w:tc>
      </w:tr>
      <w:tr w:rsidR="002F5DC6" w:rsidRPr="002F5DC6" w14:paraId="2296ED93" w14:textId="77777777" w:rsidTr="001F1F60">
        <w:trPr>
          <w:cantSplit/>
          <w:trHeight w:val="20"/>
        </w:trPr>
        <w:tc>
          <w:tcPr>
            <w:tcW w:w="8931" w:type="dxa"/>
            <w:gridSpan w:val="10"/>
            <w:tcBorders>
              <w:top w:val="single" w:sz="4" w:space="0" w:color="auto"/>
              <w:left w:val="nil"/>
              <w:bottom w:val="nil"/>
              <w:right w:val="nil"/>
            </w:tcBorders>
            <w:noWrap/>
            <w:vAlign w:val="center"/>
          </w:tcPr>
          <w:p w14:paraId="6333706A" w14:textId="721E5AA7" w:rsidR="002F5DC6" w:rsidRPr="002F5DC6" w:rsidRDefault="002F5DC6" w:rsidP="002F5DC6">
            <w:pPr>
              <w:rPr>
                <w:rFonts w:cs="Calibri"/>
                <w:iCs/>
                <w:color w:val="000000"/>
                <w:sz w:val="18"/>
                <w:szCs w:val="18"/>
                <w:vertAlign w:val="superscript"/>
              </w:rPr>
            </w:pPr>
            <w:r w:rsidRPr="002F5DC6">
              <w:rPr>
                <w:rFonts w:cs="Calibri"/>
                <w:iCs/>
                <w:color w:val="000000"/>
                <w:sz w:val="18"/>
                <w:szCs w:val="18"/>
                <w:vertAlign w:val="superscript"/>
              </w:rPr>
              <w:t xml:space="preserve">1 </w:t>
            </w:r>
            <w:r>
              <w:rPr>
                <w:rFonts w:cs="Calibri"/>
                <w:color w:val="000000"/>
                <w:sz w:val="15"/>
                <w:szCs w:val="15"/>
              </w:rPr>
              <w:t>R</w:t>
            </w:r>
            <w:r w:rsidRPr="002F5DC6">
              <w:rPr>
                <w:rFonts w:cs="Calibri"/>
                <w:color w:val="000000"/>
                <w:sz w:val="15"/>
                <w:szCs w:val="15"/>
              </w:rPr>
              <w:t xml:space="preserve">eported in the 2016-17 annual report under the separate application type categories of ‘to extend a Family Violence Order’ and ‘to vary a family violence order’. From 2017-18, this category also includes applications to vary an Interstate Domestic Violence Order (Domestic Violence Orders (National Recognition) Act 2016, Section 25). </w:t>
            </w:r>
          </w:p>
          <w:p w14:paraId="476C8F1D" w14:textId="3E10A812" w:rsidR="002F5DC6" w:rsidRPr="002F5DC6" w:rsidRDefault="002F5DC6" w:rsidP="002F5DC6">
            <w:pPr>
              <w:rPr>
                <w:rFonts w:cs="Calibri"/>
                <w:color w:val="000000"/>
                <w:sz w:val="15"/>
                <w:szCs w:val="15"/>
              </w:rPr>
            </w:pPr>
            <w:r w:rsidRPr="002F5DC6">
              <w:rPr>
                <w:rFonts w:cs="Calibri"/>
                <w:iCs/>
                <w:color w:val="000000"/>
                <w:sz w:val="18"/>
                <w:szCs w:val="18"/>
                <w:vertAlign w:val="superscript"/>
              </w:rPr>
              <w:t xml:space="preserve">2 </w:t>
            </w:r>
            <w:r>
              <w:rPr>
                <w:rFonts w:cs="Calibri"/>
                <w:color w:val="000000"/>
                <w:sz w:val="15"/>
                <w:szCs w:val="15"/>
              </w:rPr>
              <w:t>R</w:t>
            </w:r>
            <w:r w:rsidRPr="002F5DC6">
              <w:rPr>
                <w:rFonts w:cs="Calibri"/>
                <w:color w:val="000000"/>
                <w:sz w:val="15"/>
                <w:szCs w:val="15"/>
              </w:rPr>
              <w:t xml:space="preserve">eported in the 2016-17 annual report under the separate application type categories of ‘to extend a Police Family Violence Order’ and ‘to vary a Police Family Violence Order’ under the Family Violence Act 2004. </w:t>
            </w:r>
          </w:p>
          <w:p w14:paraId="2ABB2800" w14:textId="77777777" w:rsidR="002F5DC6" w:rsidRPr="002F5DC6" w:rsidRDefault="002F5DC6" w:rsidP="002F5DC6">
            <w:pPr>
              <w:rPr>
                <w:rFonts w:cs="Calibri"/>
                <w:iCs/>
                <w:color w:val="000000"/>
                <w:sz w:val="18"/>
                <w:szCs w:val="18"/>
                <w:vertAlign w:val="superscript"/>
              </w:rPr>
            </w:pPr>
            <w:r w:rsidRPr="002F5DC6">
              <w:rPr>
                <w:rFonts w:cs="Calibri"/>
                <w:iCs/>
                <w:color w:val="000000"/>
                <w:sz w:val="18"/>
                <w:szCs w:val="18"/>
                <w:vertAlign w:val="superscript"/>
              </w:rPr>
              <w:t xml:space="preserve">3 </w:t>
            </w:r>
            <w:r w:rsidRPr="002F5DC6">
              <w:rPr>
                <w:rFonts w:cs="Calibri"/>
                <w:color w:val="000000"/>
                <w:sz w:val="15"/>
                <w:szCs w:val="15"/>
              </w:rPr>
              <w:t>This is a new application category in 2017-18 that reports applications for restriction of publication (Family Violence Act 2004, Section 32(1)) and other family and domestic violence applications not further classified.</w:t>
            </w:r>
          </w:p>
          <w:p w14:paraId="68FA4105" w14:textId="77777777" w:rsidR="002F5DC6" w:rsidRPr="002F5DC6" w:rsidRDefault="002F5DC6" w:rsidP="002F5DC6">
            <w:pPr>
              <w:rPr>
                <w:rFonts w:cs="Calibri"/>
                <w:iCs/>
                <w:color w:val="000000"/>
                <w:sz w:val="15"/>
                <w:szCs w:val="15"/>
              </w:rPr>
            </w:pPr>
            <w:r w:rsidRPr="002F5DC6">
              <w:rPr>
                <w:rFonts w:cs="Calibri"/>
                <w:iCs/>
                <w:color w:val="000000"/>
                <w:sz w:val="18"/>
                <w:szCs w:val="18"/>
                <w:vertAlign w:val="superscript"/>
              </w:rPr>
              <w:t>4 ‘</w:t>
            </w:r>
            <w:r w:rsidRPr="002F5DC6">
              <w:rPr>
                <w:rFonts w:cs="Calibri"/>
                <w:iCs/>
                <w:color w:val="000000"/>
                <w:sz w:val="15"/>
                <w:szCs w:val="15"/>
              </w:rPr>
              <w:t>Breaches’ refer to charges under the Family Violence Act 2004, Section 35 (1).</w:t>
            </w:r>
          </w:p>
          <w:p w14:paraId="639D3F6C" w14:textId="77777777" w:rsidR="002F5DC6" w:rsidRPr="002F5DC6" w:rsidRDefault="002F5DC6" w:rsidP="002F5DC6">
            <w:pPr>
              <w:rPr>
                <w:rFonts w:cs="Calibri"/>
                <w:iCs/>
                <w:color w:val="000000"/>
                <w:sz w:val="18"/>
                <w:szCs w:val="18"/>
              </w:rPr>
            </w:pPr>
            <w:r w:rsidRPr="002F5DC6">
              <w:rPr>
                <w:rFonts w:cs="Calibri"/>
                <w:i/>
                <w:color w:val="000000"/>
                <w:sz w:val="15"/>
                <w:szCs w:val="15"/>
              </w:rPr>
              <w:t>Source: CRIMESStats database</w:t>
            </w:r>
          </w:p>
        </w:tc>
      </w:tr>
    </w:tbl>
    <w:p w14:paraId="1E62F328" w14:textId="77777777" w:rsidR="002F5DC6" w:rsidRDefault="002F5DC6" w:rsidP="00FD6F91">
      <w:pPr>
        <w:keepNext/>
        <w:keepLines/>
        <w:spacing w:before="40"/>
        <w:outlineLvl w:val="2"/>
        <w:rPr>
          <w:rFonts w:eastAsiaTheme="majorEastAsia" w:cstheme="majorBidi"/>
          <w:lang w:eastAsia="en-US"/>
        </w:rPr>
      </w:pPr>
    </w:p>
    <w:p w14:paraId="26D0C91C" w14:textId="77777777" w:rsidR="00FD6F91" w:rsidRPr="00847FAE" w:rsidRDefault="00FD6F91" w:rsidP="00FD6F91">
      <w:pPr>
        <w:rPr>
          <w:rFonts w:eastAsiaTheme="minorHAnsi"/>
          <w:lang w:eastAsia="en-US"/>
        </w:rPr>
      </w:pPr>
    </w:p>
    <w:p w14:paraId="32C0088C" w14:textId="7B9544EE" w:rsidR="00FD6F91" w:rsidRPr="00847FAE" w:rsidRDefault="00FD6F91" w:rsidP="00FD6F91">
      <w:pPr>
        <w:keepNext/>
        <w:keepLines/>
        <w:spacing w:before="40"/>
        <w:outlineLvl w:val="2"/>
        <w:rPr>
          <w:rFonts w:eastAsiaTheme="majorEastAsia" w:cstheme="majorBidi"/>
          <w:lang w:eastAsia="en-US"/>
        </w:rPr>
      </w:pPr>
      <w:bookmarkStart w:id="378" w:name="_Toc1041185"/>
      <w:r w:rsidRPr="00847FAE">
        <w:rPr>
          <w:rFonts w:eastAsiaTheme="majorEastAsia" w:cstheme="majorBidi"/>
          <w:lang w:eastAsia="en-US"/>
        </w:rPr>
        <w:lastRenderedPageBreak/>
        <w:t>Table 7: Child Care and Protection Summary Statistics, 2013-14 to 2017-18</w:t>
      </w:r>
      <w:bookmarkEnd w:id="378"/>
    </w:p>
    <w:tbl>
      <w:tblPr>
        <w:tblStyle w:val="TableGrid1"/>
        <w:tblW w:w="8931" w:type="dxa"/>
        <w:tblLayout w:type="fixed"/>
        <w:tblCellMar>
          <w:top w:w="11" w:type="dxa"/>
          <w:bottom w:w="11" w:type="dxa"/>
        </w:tblCellMar>
        <w:tblLook w:val="04A0" w:firstRow="1" w:lastRow="0" w:firstColumn="1" w:lastColumn="0" w:noHBand="0" w:noVBand="1"/>
        <w:tblCaption w:val="Table7ChildCareandProtectionSummaryStatistics2013_14to2017_18"/>
        <w:tblDescription w:val="Tabledescribingchildcareandprotectionsummarystatisticsfrom2013_2014to2017_2018"/>
      </w:tblPr>
      <w:tblGrid>
        <w:gridCol w:w="326"/>
        <w:gridCol w:w="977"/>
        <w:gridCol w:w="824"/>
        <w:gridCol w:w="1559"/>
        <w:gridCol w:w="822"/>
        <w:gridCol w:w="822"/>
        <w:gridCol w:w="822"/>
        <w:gridCol w:w="822"/>
        <w:gridCol w:w="823"/>
        <w:gridCol w:w="1134"/>
      </w:tblGrid>
      <w:tr w:rsidR="00FD6F91" w:rsidRPr="00847FAE" w14:paraId="1DBC0CCE"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0C14A061"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0E596196"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160181C0"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1559" w:type="dxa"/>
            <w:tcBorders>
              <w:top w:val="single" w:sz="4" w:space="0" w:color="auto"/>
              <w:left w:val="nil"/>
              <w:bottom w:val="single" w:sz="4" w:space="0" w:color="auto"/>
              <w:right w:val="nil"/>
            </w:tcBorders>
            <w:noWrap/>
            <w:hideMark/>
          </w:tcPr>
          <w:p w14:paraId="52DB5673"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822" w:type="dxa"/>
            <w:tcBorders>
              <w:top w:val="single" w:sz="4" w:space="0" w:color="auto"/>
              <w:left w:val="nil"/>
              <w:bottom w:val="single" w:sz="4" w:space="0" w:color="auto"/>
              <w:right w:val="nil"/>
            </w:tcBorders>
            <w:noWrap/>
            <w:vAlign w:val="bottom"/>
            <w:hideMark/>
          </w:tcPr>
          <w:p w14:paraId="4390605B" w14:textId="77777777" w:rsidR="00FD6F91" w:rsidRPr="00847FAE" w:rsidRDefault="00FD6F91" w:rsidP="00FD6F91">
            <w:pPr>
              <w:keepNext/>
              <w:widowControl w:val="0"/>
              <w:jc w:val="right"/>
              <w:rPr>
                <w:rFonts w:cs="Calibri"/>
                <w:bCs/>
                <w:color w:val="000000"/>
                <w:sz w:val="18"/>
                <w:szCs w:val="18"/>
                <w:vertAlign w:val="superscript"/>
              </w:rPr>
            </w:pPr>
            <w:r w:rsidRPr="00847FAE">
              <w:rPr>
                <w:rFonts w:cs="Calibri"/>
                <w:bCs/>
                <w:color w:val="000000"/>
                <w:sz w:val="18"/>
                <w:szCs w:val="18"/>
              </w:rPr>
              <w:t>2013-14</w:t>
            </w:r>
          </w:p>
        </w:tc>
        <w:tc>
          <w:tcPr>
            <w:tcW w:w="822" w:type="dxa"/>
            <w:tcBorders>
              <w:top w:val="single" w:sz="4" w:space="0" w:color="auto"/>
              <w:left w:val="nil"/>
              <w:bottom w:val="single" w:sz="4" w:space="0" w:color="auto"/>
              <w:right w:val="nil"/>
            </w:tcBorders>
            <w:noWrap/>
            <w:vAlign w:val="bottom"/>
            <w:hideMark/>
          </w:tcPr>
          <w:p w14:paraId="14CD5016" w14:textId="77777777" w:rsidR="00FD6F91" w:rsidRPr="00847FAE" w:rsidRDefault="00FD6F91" w:rsidP="00FD6F91">
            <w:pPr>
              <w:keepNext/>
              <w:widowControl w:val="0"/>
              <w:jc w:val="right"/>
              <w:rPr>
                <w:rFonts w:cs="Calibri"/>
                <w:bCs/>
                <w:color w:val="000000"/>
                <w:sz w:val="18"/>
                <w:szCs w:val="18"/>
              </w:rPr>
            </w:pPr>
            <w:r w:rsidRPr="00847FAE">
              <w:rPr>
                <w:rFonts w:cs="Calibri"/>
                <w:bCs/>
                <w:color w:val="000000"/>
                <w:sz w:val="18"/>
                <w:szCs w:val="18"/>
              </w:rPr>
              <w:t>2014-15</w:t>
            </w:r>
          </w:p>
        </w:tc>
        <w:tc>
          <w:tcPr>
            <w:tcW w:w="822" w:type="dxa"/>
            <w:tcBorders>
              <w:top w:val="single" w:sz="4" w:space="0" w:color="auto"/>
              <w:left w:val="nil"/>
              <w:bottom w:val="single" w:sz="4" w:space="0" w:color="auto"/>
              <w:right w:val="nil"/>
            </w:tcBorders>
            <w:noWrap/>
            <w:vAlign w:val="bottom"/>
            <w:hideMark/>
          </w:tcPr>
          <w:p w14:paraId="23862B58" w14:textId="77777777" w:rsidR="00FD6F91" w:rsidRPr="00847FAE" w:rsidRDefault="00FD6F91" w:rsidP="00FD6F91">
            <w:pPr>
              <w:keepNext/>
              <w:widowControl w:val="0"/>
              <w:jc w:val="right"/>
              <w:rPr>
                <w:rFonts w:cs="Calibri"/>
                <w:bCs/>
                <w:color w:val="000000"/>
                <w:sz w:val="18"/>
                <w:szCs w:val="18"/>
              </w:rPr>
            </w:pPr>
            <w:r w:rsidRPr="00847FAE">
              <w:rPr>
                <w:rFonts w:cs="Calibri"/>
                <w:bCs/>
                <w:color w:val="000000"/>
                <w:sz w:val="18"/>
                <w:szCs w:val="18"/>
              </w:rPr>
              <w:t>2015-16</w:t>
            </w:r>
          </w:p>
        </w:tc>
        <w:tc>
          <w:tcPr>
            <w:tcW w:w="822" w:type="dxa"/>
            <w:tcBorders>
              <w:top w:val="single" w:sz="4" w:space="0" w:color="auto"/>
              <w:left w:val="nil"/>
              <w:bottom w:val="single" w:sz="4" w:space="0" w:color="auto"/>
              <w:right w:val="nil"/>
            </w:tcBorders>
            <w:noWrap/>
            <w:vAlign w:val="bottom"/>
            <w:hideMark/>
          </w:tcPr>
          <w:p w14:paraId="6D399027" w14:textId="77777777" w:rsidR="00FD6F91" w:rsidRPr="00847FAE" w:rsidRDefault="00FD6F91" w:rsidP="00FD6F91">
            <w:pPr>
              <w:keepNext/>
              <w:widowControl w:val="0"/>
              <w:jc w:val="right"/>
              <w:rPr>
                <w:rFonts w:cs="Calibri"/>
                <w:bCs/>
                <w:color w:val="000000"/>
                <w:sz w:val="18"/>
                <w:szCs w:val="18"/>
              </w:rPr>
            </w:pPr>
            <w:r w:rsidRPr="00847FAE">
              <w:rPr>
                <w:rFonts w:cs="Calibri"/>
                <w:bCs/>
                <w:color w:val="000000"/>
                <w:sz w:val="18"/>
                <w:szCs w:val="18"/>
              </w:rPr>
              <w:t>2016-17</w:t>
            </w:r>
          </w:p>
        </w:tc>
        <w:tc>
          <w:tcPr>
            <w:tcW w:w="823" w:type="dxa"/>
            <w:tcBorders>
              <w:top w:val="single" w:sz="4" w:space="0" w:color="auto"/>
              <w:left w:val="nil"/>
              <w:bottom w:val="single" w:sz="4" w:space="0" w:color="auto"/>
              <w:right w:val="nil"/>
            </w:tcBorders>
            <w:noWrap/>
            <w:vAlign w:val="bottom"/>
            <w:hideMark/>
          </w:tcPr>
          <w:p w14:paraId="545C296B" w14:textId="77777777" w:rsidR="00FD6F91" w:rsidRPr="00847FAE" w:rsidRDefault="00FD6F91" w:rsidP="00FD6F91">
            <w:pPr>
              <w:keepNext/>
              <w:widowControl w:val="0"/>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left w:val="nil"/>
              <w:bottom w:val="single" w:sz="4" w:space="0" w:color="auto"/>
              <w:right w:val="nil"/>
            </w:tcBorders>
            <w:vAlign w:val="bottom"/>
            <w:hideMark/>
          </w:tcPr>
          <w:p w14:paraId="6EADD472" w14:textId="77777777" w:rsidR="00FD6F91" w:rsidRPr="00847FAE" w:rsidRDefault="00FD6F91" w:rsidP="00FD6F91">
            <w:pPr>
              <w:keepNext/>
              <w:widowControl w:val="0"/>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091B1B42" w14:textId="77777777" w:rsidTr="001F1F60">
        <w:trPr>
          <w:cantSplit/>
          <w:trHeight w:val="255"/>
        </w:trPr>
        <w:tc>
          <w:tcPr>
            <w:tcW w:w="3686" w:type="dxa"/>
            <w:gridSpan w:val="4"/>
            <w:tcBorders>
              <w:top w:val="single" w:sz="4" w:space="0" w:color="auto"/>
              <w:left w:val="nil"/>
              <w:bottom w:val="single" w:sz="4" w:space="0" w:color="auto"/>
              <w:right w:val="nil"/>
            </w:tcBorders>
            <w:noWrap/>
            <w:vAlign w:val="center"/>
            <w:hideMark/>
          </w:tcPr>
          <w:p w14:paraId="52440A2F"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CARE AND PROTECTION ORDERS (CPOs)</w:t>
            </w:r>
          </w:p>
        </w:tc>
        <w:tc>
          <w:tcPr>
            <w:tcW w:w="822" w:type="dxa"/>
            <w:tcBorders>
              <w:top w:val="single" w:sz="4" w:space="0" w:color="auto"/>
              <w:left w:val="nil"/>
              <w:bottom w:val="single" w:sz="4" w:space="0" w:color="auto"/>
              <w:right w:val="nil"/>
            </w:tcBorders>
            <w:noWrap/>
            <w:vAlign w:val="center"/>
            <w:hideMark/>
          </w:tcPr>
          <w:p w14:paraId="174794A1"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822" w:type="dxa"/>
            <w:tcBorders>
              <w:top w:val="single" w:sz="4" w:space="0" w:color="auto"/>
              <w:left w:val="nil"/>
              <w:bottom w:val="single" w:sz="4" w:space="0" w:color="auto"/>
              <w:right w:val="nil"/>
            </w:tcBorders>
            <w:noWrap/>
            <w:vAlign w:val="center"/>
            <w:hideMark/>
          </w:tcPr>
          <w:p w14:paraId="301D9904"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822" w:type="dxa"/>
            <w:tcBorders>
              <w:top w:val="single" w:sz="4" w:space="0" w:color="auto"/>
              <w:left w:val="nil"/>
              <w:bottom w:val="single" w:sz="4" w:space="0" w:color="auto"/>
              <w:right w:val="nil"/>
            </w:tcBorders>
            <w:noWrap/>
            <w:vAlign w:val="center"/>
            <w:hideMark/>
          </w:tcPr>
          <w:p w14:paraId="7A83EE97"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822" w:type="dxa"/>
            <w:tcBorders>
              <w:top w:val="single" w:sz="4" w:space="0" w:color="auto"/>
              <w:left w:val="nil"/>
              <w:bottom w:val="single" w:sz="4" w:space="0" w:color="auto"/>
              <w:right w:val="nil"/>
            </w:tcBorders>
            <w:noWrap/>
            <w:vAlign w:val="center"/>
            <w:hideMark/>
          </w:tcPr>
          <w:p w14:paraId="32650347"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823" w:type="dxa"/>
            <w:tcBorders>
              <w:top w:val="single" w:sz="4" w:space="0" w:color="auto"/>
              <w:left w:val="nil"/>
              <w:bottom w:val="single" w:sz="4" w:space="0" w:color="auto"/>
              <w:right w:val="nil"/>
            </w:tcBorders>
            <w:noWrap/>
            <w:vAlign w:val="center"/>
            <w:hideMark/>
          </w:tcPr>
          <w:p w14:paraId="683B8E56"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1134" w:type="dxa"/>
            <w:tcBorders>
              <w:top w:val="single" w:sz="4" w:space="0" w:color="auto"/>
              <w:left w:val="nil"/>
              <w:bottom w:val="single" w:sz="4" w:space="0" w:color="auto"/>
              <w:right w:val="nil"/>
            </w:tcBorders>
            <w:noWrap/>
            <w:vAlign w:val="center"/>
            <w:hideMark/>
          </w:tcPr>
          <w:p w14:paraId="4FD06763"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r>
      <w:tr w:rsidR="00FD6F91" w:rsidRPr="00847FAE" w14:paraId="24E615AD" w14:textId="77777777" w:rsidTr="001F1F60">
        <w:trPr>
          <w:cantSplit/>
          <w:trHeight w:val="255"/>
        </w:trPr>
        <w:tc>
          <w:tcPr>
            <w:tcW w:w="3686" w:type="dxa"/>
            <w:gridSpan w:val="4"/>
            <w:tcBorders>
              <w:top w:val="single" w:sz="4" w:space="0" w:color="auto"/>
              <w:left w:val="nil"/>
              <w:bottom w:val="nil"/>
              <w:right w:val="nil"/>
            </w:tcBorders>
            <w:shd w:val="clear" w:color="auto" w:fill="D9D9D9" w:themeFill="background1" w:themeFillShade="D9"/>
            <w:noWrap/>
            <w:hideMark/>
          </w:tcPr>
          <w:p w14:paraId="6FF161BB" w14:textId="187BD98C" w:rsidR="00FD6F91" w:rsidRPr="00847FAE" w:rsidRDefault="00FD6F91" w:rsidP="00FD6F91">
            <w:pPr>
              <w:keepNext/>
              <w:widowControl w:val="0"/>
              <w:rPr>
                <w:rFonts w:cs="Calibri"/>
                <w:color w:val="000000"/>
                <w:sz w:val="18"/>
                <w:szCs w:val="18"/>
                <w:vertAlign w:val="superscript"/>
              </w:rPr>
            </w:pPr>
            <w:r w:rsidRPr="00847FAE">
              <w:rPr>
                <w:rFonts w:cs="Calibri"/>
                <w:color w:val="000000"/>
                <w:sz w:val="18"/>
                <w:szCs w:val="18"/>
              </w:rPr>
              <w:t>Applications for an CPO assessment</w:t>
            </w:r>
            <w:r w:rsidR="001D288F" w:rsidRPr="00847FAE">
              <w:rPr>
                <w:rFonts w:cs="Calibri"/>
                <w:color w:val="000000"/>
                <w:sz w:val="18"/>
                <w:szCs w:val="18"/>
                <w:vertAlign w:val="superscript"/>
              </w:rPr>
              <w:t>1</w:t>
            </w:r>
          </w:p>
        </w:tc>
        <w:tc>
          <w:tcPr>
            <w:tcW w:w="822" w:type="dxa"/>
            <w:tcBorders>
              <w:top w:val="single" w:sz="4" w:space="0" w:color="auto"/>
              <w:left w:val="nil"/>
              <w:bottom w:val="nil"/>
              <w:right w:val="nil"/>
            </w:tcBorders>
            <w:shd w:val="clear" w:color="auto" w:fill="D9D9D9" w:themeFill="background1" w:themeFillShade="D9"/>
            <w:noWrap/>
            <w:vAlign w:val="center"/>
          </w:tcPr>
          <w:p w14:paraId="1A3F29F6" w14:textId="77777777" w:rsidR="00FD6F91" w:rsidRPr="00847FAE" w:rsidRDefault="00FD6F91" w:rsidP="00FD6F91">
            <w:pPr>
              <w:keepNext/>
              <w:jc w:val="right"/>
              <w:rPr>
                <w:rFonts w:cs="Calibri"/>
                <w:iCs/>
                <w:color w:val="000000"/>
                <w:sz w:val="18"/>
                <w:szCs w:val="18"/>
              </w:rPr>
            </w:pPr>
          </w:p>
        </w:tc>
        <w:tc>
          <w:tcPr>
            <w:tcW w:w="822" w:type="dxa"/>
            <w:tcBorders>
              <w:top w:val="single" w:sz="4" w:space="0" w:color="auto"/>
              <w:left w:val="nil"/>
              <w:bottom w:val="nil"/>
              <w:right w:val="nil"/>
            </w:tcBorders>
            <w:shd w:val="clear" w:color="auto" w:fill="D9D9D9" w:themeFill="background1" w:themeFillShade="D9"/>
            <w:noWrap/>
            <w:vAlign w:val="center"/>
          </w:tcPr>
          <w:p w14:paraId="043992EB" w14:textId="77777777" w:rsidR="00FD6F91" w:rsidRPr="00847FAE" w:rsidRDefault="00FD6F91" w:rsidP="00FD6F91">
            <w:pPr>
              <w:keepNext/>
              <w:jc w:val="right"/>
              <w:rPr>
                <w:rFonts w:cs="Calibri"/>
                <w:iCs/>
                <w:color w:val="000000"/>
                <w:sz w:val="18"/>
                <w:szCs w:val="18"/>
              </w:rPr>
            </w:pPr>
          </w:p>
        </w:tc>
        <w:tc>
          <w:tcPr>
            <w:tcW w:w="822" w:type="dxa"/>
            <w:tcBorders>
              <w:top w:val="single" w:sz="4" w:space="0" w:color="auto"/>
              <w:left w:val="nil"/>
              <w:bottom w:val="nil"/>
              <w:right w:val="nil"/>
            </w:tcBorders>
            <w:shd w:val="clear" w:color="auto" w:fill="D9D9D9" w:themeFill="background1" w:themeFillShade="D9"/>
            <w:noWrap/>
            <w:vAlign w:val="center"/>
          </w:tcPr>
          <w:p w14:paraId="2FC5FEF7" w14:textId="77777777" w:rsidR="00FD6F91" w:rsidRPr="00847FAE" w:rsidRDefault="00FD6F91" w:rsidP="00FD6F91">
            <w:pPr>
              <w:keepNext/>
              <w:jc w:val="right"/>
              <w:rPr>
                <w:rFonts w:cs="Calibri"/>
                <w:iCs/>
                <w:color w:val="000000"/>
                <w:sz w:val="18"/>
                <w:szCs w:val="18"/>
              </w:rPr>
            </w:pPr>
          </w:p>
        </w:tc>
        <w:tc>
          <w:tcPr>
            <w:tcW w:w="822" w:type="dxa"/>
            <w:tcBorders>
              <w:top w:val="single" w:sz="4" w:space="0" w:color="auto"/>
              <w:left w:val="nil"/>
              <w:bottom w:val="nil"/>
              <w:right w:val="nil"/>
            </w:tcBorders>
            <w:shd w:val="clear" w:color="auto" w:fill="D9D9D9" w:themeFill="background1" w:themeFillShade="D9"/>
            <w:noWrap/>
            <w:vAlign w:val="center"/>
          </w:tcPr>
          <w:p w14:paraId="59D3090B" w14:textId="77777777" w:rsidR="00FD6F91" w:rsidRPr="00847FAE" w:rsidRDefault="00FD6F91" w:rsidP="00FD6F91">
            <w:pPr>
              <w:keepNext/>
              <w:jc w:val="right"/>
              <w:rPr>
                <w:rFonts w:cs="Calibri"/>
                <w:iCs/>
                <w:color w:val="000000"/>
                <w:sz w:val="18"/>
                <w:szCs w:val="18"/>
              </w:rPr>
            </w:pPr>
          </w:p>
        </w:tc>
        <w:tc>
          <w:tcPr>
            <w:tcW w:w="823" w:type="dxa"/>
            <w:tcBorders>
              <w:top w:val="single" w:sz="4" w:space="0" w:color="auto"/>
              <w:left w:val="nil"/>
              <w:bottom w:val="nil"/>
              <w:right w:val="nil"/>
            </w:tcBorders>
            <w:shd w:val="clear" w:color="auto" w:fill="D9D9D9" w:themeFill="background1" w:themeFillShade="D9"/>
            <w:noWrap/>
            <w:vAlign w:val="center"/>
          </w:tcPr>
          <w:p w14:paraId="100ED77F" w14:textId="77777777" w:rsidR="00FD6F91" w:rsidRPr="00847FAE" w:rsidRDefault="00FD6F91" w:rsidP="00FD6F91">
            <w:pPr>
              <w:keepNext/>
              <w:jc w:val="right"/>
              <w:rPr>
                <w:rFonts w:cs="Calibri"/>
                <w:iCs/>
                <w:color w:val="000000"/>
                <w:sz w:val="18"/>
                <w:szCs w:val="18"/>
              </w:rPr>
            </w:pPr>
          </w:p>
        </w:tc>
        <w:tc>
          <w:tcPr>
            <w:tcW w:w="1134" w:type="dxa"/>
            <w:tcBorders>
              <w:top w:val="single" w:sz="4" w:space="0" w:color="auto"/>
              <w:left w:val="nil"/>
              <w:bottom w:val="nil"/>
              <w:right w:val="nil"/>
            </w:tcBorders>
            <w:shd w:val="clear" w:color="auto" w:fill="D9D9D9" w:themeFill="background1" w:themeFillShade="D9"/>
            <w:noWrap/>
            <w:vAlign w:val="center"/>
          </w:tcPr>
          <w:p w14:paraId="246DD737" w14:textId="77777777" w:rsidR="00FD6F91" w:rsidRPr="00847FAE" w:rsidRDefault="00FD6F91" w:rsidP="00FD6F91">
            <w:pPr>
              <w:keepNext/>
              <w:jc w:val="center"/>
              <w:rPr>
                <w:rFonts w:cs="Calibri"/>
                <w:iCs/>
                <w:color w:val="000000"/>
                <w:sz w:val="18"/>
                <w:szCs w:val="18"/>
              </w:rPr>
            </w:pPr>
          </w:p>
        </w:tc>
      </w:tr>
      <w:tr w:rsidR="00FD6F91" w:rsidRPr="00847FAE" w14:paraId="718ABB23" w14:textId="77777777" w:rsidTr="001F1F60">
        <w:trPr>
          <w:cantSplit/>
          <w:trHeight w:val="255"/>
        </w:trPr>
        <w:tc>
          <w:tcPr>
            <w:tcW w:w="3686" w:type="dxa"/>
            <w:gridSpan w:val="4"/>
            <w:tcBorders>
              <w:top w:val="nil"/>
              <w:left w:val="nil"/>
              <w:bottom w:val="nil"/>
              <w:right w:val="nil"/>
            </w:tcBorders>
            <w:noWrap/>
            <w:hideMark/>
          </w:tcPr>
          <w:p w14:paraId="29DA4645"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 xml:space="preserve">   Lodgements</w:t>
            </w:r>
          </w:p>
        </w:tc>
        <w:tc>
          <w:tcPr>
            <w:tcW w:w="822" w:type="dxa"/>
            <w:tcBorders>
              <w:top w:val="nil"/>
              <w:left w:val="nil"/>
              <w:bottom w:val="nil"/>
              <w:right w:val="nil"/>
            </w:tcBorders>
            <w:noWrap/>
            <w:vAlign w:val="center"/>
          </w:tcPr>
          <w:p w14:paraId="35C6964A" w14:textId="77777777" w:rsidR="00FD6F91" w:rsidRPr="00847FAE" w:rsidRDefault="00FD6F91" w:rsidP="00FD6F91">
            <w:pPr>
              <w:jc w:val="center"/>
              <w:rPr>
                <w:rFonts w:cs="Calibri"/>
                <w:color w:val="000000"/>
                <w:sz w:val="18"/>
                <w:szCs w:val="18"/>
              </w:rPr>
            </w:pPr>
            <w:r w:rsidRPr="00847FAE">
              <w:rPr>
                <w:rFonts w:cs="Calibri"/>
                <w:color w:val="000000"/>
                <w:sz w:val="18"/>
                <w:szCs w:val="18"/>
              </w:rPr>
              <w:t>158</w:t>
            </w:r>
          </w:p>
        </w:tc>
        <w:tc>
          <w:tcPr>
            <w:tcW w:w="822" w:type="dxa"/>
            <w:tcBorders>
              <w:top w:val="nil"/>
              <w:left w:val="nil"/>
              <w:bottom w:val="nil"/>
              <w:right w:val="nil"/>
            </w:tcBorders>
            <w:noWrap/>
            <w:vAlign w:val="center"/>
          </w:tcPr>
          <w:p w14:paraId="1E806AD4" w14:textId="77777777" w:rsidR="00FD6F91" w:rsidRPr="00847FAE" w:rsidRDefault="00FD6F91" w:rsidP="00FD6F91">
            <w:pPr>
              <w:jc w:val="center"/>
              <w:rPr>
                <w:rFonts w:cs="Calibri"/>
                <w:color w:val="000000"/>
                <w:sz w:val="18"/>
                <w:szCs w:val="18"/>
              </w:rPr>
            </w:pPr>
            <w:r w:rsidRPr="00847FAE">
              <w:rPr>
                <w:rFonts w:cs="Calibri"/>
                <w:color w:val="000000"/>
                <w:sz w:val="18"/>
                <w:szCs w:val="18"/>
              </w:rPr>
              <w:t>151</w:t>
            </w:r>
          </w:p>
        </w:tc>
        <w:tc>
          <w:tcPr>
            <w:tcW w:w="822" w:type="dxa"/>
            <w:tcBorders>
              <w:top w:val="nil"/>
              <w:left w:val="nil"/>
              <w:bottom w:val="nil"/>
              <w:right w:val="nil"/>
            </w:tcBorders>
            <w:noWrap/>
            <w:vAlign w:val="center"/>
          </w:tcPr>
          <w:p w14:paraId="3F8F079B" w14:textId="77777777" w:rsidR="00FD6F91" w:rsidRPr="00847FAE" w:rsidRDefault="00FD6F91" w:rsidP="00FD6F91">
            <w:pPr>
              <w:jc w:val="center"/>
              <w:rPr>
                <w:rFonts w:cs="Calibri"/>
                <w:color w:val="000000"/>
                <w:sz w:val="18"/>
                <w:szCs w:val="18"/>
              </w:rPr>
            </w:pPr>
            <w:r w:rsidRPr="00847FAE">
              <w:rPr>
                <w:rFonts w:cs="Calibri"/>
                <w:color w:val="000000"/>
                <w:sz w:val="18"/>
                <w:szCs w:val="18"/>
              </w:rPr>
              <w:t>180</w:t>
            </w:r>
          </w:p>
        </w:tc>
        <w:tc>
          <w:tcPr>
            <w:tcW w:w="822" w:type="dxa"/>
            <w:tcBorders>
              <w:top w:val="nil"/>
              <w:left w:val="nil"/>
              <w:bottom w:val="nil"/>
              <w:right w:val="nil"/>
            </w:tcBorders>
            <w:noWrap/>
            <w:vAlign w:val="center"/>
          </w:tcPr>
          <w:p w14:paraId="6D238ED0" w14:textId="77777777" w:rsidR="00FD6F91" w:rsidRPr="00847FAE" w:rsidRDefault="00FD6F91" w:rsidP="00FD6F91">
            <w:pPr>
              <w:jc w:val="center"/>
              <w:rPr>
                <w:rFonts w:cs="Calibri"/>
                <w:color w:val="000000"/>
                <w:sz w:val="18"/>
                <w:szCs w:val="18"/>
              </w:rPr>
            </w:pPr>
            <w:r w:rsidRPr="00847FAE">
              <w:rPr>
                <w:rFonts w:cs="Calibri"/>
                <w:color w:val="000000"/>
                <w:sz w:val="18"/>
                <w:szCs w:val="18"/>
              </w:rPr>
              <w:t>170</w:t>
            </w:r>
          </w:p>
        </w:tc>
        <w:tc>
          <w:tcPr>
            <w:tcW w:w="823" w:type="dxa"/>
            <w:tcBorders>
              <w:top w:val="nil"/>
              <w:left w:val="nil"/>
              <w:bottom w:val="nil"/>
              <w:right w:val="nil"/>
            </w:tcBorders>
            <w:noWrap/>
            <w:vAlign w:val="center"/>
          </w:tcPr>
          <w:p w14:paraId="082AA2AC" w14:textId="77777777" w:rsidR="00FD6F91" w:rsidRPr="00847FAE" w:rsidRDefault="00FD6F91" w:rsidP="00FD6F91">
            <w:pPr>
              <w:jc w:val="center"/>
              <w:rPr>
                <w:rFonts w:cs="Calibri"/>
                <w:color w:val="000000"/>
                <w:sz w:val="18"/>
                <w:szCs w:val="18"/>
              </w:rPr>
            </w:pPr>
            <w:r w:rsidRPr="00847FAE">
              <w:rPr>
                <w:rFonts w:cs="Calibri"/>
                <w:color w:val="000000"/>
                <w:sz w:val="18"/>
                <w:szCs w:val="18"/>
              </w:rPr>
              <w:t>201</w:t>
            </w:r>
          </w:p>
        </w:tc>
        <w:tc>
          <w:tcPr>
            <w:tcW w:w="1134" w:type="dxa"/>
            <w:tcBorders>
              <w:top w:val="nil"/>
              <w:left w:val="nil"/>
              <w:bottom w:val="nil"/>
              <w:right w:val="nil"/>
            </w:tcBorders>
            <w:noWrap/>
            <w:vAlign w:val="center"/>
          </w:tcPr>
          <w:p w14:paraId="66AF638B" w14:textId="77777777" w:rsidR="00FD6F91" w:rsidRPr="00847FAE" w:rsidRDefault="00FD6F91" w:rsidP="00FD6F91">
            <w:pPr>
              <w:jc w:val="center"/>
              <w:rPr>
                <w:rFonts w:cs="Calibri"/>
                <w:color w:val="000000"/>
                <w:sz w:val="18"/>
                <w:szCs w:val="18"/>
              </w:rPr>
            </w:pPr>
            <w:r w:rsidRPr="00847FAE">
              <w:rPr>
                <w:rFonts w:cs="Calibri"/>
                <w:color w:val="000000"/>
                <w:sz w:val="18"/>
                <w:szCs w:val="18"/>
              </w:rPr>
              <w:t>18.2%</w:t>
            </w:r>
          </w:p>
        </w:tc>
      </w:tr>
      <w:tr w:rsidR="00FD6F91" w:rsidRPr="00847FAE" w14:paraId="19FDF3A2" w14:textId="77777777" w:rsidTr="001F1F60">
        <w:trPr>
          <w:cantSplit/>
          <w:trHeight w:val="255"/>
        </w:trPr>
        <w:tc>
          <w:tcPr>
            <w:tcW w:w="3686" w:type="dxa"/>
            <w:gridSpan w:val="4"/>
            <w:tcBorders>
              <w:top w:val="nil"/>
              <w:left w:val="nil"/>
              <w:bottom w:val="nil"/>
              <w:right w:val="nil"/>
            </w:tcBorders>
            <w:noWrap/>
          </w:tcPr>
          <w:p w14:paraId="723A2047"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 xml:space="preserve">   Finalisations</w:t>
            </w:r>
          </w:p>
        </w:tc>
        <w:tc>
          <w:tcPr>
            <w:tcW w:w="822" w:type="dxa"/>
            <w:tcBorders>
              <w:top w:val="nil"/>
              <w:left w:val="nil"/>
              <w:bottom w:val="nil"/>
              <w:right w:val="nil"/>
            </w:tcBorders>
            <w:noWrap/>
            <w:vAlign w:val="center"/>
          </w:tcPr>
          <w:p w14:paraId="3AF539A8" w14:textId="77777777" w:rsidR="00FD6F91" w:rsidRPr="00847FAE" w:rsidRDefault="00FD6F91" w:rsidP="00FD6F91">
            <w:pPr>
              <w:jc w:val="center"/>
              <w:rPr>
                <w:rFonts w:cs="Calibri"/>
                <w:color w:val="000000"/>
                <w:sz w:val="18"/>
                <w:szCs w:val="18"/>
              </w:rPr>
            </w:pPr>
            <w:r w:rsidRPr="00847FAE">
              <w:rPr>
                <w:rFonts w:cs="Calibri"/>
                <w:color w:val="000000"/>
                <w:sz w:val="18"/>
                <w:szCs w:val="18"/>
              </w:rPr>
              <w:t>121</w:t>
            </w:r>
          </w:p>
        </w:tc>
        <w:tc>
          <w:tcPr>
            <w:tcW w:w="822" w:type="dxa"/>
            <w:tcBorders>
              <w:top w:val="nil"/>
              <w:left w:val="nil"/>
              <w:bottom w:val="nil"/>
              <w:right w:val="nil"/>
            </w:tcBorders>
            <w:noWrap/>
            <w:vAlign w:val="center"/>
          </w:tcPr>
          <w:p w14:paraId="6CB1B13A" w14:textId="77777777" w:rsidR="00FD6F91" w:rsidRPr="00847FAE" w:rsidRDefault="00FD6F91" w:rsidP="00FD6F91">
            <w:pPr>
              <w:jc w:val="center"/>
              <w:rPr>
                <w:rFonts w:cs="Calibri"/>
                <w:color w:val="000000"/>
                <w:sz w:val="18"/>
                <w:szCs w:val="18"/>
              </w:rPr>
            </w:pPr>
            <w:r w:rsidRPr="00847FAE">
              <w:rPr>
                <w:rFonts w:cs="Calibri"/>
                <w:color w:val="000000"/>
                <w:sz w:val="18"/>
                <w:szCs w:val="18"/>
              </w:rPr>
              <w:t>129</w:t>
            </w:r>
          </w:p>
        </w:tc>
        <w:tc>
          <w:tcPr>
            <w:tcW w:w="822" w:type="dxa"/>
            <w:tcBorders>
              <w:top w:val="nil"/>
              <w:left w:val="nil"/>
              <w:bottom w:val="nil"/>
              <w:right w:val="nil"/>
            </w:tcBorders>
            <w:noWrap/>
            <w:vAlign w:val="center"/>
          </w:tcPr>
          <w:p w14:paraId="77E8FE0B" w14:textId="77777777" w:rsidR="00FD6F91" w:rsidRPr="00847FAE" w:rsidRDefault="00FD6F91" w:rsidP="00FD6F91">
            <w:pPr>
              <w:jc w:val="center"/>
              <w:rPr>
                <w:rFonts w:cs="Calibri"/>
                <w:color w:val="000000"/>
                <w:sz w:val="18"/>
                <w:szCs w:val="18"/>
              </w:rPr>
            </w:pPr>
            <w:r w:rsidRPr="00847FAE">
              <w:rPr>
                <w:rFonts w:cs="Calibri"/>
                <w:color w:val="000000"/>
                <w:sz w:val="18"/>
                <w:szCs w:val="18"/>
              </w:rPr>
              <w:t>143</w:t>
            </w:r>
          </w:p>
        </w:tc>
        <w:tc>
          <w:tcPr>
            <w:tcW w:w="822" w:type="dxa"/>
            <w:tcBorders>
              <w:top w:val="nil"/>
              <w:left w:val="nil"/>
              <w:bottom w:val="nil"/>
              <w:right w:val="nil"/>
            </w:tcBorders>
            <w:noWrap/>
            <w:vAlign w:val="center"/>
          </w:tcPr>
          <w:p w14:paraId="4066F57D" w14:textId="77777777" w:rsidR="00FD6F91" w:rsidRPr="00847FAE" w:rsidRDefault="00FD6F91" w:rsidP="00FD6F91">
            <w:pPr>
              <w:jc w:val="center"/>
              <w:rPr>
                <w:rFonts w:cs="Calibri"/>
                <w:color w:val="000000"/>
                <w:sz w:val="18"/>
                <w:szCs w:val="18"/>
              </w:rPr>
            </w:pPr>
            <w:r w:rsidRPr="00847FAE">
              <w:rPr>
                <w:rFonts w:cs="Calibri"/>
                <w:color w:val="000000"/>
                <w:sz w:val="18"/>
                <w:szCs w:val="18"/>
              </w:rPr>
              <w:t>131</w:t>
            </w:r>
          </w:p>
        </w:tc>
        <w:tc>
          <w:tcPr>
            <w:tcW w:w="823" w:type="dxa"/>
            <w:tcBorders>
              <w:top w:val="nil"/>
              <w:left w:val="nil"/>
              <w:bottom w:val="nil"/>
              <w:right w:val="nil"/>
            </w:tcBorders>
            <w:noWrap/>
            <w:vAlign w:val="center"/>
          </w:tcPr>
          <w:p w14:paraId="48E4A23D" w14:textId="77777777" w:rsidR="00FD6F91" w:rsidRPr="00847FAE" w:rsidRDefault="00FD6F91" w:rsidP="00FD6F91">
            <w:pPr>
              <w:jc w:val="center"/>
              <w:rPr>
                <w:rFonts w:cs="Calibri"/>
                <w:color w:val="000000"/>
                <w:sz w:val="18"/>
                <w:szCs w:val="18"/>
              </w:rPr>
            </w:pPr>
            <w:r w:rsidRPr="00847FAE">
              <w:rPr>
                <w:rFonts w:cs="Calibri"/>
                <w:color w:val="000000"/>
                <w:sz w:val="18"/>
                <w:szCs w:val="18"/>
              </w:rPr>
              <w:t>178</w:t>
            </w:r>
          </w:p>
        </w:tc>
        <w:tc>
          <w:tcPr>
            <w:tcW w:w="1134" w:type="dxa"/>
            <w:tcBorders>
              <w:top w:val="nil"/>
              <w:left w:val="nil"/>
              <w:bottom w:val="nil"/>
              <w:right w:val="nil"/>
            </w:tcBorders>
            <w:noWrap/>
            <w:vAlign w:val="center"/>
          </w:tcPr>
          <w:p w14:paraId="0630D23C" w14:textId="77777777" w:rsidR="00FD6F91" w:rsidRPr="00847FAE" w:rsidRDefault="00FD6F91" w:rsidP="00FD6F91">
            <w:pPr>
              <w:jc w:val="center"/>
              <w:rPr>
                <w:rFonts w:cs="Calibri"/>
                <w:color w:val="000000"/>
                <w:sz w:val="18"/>
                <w:szCs w:val="18"/>
              </w:rPr>
            </w:pPr>
            <w:r w:rsidRPr="00847FAE">
              <w:rPr>
                <w:rFonts w:cs="Calibri"/>
                <w:color w:val="000000"/>
                <w:sz w:val="18"/>
                <w:szCs w:val="18"/>
              </w:rPr>
              <w:t>35.9%</w:t>
            </w:r>
          </w:p>
        </w:tc>
      </w:tr>
      <w:tr w:rsidR="00FD6F91" w:rsidRPr="00847FAE" w14:paraId="34D4882E" w14:textId="77777777" w:rsidTr="001F1F60">
        <w:trPr>
          <w:cantSplit/>
          <w:trHeight w:val="255"/>
        </w:trPr>
        <w:tc>
          <w:tcPr>
            <w:tcW w:w="3686" w:type="dxa"/>
            <w:gridSpan w:val="4"/>
            <w:tcBorders>
              <w:top w:val="nil"/>
              <w:left w:val="nil"/>
              <w:bottom w:val="nil"/>
              <w:right w:val="nil"/>
            </w:tcBorders>
            <w:shd w:val="clear" w:color="auto" w:fill="D9D9D9" w:themeFill="background1" w:themeFillShade="D9"/>
            <w:noWrap/>
          </w:tcPr>
          <w:p w14:paraId="3E784B4B" w14:textId="6354F262" w:rsidR="00FD6F91" w:rsidRPr="00847FAE" w:rsidRDefault="00FD6F91" w:rsidP="00FD6F91">
            <w:pPr>
              <w:keepNext/>
              <w:widowControl w:val="0"/>
              <w:rPr>
                <w:rFonts w:cs="Calibri"/>
                <w:iCs/>
                <w:color w:val="000000"/>
                <w:sz w:val="18"/>
                <w:szCs w:val="18"/>
                <w:vertAlign w:val="superscript"/>
              </w:rPr>
            </w:pPr>
            <w:r w:rsidRPr="00847FAE">
              <w:rPr>
                <w:rFonts w:cs="Calibri"/>
                <w:iCs/>
                <w:color w:val="000000"/>
                <w:sz w:val="18"/>
                <w:szCs w:val="18"/>
              </w:rPr>
              <w:t>Applications to grant a CPO</w:t>
            </w:r>
            <w:r w:rsidR="001D288F" w:rsidRPr="00847FAE">
              <w:rPr>
                <w:rFonts w:cs="Calibri"/>
                <w:iCs/>
                <w:color w:val="000000"/>
                <w:sz w:val="18"/>
                <w:szCs w:val="18"/>
                <w:vertAlign w:val="superscript"/>
              </w:rPr>
              <w:t>2</w:t>
            </w:r>
          </w:p>
        </w:tc>
        <w:tc>
          <w:tcPr>
            <w:tcW w:w="822" w:type="dxa"/>
            <w:tcBorders>
              <w:top w:val="nil"/>
              <w:left w:val="nil"/>
              <w:bottom w:val="nil"/>
              <w:right w:val="nil"/>
            </w:tcBorders>
            <w:shd w:val="clear" w:color="auto" w:fill="D9D9D9" w:themeFill="background1" w:themeFillShade="D9"/>
            <w:noWrap/>
            <w:vAlign w:val="center"/>
          </w:tcPr>
          <w:p w14:paraId="27ED53FD"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56BBDF49"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0071CD37"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28DA545B" w14:textId="77777777" w:rsidR="00FD6F91" w:rsidRPr="00847FAE" w:rsidRDefault="00FD6F91" w:rsidP="00FD6F91">
            <w:pPr>
              <w:keepNext/>
              <w:jc w:val="right"/>
              <w:rPr>
                <w:rFonts w:cs="Calibri"/>
                <w:iCs/>
                <w:color w:val="000000"/>
                <w:sz w:val="18"/>
                <w:szCs w:val="18"/>
              </w:rPr>
            </w:pPr>
          </w:p>
        </w:tc>
        <w:tc>
          <w:tcPr>
            <w:tcW w:w="823" w:type="dxa"/>
            <w:tcBorders>
              <w:top w:val="nil"/>
              <w:left w:val="nil"/>
              <w:bottom w:val="nil"/>
              <w:right w:val="nil"/>
            </w:tcBorders>
            <w:shd w:val="clear" w:color="auto" w:fill="D9D9D9" w:themeFill="background1" w:themeFillShade="D9"/>
            <w:noWrap/>
            <w:vAlign w:val="center"/>
          </w:tcPr>
          <w:p w14:paraId="5AE2E254" w14:textId="77777777" w:rsidR="00FD6F91" w:rsidRPr="00847FAE" w:rsidRDefault="00FD6F91" w:rsidP="00FD6F91">
            <w:pPr>
              <w:keepNext/>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4D11897E" w14:textId="77777777" w:rsidR="00FD6F91" w:rsidRPr="00847FAE" w:rsidRDefault="00FD6F91" w:rsidP="00FD6F91">
            <w:pPr>
              <w:keepNext/>
              <w:jc w:val="center"/>
              <w:rPr>
                <w:rFonts w:cs="Calibri"/>
                <w:iCs/>
                <w:color w:val="000000"/>
                <w:sz w:val="18"/>
                <w:szCs w:val="18"/>
              </w:rPr>
            </w:pPr>
          </w:p>
        </w:tc>
      </w:tr>
      <w:tr w:rsidR="00FD6F91" w:rsidRPr="00847FAE" w14:paraId="38B632C9" w14:textId="77777777" w:rsidTr="001F1F60">
        <w:trPr>
          <w:cantSplit/>
          <w:trHeight w:val="255"/>
        </w:trPr>
        <w:tc>
          <w:tcPr>
            <w:tcW w:w="3686" w:type="dxa"/>
            <w:gridSpan w:val="4"/>
            <w:tcBorders>
              <w:top w:val="nil"/>
              <w:left w:val="nil"/>
              <w:bottom w:val="nil"/>
              <w:right w:val="nil"/>
            </w:tcBorders>
            <w:noWrap/>
          </w:tcPr>
          <w:p w14:paraId="58792BA5"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 xml:space="preserve">   Lodgements</w:t>
            </w:r>
          </w:p>
        </w:tc>
        <w:tc>
          <w:tcPr>
            <w:tcW w:w="822" w:type="dxa"/>
            <w:tcBorders>
              <w:top w:val="nil"/>
              <w:left w:val="nil"/>
              <w:bottom w:val="nil"/>
              <w:right w:val="nil"/>
            </w:tcBorders>
            <w:noWrap/>
            <w:vAlign w:val="center"/>
          </w:tcPr>
          <w:p w14:paraId="3B8C381A" w14:textId="77777777" w:rsidR="00FD6F91" w:rsidRPr="00847FAE" w:rsidRDefault="00FD6F91" w:rsidP="00FD6F91">
            <w:pPr>
              <w:jc w:val="center"/>
              <w:rPr>
                <w:rFonts w:cs="Calibri"/>
                <w:color w:val="000000"/>
                <w:sz w:val="18"/>
                <w:szCs w:val="18"/>
              </w:rPr>
            </w:pPr>
            <w:r w:rsidRPr="00847FAE">
              <w:rPr>
                <w:rFonts w:cs="Calibri"/>
                <w:color w:val="000000"/>
                <w:sz w:val="18"/>
                <w:szCs w:val="18"/>
              </w:rPr>
              <w:t>277</w:t>
            </w:r>
          </w:p>
        </w:tc>
        <w:tc>
          <w:tcPr>
            <w:tcW w:w="822" w:type="dxa"/>
            <w:tcBorders>
              <w:top w:val="nil"/>
              <w:left w:val="nil"/>
              <w:bottom w:val="nil"/>
              <w:right w:val="nil"/>
            </w:tcBorders>
            <w:noWrap/>
            <w:vAlign w:val="center"/>
          </w:tcPr>
          <w:p w14:paraId="0D510B26" w14:textId="77777777" w:rsidR="00FD6F91" w:rsidRPr="00847FAE" w:rsidRDefault="00FD6F91" w:rsidP="00FD6F91">
            <w:pPr>
              <w:jc w:val="center"/>
              <w:rPr>
                <w:rFonts w:cs="Calibri"/>
                <w:color w:val="000000"/>
                <w:sz w:val="18"/>
                <w:szCs w:val="18"/>
              </w:rPr>
            </w:pPr>
            <w:r w:rsidRPr="00847FAE">
              <w:rPr>
                <w:rFonts w:cs="Calibri"/>
                <w:color w:val="000000"/>
                <w:sz w:val="18"/>
                <w:szCs w:val="18"/>
              </w:rPr>
              <w:t>292</w:t>
            </w:r>
          </w:p>
        </w:tc>
        <w:tc>
          <w:tcPr>
            <w:tcW w:w="822" w:type="dxa"/>
            <w:tcBorders>
              <w:top w:val="nil"/>
              <w:left w:val="nil"/>
              <w:bottom w:val="nil"/>
              <w:right w:val="nil"/>
            </w:tcBorders>
            <w:noWrap/>
            <w:vAlign w:val="center"/>
          </w:tcPr>
          <w:p w14:paraId="79257224" w14:textId="77777777" w:rsidR="00FD6F91" w:rsidRPr="00847FAE" w:rsidRDefault="00FD6F91" w:rsidP="00FD6F91">
            <w:pPr>
              <w:jc w:val="center"/>
              <w:rPr>
                <w:rFonts w:cs="Calibri"/>
                <w:color w:val="000000"/>
                <w:sz w:val="18"/>
                <w:szCs w:val="18"/>
              </w:rPr>
            </w:pPr>
            <w:r w:rsidRPr="00847FAE">
              <w:rPr>
                <w:rFonts w:cs="Calibri"/>
                <w:color w:val="000000"/>
                <w:sz w:val="18"/>
                <w:szCs w:val="18"/>
              </w:rPr>
              <w:t>331</w:t>
            </w:r>
          </w:p>
        </w:tc>
        <w:tc>
          <w:tcPr>
            <w:tcW w:w="822" w:type="dxa"/>
            <w:tcBorders>
              <w:top w:val="nil"/>
              <w:left w:val="nil"/>
              <w:bottom w:val="nil"/>
              <w:right w:val="nil"/>
            </w:tcBorders>
            <w:noWrap/>
            <w:vAlign w:val="center"/>
          </w:tcPr>
          <w:p w14:paraId="2C98B7E8" w14:textId="77777777" w:rsidR="00FD6F91" w:rsidRPr="00847FAE" w:rsidRDefault="00FD6F91" w:rsidP="00FD6F91">
            <w:pPr>
              <w:jc w:val="center"/>
              <w:rPr>
                <w:rFonts w:cs="Calibri"/>
                <w:color w:val="000000"/>
                <w:sz w:val="18"/>
                <w:szCs w:val="18"/>
              </w:rPr>
            </w:pPr>
            <w:r w:rsidRPr="00847FAE">
              <w:rPr>
                <w:rFonts w:cs="Calibri"/>
                <w:color w:val="000000"/>
                <w:sz w:val="18"/>
                <w:szCs w:val="18"/>
              </w:rPr>
              <w:t>288</w:t>
            </w:r>
          </w:p>
        </w:tc>
        <w:tc>
          <w:tcPr>
            <w:tcW w:w="823" w:type="dxa"/>
            <w:tcBorders>
              <w:top w:val="nil"/>
              <w:left w:val="nil"/>
              <w:bottom w:val="nil"/>
              <w:right w:val="nil"/>
            </w:tcBorders>
            <w:noWrap/>
            <w:vAlign w:val="center"/>
          </w:tcPr>
          <w:p w14:paraId="79D3F740" w14:textId="77777777" w:rsidR="00FD6F91" w:rsidRPr="00847FAE" w:rsidRDefault="00FD6F91" w:rsidP="00FD6F91">
            <w:pPr>
              <w:jc w:val="center"/>
              <w:rPr>
                <w:rFonts w:cs="Calibri"/>
                <w:color w:val="000000"/>
                <w:sz w:val="18"/>
                <w:szCs w:val="18"/>
              </w:rPr>
            </w:pPr>
            <w:r w:rsidRPr="00847FAE">
              <w:rPr>
                <w:rFonts w:cs="Calibri"/>
                <w:color w:val="000000"/>
                <w:sz w:val="18"/>
                <w:szCs w:val="18"/>
              </w:rPr>
              <w:t>311</w:t>
            </w:r>
          </w:p>
        </w:tc>
        <w:tc>
          <w:tcPr>
            <w:tcW w:w="1134" w:type="dxa"/>
            <w:tcBorders>
              <w:top w:val="nil"/>
              <w:left w:val="nil"/>
              <w:bottom w:val="nil"/>
              <w:right w:val="nil"/>
            </w:tcBorders>
            <w:noWrap/>
            <w:vAlign w:val="center"/>
          </w:tcPr>
          <w:p w14:paraId="53C14663" w14:textId="77777777" w:rsidR="00FD6F91" w:rsidRPr="00847FAE" w:rsidRDefault="00FD6F91" w:rsidP="00FD6F91">
            <w:pPr>
              <w:jc w:val="center"/>
              <w:rPr>
                <w:rFonts w:cs="Calibri"/>
                <w:color w:val="000000"/>
                <w:sz w:val="18"/>
                <w:szCs w:val="18"/>
              </w:rPr>
            </w:pPr>
            <w:r w:rsidRPr="00847FAE">
              <w:rPr>
                <w:rFonts w:cs="Calibri"/>
                <w:color w:val="000000"/>
                <w:sz w:val="18"/>
                <w:szCs w:val="18"/>
              </w:rPr>
              <w:t>8.0%</w:t>
            </w:r>
          </w:p>
        </w:tc>
      </w:tr>
      <w:tr w:rsidR="00FD6F91" w:rsidRPr="00847FAE" w14:paraId="35F2AA5F" w14:textId="77777777" w:rsidTr="001F1F60">
        <w:trPr>
          <w:cantSplit/>
          <w:trHeight w:val="255"/>
        </w:trPr>
        <w:tc>
          <w:tcPr>
            <w:tcW w:w="3686" w:type="dxa"/>
            <w:gridSpan w:val="4"/>
            <w:tcBorders>
              <w:top w:val="nil"/>
              <w:left w:val="nil"/>
              <w:bottom w:val="nil"/>
              <w:right w:val="nil"/>
            </w:tcBorders>
            <w:noWrap/>
          </w:tcPr>
          <w:p w14:paraId="40C7154C"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 xml:space="preserve">   Finalisations</w:t>
            </w:r>
          </w:p>
        </w:tc>
        <w:tc>
          <w:tcPr>
            <w:tcW w:w="822" w:type="dxa"/>
            <w:tcBorders>
              <w:top w:val="nil"/>
              <w:left w:val="nil"/>
              <w:bottom w:val="nil"/>
              <w:right w:val="nil"/>
            </w:tcBorders>
            <w:noWrap/>
            <w:vAlign w:val="center"/>
          </w:tcPr>
          <w:p w14:paraId="3088DB01" w14:textId="77777777" w:rsidR="00FD6F91" w:rsidRPr="00847FAE" w:rsidRDefault="00FD6F91" w:rsidP="00FD6F91">
            <w:pPr>
              <w:jc w:val="center"/>
              <w:rPr>
                <w:rFonts w:cs="Calibri"/>
                <w:color w:val="000000"/>
                <w:sz w:val="18"/>
                <w:szCs w:val="18"/>
              </w:rPr>
            </w:pPr>
            <w:r w:rsidRPr="00847FAE">
              <w:rPr>
                <w:rFonts w:cs="Calibri"/>
                <w:color w:val="000000"/>
                <w:sz w:val="18"/>
                <w:szCs w:val="18"/>
              </w:rPr>
              <w:t>254</w:t>
            </w:r>
          </w:p>
        </w:tc>
        <w:tc>
          <w:tcPr>
            <w:tcW w:w="822" w:type="dxa"/>
            <w:tcBorders>
              <w:top w:val="nil"/>
              <w:left w:val="nil"/>
              <w:bottom w:val="nil"/>
              <w:right w:val="nil"/>
            </w:tcBorders>
            <w:noWrap/>
            <w:vAlign w:val="center"/>
          </w:tcPr>
          <w:p w14:paraId="0D467967" w14:textId="77777777" w:rsidR="00FD6F91" w:rsidRPr="00847FAE" w:rsidRDefault="00FD6F91" w:rsidP="00FD6F91">
            <w:pPr>
              <w:jc w:val="center"/>
              <w:rPr>
                <w:rFonts w:cs="Calibri"/>
                <w:color w:val="000000"/>
                <w:sz w:val="18"/>
                <w:szCs w:val="18"/>
              </w:rPr>
            </w:pPr>
            <w:r w:rsidRPr="00847FAE">
              <w:rPr>
                <w:rFonts w:cs="Calibri"/>
                <w:color w:val="000000"/>
                <w:sz w:val="18"/>
                <w:szCs w:val="18"/>
              </w:rPr>
              <w:t>326</w:t>
            </w:r>
          </w:p>
        </w:tc>
        <w:tc>
          <w:tcPr>
            <w:tcW w:w="822" w:type="dxa"/>
            <w:tcBorders>
              <w:top w:val="nil"/>
              <w:left w:val="nil"/>
              <w:bottom w:val="nil"/>
              <w:right w:val="nil"/>
            </w:tcBorders>
            <w:noWrap/>
            <w:vAlign w:val="center"/>
          </w:tcPr>
          <w:p w14:paraId="63AC1532" w14:textId="77777777" w:rsidR="00FD6F91" w:rsidRPr="00847FAE" w:rsidRDefault="00FD6F91" w:rsidP="00FD6F91">
            <w:pPr>
              <w:jc w:val="center"/>
              <w:rPr>
                <w:rFonts w:cs="Calibri"/>
                <w:color w:val="000000"/>
                <w:sz w:val="18"/>
                <w:szCs w:val="18"/>
              </w:rPr>
            </w:pPr>
            <w:r w:rsidRPr="00847FAE">
              <w:rPr>
                <w:rFonts w:cs="Calibri"/>
                <w:color w:val="000000"/>
                <w:sz w:val="18"/>
                <w:szCs w:val="18"/>
              </w:rPr>
              <w:t>296</w:t>
            </w:r>
          </w:p>
        </w:tc>
        <w:tc>
          <w:tcPr>
            <w:tcW w:w="822" w:type="dxa"/>
            <w:tcBorders>
              <w:top w:val="nil"/>
              <w:left w:val="nil"/>
              <w:bottom w:val="nil"/>
              <w:right w:val="nil"/>
            </w:tcBorders>
            <w:noWrap/>
            <w:vAlign w:val="center"/>
          </w:tcPr>
          <w:p w14:paraId="5BB60285" w14:textId="77777777" w:rsidR="00FD6F91" w:rsidRPr="00847FAE" w:rsidRDefault="00FD6F91" w:rsidP="00FD6F91">
            <w:pPr>
              <w:jc w:val="center"/>
              <w:rPr>
                <w:rFonts w:cs="Calibri"/>
                <w:color w:val="000000"/>
                <w:sz w:val="18"/>
                <w:szCs w:val="18"/>
              </w:rPr>
            </w:pPr>
            <w:r w:rsidRPr="00847FAE">
              <w:rPr>
                <w:rFonts w:cs="Calibri"/>
                <w:color w:val="000000"/>
                <w:sz w:val="18"/>
                <w:szCs w:val="18"/>
              </w:rPr>
              <w:t>243</w:t>
            </w:r>
          </w:p>
        </w:tc>
        <w:tc>
          <w:tcPr>
            <w:tcW w:w="823" w:type="dxa"/>
            <w:tcBorders>
              <w:top w:val="nil"/>
              <w:left w:val="nil"/>
              <w:bottom w:val="nil"/>
              <w:right w:val="nil"/>
            </w:tcBorders>
            <w:noWrap/>
            <w:vAlign w:val="center"/>
          </w:tcPr>
          <w:p w14:paraId="708B7C9C" w14:textId="77777777" w:rsidR="00FD6F91" w:rsidRPr="00847FAE" w:rsidRDefault="00FD6F91" w:rsidP="00FD6F91">
            <w:pPr>
              <w:jc w:val="center"/>
              <w:rPr>
                <w:rFonts w:cs="Calibri"/>
                <w:color w:val="000000"/>
                <w:sz w:val="18"/>
                <w:szCs w:val="18"/>
              </w:rPr>
            </w:pPr>
            <w:r w:rsidRPr="00847FAE">
              <w:rPr>
                <w:rFonts w:cs="Calibri"/>
                <w:color w:val="000000"/>
                <w:sz w:val="18"/>
                <w:szCs w:val="18"/>
              </w:rPr>
              <w:t>304</w:t>
            </w:r>
          </w:p>
        </w:tc>
        <w:tc>
          <w:tcPr>
            <w:tcW w:w="1134" w:type="dxa"/>
            <w:tcBorders>
              <w:top w:val="nil"/>
              <w:left w:val="nil"/>
              <w:bottom w:val="nil"/>
              <w:right w:val="nil"/>
            </w:tcBorders>
            <w:noWrap/>
            <w:vAlign w:val="center"/>
          </w:tcPr>
          <w:p w14:paraId="323853C6" w14:textId="77777777" w:rsidR="00FD6F91" w:rsidRPr="00847FAE" w:rsidRDefault="00FD6F91" w:rsidP="00FD6F91">
            <w:pPr>
              <w:jc w:val="center"/>
              <w:rPr>
                <w:rFonts w:cs="Calibri"/>
                <w:color w:val="000000"/>
                <w:sz w:val="18"/>
                <w:szCs w:val="18"/>
              </w:rPr>
            </w:pPr>
            <w:r w:rsidRPr="00847FAE">
              <w:rPr>
                <w:rFonts w:cs="Calibri"/>
                <w:color w:val="000000"/>
                <w:sz w:val="18"/>
                <w:szCs w:val="18"/>
              </w:rPr>
              <w:t>25.1%</w:t>
            </w:r>
          </w:p>
        </w:tc>
      </w:tr>
      <w:tr w:rsidR="00FD6F91" w:rsidRPr="00847FAE" w14:paraId="59DF9E84" w14:textId="77777777" w:rsidTr="001F1F60">
        <w:trPr>
          <w:cantSplit/>
          <w:trHeight w:val="255"/>
        </w:trPr>
        <w:tc>
          <w:tcPr>
            <w:tcW w:w="3686" w:type="dxa"/>
            <w:gridSpan w:val="4"/>
            <w:tcBorders>
              <w:top w:val="nil"/>
              <w:left w:val="nil"/>
              <w:bottom w:val="nil"/>
              <w:right w:val="nil"/>
            </w:tcBorders>
            <w:shd w:val="clear" w:color="auto" w:fill="D9D9D9" w:themeFill="background1" w:themeFillShade="D9"/>
            <w:noWrap/>
          </w:tcPr>
          <w:p w14:paraId="397ED761" w14:textId="07F797EA" w:rsidR="00FD6F91" w:rsidRPr="00847FAE" w:rsidRDefault="00FD6F91" w:rsidP="00FD6F91">
            <w:pPr>
              <w:keepNext/>
              <w:widowControl w:val="0"/>
              <w:rPr>
                <w:rFonts w:cs="Calibri"/>
                <w:iCs/>
                <w:color w:val="000000"/>
                <w:sz w:val="18"/>
                <w:szCs w:val="18"/>
                <w:vertAlign w:val="superscript"/>
              </w:rPr>
            </w:pPr>
            <w:r w:rsidRPr="00847FAE">
              <w:rPr>
                <w:rFonts w:cs="Calibri"/>
                <w:iCs/>
                <w:color w:val="000000"/>
                <w:sz w:val="18"/>
                <w:szCs w:val="18"/>
              </w:rPr>
              <w:t>Applications to extend or vary a CPO</w:t>
            </w:r>
            <w:r w:rsidR="00893D4C" w:rsidRPr="00847FAE">
              <w:rPr>
                <w:rFonts w:cs="Calibri"/>
                <w:iCs/>
                <w:color w:val="000000"/>
                <w:sz w:val="18"/>
                <w:szCs w:val="18"/>
                <w:vertAlign w:val="superscript"/>
              </w:rPr>
              <w:t>3</w:t>
            </w:r>
          </w:p>
        </w:tc>
        <w:tc>
          <w:tcPr>
            <w:tcW w:w="822" w:type="dxa"/>
            <w:tcBorders>
              <w:top w:val="nil"/>
              <w:left w:val="nil"/>
              <w:bottom w:val="nil"/>
              <w:right w:val="nil"/>
            </w:tcBorders>
            <w:shd w:val="clear" w:color="auto" w:fill="D9D9D9" w:themeFill="background1" w:themeFillShade="D9"/>
            <w:noWrap/>
            <w:vAlign w:val="center"/>
          </w:tcPr>
          <w:p w14:paraId="5219680C"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33B97CF6"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6DFBB2B8"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6C043660" w14:textId="77777777" w:rsidR="00FD6F91" w:rsidRPr="00847FAE" w:rsidRDefault="00FD6F91" w:rsidP="00FD6F91">
            <w:pPr>
              <w:keepNext/>
              <w:jc w:val="right"/>
              <w:rPr>
                <w:rFonts w:cs="Calibri"/>
                <w:iCs/>
                <w:color w:val="000000"/>
                <w:sz w:val="18"/>
                <w:szCs w:val="18"/>
              </w:rPr>
            </w:pPr>
          </w:p>
        </w:tc>
        <w:tc>
          <w:tcPr>
            <w:tcW w:w="823" w:type="dxa"/>
            <w:tcBorders>
              <w:top w:val="nil"/>
              <w:left w:val="nil"/>
              <w:bottom w:val="nil"/>
              <w:right w:val="nil"/>
            </w:tcBorders>
            <w:shd w:val="clear" w:color="auto" w:fill="D9D9D9" w:themeFill="background1" w:themeFillShade="D9"/>
            <w:noWrap/>
            <w:vAlign w:val="center"/>
          </w:tcPr>
          <w:p w14:paraId="78A6F2B0" w14:textId="77777777" w:rsidR="00FD6F91" w:rsidRPr="00847FAE" w:rsidRDefault="00FD6F91" w:rsidP="00FD6F91">
            <w:pPr>
              <w:keepNext/>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37B946D8" w14:textId="77777777" w:rsidR="00FD6F91" w:rsidRPr="00847FAE" w:rsidRDefault="00FD6F91" w:rsidP="00FD6F91">
            <w:pPr>
              <w:keepNext/>
              <w:jc w:val="center"/>
              <w:rPr>
                <w:rFonts w:cs="Calibri"/>
                <w:iCs/>
                <w:color w:val="000000"/>
                <w:sz w:val="18"/>
                <w:szCs w:val="18"/>
              </w:rPr>
            </w:pPr>
          </w:p>
        </w:tc>
      </w:tr>
      <w:tr w:rsidR="00FD6F91" w:rsidRPr="00847FAE" w14:paraId="6D2AABC7" w14:textId="77777777" w:rsidTr="001F1F60">
        <w:trPr>
          <w:cantSplit/>
          <w:trHeight w:val="255"/>
        </w:trPr>
        <w:tc>
          <w:tcPr>
            <w:tcW w:w="3686" w:type="dxa"/>
            <w:gridSpan w:val="4"/>
            <w:tcBorders>
              <w:top w:val="nil"/>
              <w:left w:val="nil"/>
              <w:bottom w:val="nil"/>
              <w:right w:val="nil"/>
            </w:tcBorders>
            <w:noWrap/>
          </w:tcPr>
          <w:p w14:paraId="72D103D1"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 xml:space="preserve">   Lodgements</w:t>
            </w:r>
          </w:p>
        </w:tc>
        <w:tc>
          <w:tcPr>
            <w:tcW w:w="822" w:type="dxa"/>
            <w:tcBorders>
              <w:top w:val="nil"/>
              <w:left w:val="nil"/>
              <w:bottom w:val="nil"/>
              <w:right w:val="nil"/>
            </w:tcBorders>
            <w:noWrap/>
            <w:vAlign w:val="center"/>
          </w:tcPr>
          <w:p w14:paraId="578C6F45" w14:textId="77777777" w:rsidR="00FD6F91" w:rsidRPr="00847FAE" w:rsidRDefault="00FD6F91" w:rsidP="00FD6F91">
            <w:pPr>
              <w:jc w:val="center"/>
              <w:rPr>
                <w:rFonts w:cs="Calibri"/>
                <w:color w:val="000000"/>
                <w:sz w:val="18"/>
                <w:szCs w:val="18"/>
              </w:rPr>
            </w:pPr>
            <w:r w:rsidRPr="00847FAE">
              <w:rPr>
                <w:rFonts w:cs="Calibri"/>
                <w:color w:val="000000"/>
                <w:sz w:val="18"/>
                <w:szCs w:val="18"/>
              </w:rPr>
              <w:t>174</w:t>
            </w:r>
          </w:p>
        </w:tc>
        <w:tc>
          <w:tcPr>
            <w:tcW w:w="822" w:type="dxa"/>
            <w:tcBorders>
              <w:top w:val="nil"/>
              <w:left w:val="nil"/>
              <w:bottom w:val="nil"/>
              <w:right w:val="nil"/>
            </w:tcBorders>
            <w:noWrap/>
            <w:vAlign w:val="center"/>
          </w:tcPr>
          <w:p w14:paraId="41959E21" w14:textId="77777777" w:rsidR="00FD6F91" w:rsidRPr="00847FAE" w:rsidRDefault="00FD6F91" w:rsidP="00FD6F91">
            <w:pPr>
              <w:jc w:val="center"/>
              <w:rPr>
                <w:rFonts w:cs="Calibri"/>
                <w:color w:val="000000"/>
                <w:sz w:val="18"/>
                <w:szCs w:val="18"/>
              </w:rPr>
            </w:pPr>
            <w:r w:rsidRPr="00847FAE">
              <w:rPr>
                <w:rFonts w:cs="Calibri"/>
                <w:color w:val="000000"/>
                <w:sz w:val="18"/>
                <w:szCs w:val="18"/>
              </w:rPr>
              <w:t>128</w:t>
            </w:r>
          </w:p>
        </w:tc>
        <w:tc>
          <w:tcPr>
            <w:tcW w:w="822" w:type="dxa"/>
            <w:tcBorders>
              <w:top w:val="nil"/>
              <w:left w:val="nil"/>
              <w:bottom w:val="nil"/>
              <w:right w:val="nil"/>
            </w:tcBorders>
            <w:noWrap/>
            <w:vAlign w:val="center"/>
          </w:tcPr>
          <w:p w14:paraId="23E03FB1" w14:textId="77777777" w:rsidR="00FD6F91" w:rsidRPr="00847FAE" w:rsidRDefault="00FD6F91" w:rsidP="00FD6F91">
            <w:pPr>
              <w:jc w:val="center"/>
              <w:rPr>
                <w:rFonts w:cs="Calibri"/>
                <w:color w:val="000000"/>
                <w:sz w:val="18"/>
                <w:szCs w:val="18"/>
              </w:rPr>
            </w:pPr>
            <w:r w:rsidRPr="00847FAE">
              <w:rPr>
                <w:rFonts w:cs="Calibri"/>
                <w:color w:val="000000"/>
                <w:sz w:val="18"/>
                <w:szCs w:val="18"/>
              </w:rPr>
              <w:t>170</w:t>
            </w:r>
          </w:p>
        </w:tc>
        <w:tc>
          <w:tcPr>
            <w:tcW w:w="822" w:type="dxa"/>
            <w:tcBorders>
              <w:top w:val="nil"/>
              <w:left w:val="nil"/>
              <w:bottom w:val="nil"/>
              <w:right w:val="nil"/>
            </w:tcBorders>
            <w:noWrap/>
            <w:vAlign w:val="center"/>
          </w:tcPr>
          <w:p w14:paraId="6CF82BC2" w14:textId="77777777" w:rsidR="00FD6F91" w:rsidRPr="00847FAE" w:rsidRDefault="00FD6F91" w:rsidP="00FD6F91">
            <w:pPr>
              <w:jc w:val="center"/>
              <w:rPr>
                <w:rFonts w:cs="Calibri"/>
                <w:color w:val="000000"/>
                <w:sz w:val="18"/>
                <w:szCs w:val="18"/>
              </w:rPr>
            </w:pPr>
            <w:r w:rsidRPr="00847FAE">
              <w:rPr>
                <w:rFonts w:cs="Calibri"/>
                <w:color w:val="000000"/>
                <w:sz w:val="18"/>
                <w:szCs w:val="18"/>
              </w:rPr>
              <w:t>187</w:t>
            </w:r>
          </w:p>
        </w:tc>
        <w:tc>
          <w:tcPr>
            <w:tcW w:w="823" w:type="dxa"/>
            <w:tcBorders>
              <w:top w:val="nil"/>
              <w:left w:val="nil"/>
              <w:bottom w:val="nil"/>
              <w:right w:val="nil"/>
            </w:tcBorders>
            <w:noWrap/>
            <w:vAlign w:val="center"/>
          </w:tcPr>
          <w:p w14:paraId="07B3B61A" w14:textId="77777777" w:rsidR="00FD6F91" w:rsidRPr="00847FAE" w:rsidRDefault="00FD6F91" w:rsidP="00FD6F91">
            <w:pPr>
              <w:jc w:val="center"/>
              <w:rPr>
                <w:rFonts w:cs="Calibri"/>
                <w:color w:val="000000"/>
                <w:sz w:val="18"/>
                <w:szCs w:val="18"/>
              </w:rPr>
            </w:pPr>
            <w:r w:rsidRPr="00847FAE">
              <w:rPr>
                <w:rFonts w:cs="Calibri"/>
                <w:color w:val="000000"/>
                <w:sz w:val="18"/>
                <w:szCs w:val="18"/>
              </w:rPr>
              <w:t>197</w:t>
            </w:r>
          </w:p>
        </w:tc>
        <w:tc>
          <w:tcPr>
            <w:tcW w:w="1134" w:type="dxa"/>
            <w:tcBorders>
              <w:top w:val="nil"/>
              <w:left w:val="nil"/>
              <w:bottom w:val="nil"/>
              <w:right w:val="nil"/>
            </w:tcBorders>
            <w:noWrap/>
            <w:vAlign w:val="center"/>
          </w:tcPr>
          <w:p w14:paraId="145DCA68" w14:textId="77777777" w:rsidR="00FD6F91" w:rsidRPr="00847FAE" w:rsidRDefault="00FD6F91" w:rsidP="00FD6F91">
            <w:pPr>
              <w:jc w:val="center"/>
              <w:rPr>
                <w:rFonts w:cs="Calibri"/>
                <w:color w:val="000000"/>
                <w:sz w:val="18"/>
                <w:szCs w:val="18"/>
              </w:rPr>
            </w:pPr>
            <w:r w:rsidRPr="00847FAE">
              <w:rPr>
                <w:rFonts w:cs="Calibri"/>
                <w:color w:val="000000"/>
                <w:sz w:val="18"/>
                <w:szCs w:val="18"/>
              </w:rPr>
              <w:t>5.3%</w:t>
            </w:r>
          </w:p>
        </w:tc>
      </w:tr>
      <w:tr w:rsidR="00FD6F91" w:rsidRPr="00847FAE" w14:paraId="43F131AC" w14:textId="77777777" w:rsidTr="001F1F60">
        <w:trPr>
          <w:cantSplit/>
          <w:trHeight w:val="255"/>
        </w:trPr>
        <w:tc>
          <w:tcPr>
            <w:tcW w:w="3686" w:type="dxa"/>
            <w:gridSpan w:val="4"/>
            <w:tcBorders>
              <w:top w:val="nil"/>
              <w:left w:val="nil"/>
              <w:bottom w:val="nil"/>
              <w:right w:val="nil"/>
            </w:tcBorders>
            <w:noWrap/>
          </w:tcPr>
          <w:p w14:paraId="190CF3BF"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 xml:space="preserve">   Finalisations</w:t>
            </w:r>
          </w:p>
        </w:tc>
        <w:tc>
          <w:tcPr>
            <w:tcW w:w="822" w:type="dxa"/>
            <w:tcBorders>
              <w:top w:val="nil"/>
              <w:left w:val="nil"/>
              <w:bottom w:val="nil"/>
              <w:right w:val="nil"/>
            </w:tcBorders>
            <w:noWrap/>
            <w:vAlign w:val="center"/>
          </w:tcPr>
          <w:p w14:paraId="20EFA302" w14:textId="77777777" w:rsidR="00FD6F91" w:rsidRPr="00847FAE" w:rsidRDefault="00FD6F91" w:rsidP="00FD6F91">
            <w:pPr>
              <w:jc w:val="center"/>
              <w:rPr>
                <w:rFonts w:cs="Calibri"/>
                <w:color w:val="000000"/>
                <w:sz w:val="18"/>
                <w:szCs w:val="18"/>
              </w:rPr>
            </w:pPr>
            <w:r w:rsidRPr="00847FAE">
              <w:rPr>
                <w:rFonts w:cs="Calibri"/>
                <w:color w:val="000000"/>
                <w:sz w:val="18"/>
                <w:szCs w:val="18"/>
              </w:rPr>
              <w:t>155</w:t>
            </w:r>
          </w:p>
        </w:tc>
        <w:tc>
          <w:tcPr>
            <w:tcW w:w="822" w:type="dxa"/>
            <w:tcBorders>
              <w:top w:val="nil"/>
              <w:left w:val="nil"/>
              <w:bottom w:val="nil"/>
              <w:right w:val="nil"/>
            </w:tcBorders>
            <w:noWrap/>
            <w:vAlign w:val="center"/>
          </w:tcPr>
          <w:p w14:paraId="244D352E" w14:textId="77777777" w:rsidR="00FD6F91" w:rsidRPr="00847FAE" w:rsidRDefault="00FD6F91" w:rsidP="00FD6F91">
            <w:pPr>
              <w:jc w:val="center"/>
              <w:rPr>
                <w:rFonts w:cs="Calibri"/>
                <w:color w:val="000000"/>
                <w:sz w:val="18"/>
                <w:szCs w:val="18"/>
              </w:rPr>
            </w:pPr>
            <w:r w:rsidRPr="00847FAE">
              <w:rPr>
                <w:rFonts w:cs="Calibri"/>
                <w:color w:val="000000"/>
                <w:sz w:val="18"/>
                <w:szCs w:val="18"/>
              </w:rPr>
              <w:t>126</w:t>
            </w:r>
          </w:p>
        </w:tc>
        <w:tc>
          <w:tcPr>
            <w:tcW w:w="822" w:type="dxa"/>
            <w:tcBorders>
              <w:top w:val="nil"/>
              <w:left w:val="nil"/>
              <w:bottom w:val="nil"/>
              <w:right w:val="nil"/>
            </w:tcBorders>
            <w:noWrap/>
            <w:vAlign w:val="center"/>
          </w:tcPr>
          <w:p w14:paraId="40FDFB0E" w14:textId="77777777" w:rsidR="00FD6F91" w:rsidRPr="00847FAE" w:rsidRDefault="00FD6F91" w:rsidP="00FD6F91">
            <w:pPr>
              <w:jc w:val="center"/>
              <w:rPr>
                <w:rFonts w:cs="Calibri"/>
                <w:color w:val="000000"/>
                <w:sz w:val="18"/>
                <w:szCs w:val="18"/>
              </w:rPr>
            </w:pPr>
            <w:r w:rsidRPr="00847FAE">
              <w:rPr>
                <w:rFonts w:cs="Calibri"/>
                <w:color w:val="000000"/>
                <w:sz w:val="18"/>
                <w:szCs w:val="18"/>
              </w:rPr>
              <w:t>143</w:t>
            </w:r>
          </w:p>
        </w:tc>
        <w:tc>
          <w:tcPr>
            <w:tcW w:w="822" w:type="dxa"/>
            <w:tcBorders>
              <w:top w:val="nil"/>
              <w:left w:val="nil"/>
              <w:bottom w:val="nil"/>
              <w:right w:val="nil"/>
            </w:tcBorders>
            <w:noWrap/>
            <w:vAlign w:val="center"/>
          </w:tcPr>
          <w:p w14:paraId="6A951DA7" w14:textId="77777777" w:rsidR="00FD6F91" w:rsidRPr="00847FAE" w:rsidRDefault="00FD6F91" w:rsidP="00FD6F91">
            <w:pPr>
              <w:jc w:val="center"/>
              <w:rPr>
                <w:rFonts w:cs="Calibri"/>
                <w:color w:val="000000"/>
                <w:sz w:val="18"/>
                <w:szCs w:val="18"/>
              </w:rPr>
            </w:pPr>
            <w:r w:rsidRPr="00847FAE">
              <w:rPr>
                <w:rFonts w:cs="Calibri"/>
                <w:color w:val="000000"/>
                <w:sz w:val="18"/>
                <w:szCs w:val="18"/>
              </w:rPr>
              <w:t>163</w:t>
            </w:r>
          </w:p>
        </w:tc>
        <w:tc>
          <w:tcPr>
            <w:tcW w:w="823" w:type="dxa"/>
            <w:tcBorders>
              <w:top w:val="nil"/>
              <w:left w:val="nil"/>
              <w:bottom w:val="nil"/>
              <w:right w:val="nil"/>
            </w:tcBorders>
            <w:noWrap/>
            <w:vAlign w:val="center"/>
          </w:tcPr>
          <w:p w14:paraId="759F7A23" w14:textId="77777777" w:rsidR="00FD6F91" w:rsidRPr="00847FAE" w:rsidRDefault="00FD6F91" w:rsidP="00FD6F91">
            <w:pPr>
              <w:jc w:val="center"/>
              <w:rPr>
                <w:rFonts w:cs="Calibri"/>
                <w:color w:val="000000"/>
                <w:sz w:val="18"/>
                <w:szCs w:val="18"/>
              </w:rPr>
            </w:pPr>
            <w:r w:rsidRPr="00847FAE">
              <w:rPr>
                <w:rFonts w:cs="Calibri"/>
                <w:color w:val="000000"/>
                <w:sz w:val="18"/>
                <w:szCs w:val="18"/>
              </w:rPr>
              <w:t>180</w:t>
            </w:r>
          </w:p>
        </w:tc>
        <w:tc>
          <w:tcPr>
            <w:tcW w:w="1134" w:type="dxa"/>
            <w:tcBorders>
              <w:top w:val="nil"/>
              <w:left w:val="nil"/>
              <w:bottom w:val="nil"/>
              <w:right w:val="nil"/>
            </w:tcBorders>
            <w:noWrap/>
            <w:vAlign w:val="center"/>
          </w:tcPr>
          <w:p w14:paraId="021D9531" w14:textId="77777777" w:rsidR="00FD6F91" w:rsidRPr="00847FAE" w:rsidRDefault="00FD6F91" w:rsidP="00FD6F91">
            <w:pPr>
              <w:jc w:val="center"/>
              <w:rPr>
                <w:rFonts w:cs="Calibri"/>
                <w:color w:val="000000"/>
                <w:sz w:val="18"/>
                <w:szCs w:val="18"/>
              </w:rPr>
            </w:pPr>
            <w:r w:rsidRPr="00847FAE">
              <w:rPr>
                <w:rFonts w:cs="Calibri"/>
                <w:color w:val="000000"/>
                <w:sz w:val="18"/>
                <w:szCs w:val="18"/>
              </w:rPr>
              <w:t>10.4%</w:t>
            </w:r>
          </w:p>
        </w:tc>
      </w:tr>
      <w:tr w:rsidR="00FD6F91" w:rsidRPr="00847FAE" w14:paraId="17C595F1" w14:textId="77777777" w:rsidTr="001F1F60">
        <w:trPr>
          <w:cantSplit/>
          <w:trHeight w:val="255"/>
        </w:trPr>
        <w:tc>
          <w:tcPr>
            <w:tcW w:w="3686" w:type="dxa"/>
            <w:gridSpan w:val="4"/>
            <w:tcBorders>
              <w:top w:val="nil"/>
              <w:left w:val="nil"/>
              <w:bottom w:val="nil"/>
              <w:right w:val="nil"/>
            </w:tcBorders>
            <w:shd w:val="clear" w:color="auto" w:fill="D9D9D9" w:themeFill="background1" w:themeFillShade="D9"/>
            <w:noWrap/>
          </w:tcPr>
          <w:p w14:paraId="170B6829" w14:textId="57F97981" w:rsidR="00FD6F91" w:rsidRPr="00F7294D" w:rsidRDefault="00FD6F91" w:rsidP="00FD6F91">
            <w:pPr>
              <w:keepNext/>
              <w:widowControl w:val="0"/>
              <w:rPr>
                <w:rFonts w:cs="Calibri"/>
                <w:iCs/>
                <w:color w:val="000000"/>
                <w:sz w:val="18"/>
                <w:szCs w:val="18"/>
                <w:vertAlign w:val="superscript"/>
              </w:rPr>
            </w:pPr>
            <w:r w:rsidRPr="00847FAE">
              <w:rPr>
                <w:rFonts w:cs="Calibri"/>
                <w:iCs/>
                <w:color w:val="000000"/>
                <w:sz w:val="18"/>
                <w:szCs w:val="18"/>
              </w:rPr>
              <w:t>Applications to revoke a CPO</w:t>
            </w:r>
            <w:r w:rsidR="00F7294D">
              <w:rPr>
                <w:rFonts w:cs="Calibri"/>
                <w:iCs/>
                <w:color w:val="000000"/>
                <w:sz w:val="18"/>
                <w:szCs w:val="18"/>
                <w:vertAlign w:val="superscript"/>
              </w:rPr>
              <w:t>4</w:t>
            </w:r>
          </w:p>
        </w:tc>
        <w:tc>
          <w:tcPr>
            <w:tcW w:w="822" w:type="dxa"/>
            <w:tcBorders>
              <w:top w:val="nil"/>
              <w:left w:val="nil"/>
              <w:bottom w:val="nil"/>
              <w:right w:val="nil"/>
            </w:tcBorders>
            <w:shd w:val="clear" w:color="auto" w:fill="D9D9D9" w:themeFill="background1" w:themeFillShade="D9"/>
            <w:noWrap/>
            <w:vAlign w:val="center"/>
          </w:tcPr>
          <w:p w14:paraId="2BA79AC1"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57E897E2"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111794AB" w14:textId="77777777" w:rsidR="00FD6F91" w:rsidRPr="00847FAE" w:rsidRDefault="00FD6F91" w:rsidP="00FD6F91">
            <w:pPr>
              <w:keepNext/>
              <w:jc w:val="right"/>
              <w:rPr>
                <w:rFonts w:cs="Calibri"/>
                <w:iCs/>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50AF163F" w14:textId="77777777" w:rsidR="00FD6F91" w:rsidRPr="00847FAE" w:rsidRDefault="00FD6F91" w:rsidP="00FD6F91">
            <w:pPr>
              <w:keepNext/>
              <w:jc w:val="right"/>
              <w:rPr>
                <w:rFonts w:cs="Calibri"/>
                <w:iCs/>
                <w:color w:val="000000"/>
                <w:sz w:val="18"/>
                <w:szCs w:val="18"/>
              </w:rPr>
            </w:pPr>
          </w:p>
        </w:tc>
        <w:tc>
          <w:tcPr>
            <w:tcW w:w="823" w:type="dxa"/>
            <w:tcBorders>
              <w:top w:val="nil"/>
              <w:left w:val="nil"/>
              <w:bottom w:val="nil"/>
              <w:right w:val="nil"/>
            </w:tcBorders>
            <w:shd w:val="clear" w:color="auto" w:fill="D9D9D9" w:themeFill="background1" w:themeFillShade="D9"/>
            <w:noWrap/>
            <w:vAlign w:val="center"/>
          </w:tcPr>
          <w:p w14:paraId="67F55C94" w14:textId="77777777" w:rsidR="00FD6F91" w:rsidRPr="00847FAE" w:rsidRDefault="00FD6F91" w:rsidP="00FD6F91">
            <w:pPr>
              <w:keepNext/>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4AED96F8" w14:textId="77777777" w:rsidR="00FD6F91" w:rsidRPr="00847FAE" w:rsidRDefault="00FD6F91" w:rsidP="00FD6F91">
            <w:pPr>
              <w:keepNext/>
              <w:jc w:val="center"/>
              <w:rPr>
                <w:rFonts w:cs="Calibri"/>
                <w:iCs/>
                <w:color w:val="000000"/>
                <w:sz w:val="18"/>
                <w:szCs w:val="18"/>
              </w:rPr>
            </w:pPr>
          </w:p>
        </w:tc>
      </w:tr>
      <w:tr w:rsidR="00FD6F91" w:rsidRPr="00847FAE" w14:paraId="138186FF" w14:textId="77777777" w:rsidTr="001F1F60">
        <w:trPr>
          <w:cantSplit/>
          <w:trHeight w:val="255"/>
        </w:trPr>
        <w:tc>
          <w:tcPr>
            <w:tcW w:w="3686" w:type="dxa"/>
            <w:gridSpan w:val="4"/>
            <w:tcBorders>
              <w:top w:val="nil"/>
              <w:left w:val="nil"/>
              <w:bottom w:val="nil"/>
              <w:right w:val="nil"/>
            </w:tcBorders>
            <w:noWrap/>
          </w:tcPr>
          <w:p w14:paraId="1215FCF8"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 xml:space="preserve">   Lodgements</w:t>
            </w:r>
          </w:p>
        </w:tc>
        <w:tc>
          <w:tcPr>
            <w:tcW w:w="822" w:type="dxa"/>
            <w:tcBorders>
              <w:top w:val="nil"/>
              <w:left w:val="nil"/>
              <w:bottom w:val="nil"/>
              <w:right w:val="nil"/>
            </w:tcBorders>
            <w:noWrap/>
            <w:vAlign w:val="center"/>
          </w:tcPr>
          <w:p w14:paraId="70967555" w14:textId="77777777" w:rsidR="00FD6F91" w:rsidRPr="00847FAE" w:rsidRDefault="00FD6F91" w:rsidP="00FD6F91">
            <w:pPr>
              <w:jc w:val="center"/>
              <w:rPr>
                <w:rFonts w:cs="Calibri"/>
                <w:color w:val="000000"/>
                <w:sz w:val="18"/>
                <w:szCs w:val="18"/>
              </w:rPr>
            </w:pPr>
            <w:r w:rsidRPr="00847FAE">
              <w:rPr>
                <w:rFonts w:cs="Calibri"/>
                <w:color w:val="000000"/>
                <w:sz w:val="18"/>
                <w:szCs w:val="18"/>
              </w:rPr>
              <w:t>19</w:t>
            </w:r>
          </w:p>
        </w:tc>
        <w:tc>
          <w:tcPr>
            <w:tcW w:w="822" w:type="dxa"/>
            <w:tcBorders>
              <w:top w:val="nil"/>
              <w:left w:val="nil"/>
              <w:bottom w:val="nil"/>
              <w:right w:val="nil"/>
            </w:tcBorders>
            <w:noWrap/>
            <w:vAlign w:val="center"/>
          </w:tcPr>
          <w:p w14:paraId="57202368" w14:textId="77777777" w:rsidR="00FD6F91" w:rsidRPr="00847FAE" w:rsidRDefault="00FD6F91" w:rsidP="00FD6F91">
            <w:pPr>
              <w:jc w:val="center"/>
              <w:rPr>
                <w:rFonts w:cs="Calibri"/>
                <w:color w:val="000000"/>
                <w:sz w:val="18"/>
                <w:szCs w:val="18"/>
              </w:rPr>
            </w:pPr>
            <w:r w:rsidRPr="00847FAE">
              <w:rPr>
                <w:rFonts w:cs="Calibri"/>
                <w:color w:val="000000"/>
                <w:sz w:val="18"/>
                <w:szCs w:val="18"/>
              </w:rPr>
              <w:t>19</w:t>
            </w:r>
          </w:p>
        </w:tc>
        <w:tc>
          <w:tcPr>
            <w:tcW w:w="822" w:type="dxa"/>
            <w:tcBorders>
              <w:top w:val="nil"/>
              <w:left w:val="nil"/>
              <w:bottom w:val="nil"/>
              <w:right w:val="nil"/>
            </w:tcBorders>
            <w:noWrap/>
            <w:vAlign w:val="center"/>
          </w:tcPr>
          <w:p w14:paraId="06FB2B6B" w14:textId="77777777" w:rsidR="00FD6F91" w:rsidRPr="00847FAE" w:rsidRDefault="00FD6F91" w:rsidP="00FD6F91">
            <w:pPr>
              <w:jc w:val="center"/>
              <w:rPr>
                <w:rFonts w:cs="Calibri"/>
                <w:color w:val="000000"/>
                <w:sz w:val="18"/>
                <w:szCs w:val="18"/>
              </w:rPr>
            </w:pPr>
            <w:r w:rsidRPr="00847FAE">
              <w:rPr>
                <w:rFonts w:cs="Calibri"/>
                <w:color w:val="000000"/>
                <w:sz w:val="18"/>
                <w:szCs w:val="18"/>
              </w:rPr>
              <w:t>13</w:t>
            </w:r>
          </w:p>
        </w:tc>
        <w:tc>
          <w:tcPr>
            <w:tcW w:w="822" w:type="dxa"/>
            <w:tcBorders>
              <w:top w:val="nil"/>
              <w:left w:val="nil"/>
              <w:bottom w:val="nil"/>
              <w:right w:val="nil"/>
            </w:tcBorders>
            <w:noWrap/>
            <w:vAlign w:val="center"/>
          </w:tcPr>
          <w:p w14:paraId="6CBD6B28" w14:textId="77777777" w:rsidR="00FD6F91" w:rsidRPr="00847FAE" w:rsidRDefault="00FD6F91" w:rsidP="00FD6F91">
            <w:pPr>
              <w:jc w:val="center"/>
              <w:rPr>
                <w:rFonts w:cs="Calibri"/>
                <w:color w:val="000000"/>
                <w:sz w:val="18"/>
                <w:szCs w:val="18"/>
              </w:rPr>
            </w:pPr>
            <w:r w:rsidRPr="00847FAE">
              <w:rPr>
                <w:rFonts w:cs="Calibri"/>
                <w:color w:val="000000"/>
                <w:sz w:val="18"/>
                <w:szCs w:val="18"/>
              </w:rPr>
              <w:t>5</w:t>
            </w:r>
          </w:p>
        </w:tc>
        <w:tc>
          <w:tcPr>
            <w:tcW w:w="823" w:type="dxa"/>
            <w:tcBorders>
              <w:top w:val="nil"/>
              <w:left w:val="nil"/>
              <w:bottom w:val="nil"/>
              <w:right w:val="nil"/>
            </w:tcBorders>
            <w:noWrap/>
            <w:vAlign w:val="center"/>
          </w:tcPr>
          <w:p w14:paraId="39C4BBB8" w14:textId="77777777" w:rsidR="00FD6F91" w:rsidRPr="00847FAE" w:rsidRDefault="00FD6F91" w:rsidP="00FD6F91">
            <w:pPr>
              <w:jc w:val="center"/>
              <w:rPr>
                <w:rFonts w:cs="Calibri"/>
                <w:color w:val="000000"/>
                <w:sz w:val="18"/>
                <w:szCs w:val="18"/>
              </w:rPr>
            </w:pPr>
            <w:r w:rsidRPr="00847FAE">
              <w:rPr>
                <w:rFonts w:cs="Calibri"/>
                <w:color w:val="000000"/>
                <w:sz w:val="18"/>
                <w:szCs w:val="18"/>
              </w:rPr>
              <w:t>18</w:t>
            </w:r>
          </w:p>
        </w:tc>
        <w:tc>
          <w:tcPr>
            <w:tcW w:w="1134" w:type="dxa"/>
            <w:tcBorders>
              <w:top w:val="nil"/>
              <w:left w:val="nil"/>
              <w:bottom w:val="nil"/>
              <w:right w:val="nil"/>
            </w:tcBorders>
            <w:noWrap/>
            <w:vAlign w:val="center"/>
          </w:tcPr>
          <w:p w14:paraId="4B6241C2" w14:textId="77777777" w:rsidR="00FD6F91" w:rsidRPr="00847FAE" w:rsidRDefault="00FD6F91" w:rsidP="00FD6F91">
            <w:pPr>
              <w:jc w:val="center"/>
              <w:rPr>
                <w:rFonts w:cs="Calibri"/>
                <w:color w:val="000000"/>
                <w:sz w:val="18"/>
                <w:szCs w:val="18"/>
              </w:rPr>
            </w:pPr>
            <w:r w:rsidRPr="00847FAE">
              <w:rPr>
                <w:rFonts w:cs="Calibri"/>
                <w:color w:val="000000"/>
                <w:sz w:val="18"/>
                <w:szCs w:val="18"/>
              </w:rPr>
              <w:t>260.0%</w:t>
            </w:r>
          </w:p>
        </w:tc>
      </w:tr>
      <w:tr w:rsidR="00FD6F91" w:rsidRPr="00847FAE" w14:paraId="32015205" w14:textId="77777777" w:rsidTr="001F1F60">
        <w:trPr>
          <w:cantSplit/>
          <w:trHeight w:val="255"/>
        </w:trPr>
        <w:tc>
          <w:tcPr>
            <w:tcW w:w="3686" w:type="dxa"/>
            <w:gridSpan w:val="4"/>
            <w:tcBorders>
              <w:top w:val="nil"/>
              <w:left w:val="nil"/>
              <w:bottom w:val="nil"/>
              <w:right w:val="nil"/>
            </w:tcBorders>
            <w:noWrap/>
          </w:tcPr>
          <w:p w14:paraId="6B249E1B"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 xml:space="preserve">   Finalisations</w:t>
            </w:r>
          </w:p>
        </w:tc>
        <w:tc>
          <w:tcPr>
            <w:tcW w:w="822" w:type="dxa"/>
            <w:tcBorders>
              <w:top w:val="nil"/>
              <w:left w:val="nil"/>
              <w:bottom w:val="nil"/>
              <w:right w:val="nil"/>
            </w:tcBorders>
            <w:noWrap/>
            <w:vAlign w:val="center"/>
          </w:tcPr>
          <w:p w14:paraId="76D257DC" w14:textId="77777777" w:rsidR="00FD6F91" w:rsidRPr="00847FAE" w:rsidRDefault="00FD6F91" w:rsidP="00FD6F91">
            <w:pPr>
              <w:jc w:val="center"/>
              <w:rPr>
                <w:rFonts w:cs="Calibri"/>
                <w:color w:val="000000"/>
                <w:sz w:val="18"/>
                <w:szCs w:val="18"/>
              </w:rPr>
            </w:pPr>
            <w:r w:rsidRPr="00847FAE">
              <w:rPr>
                <w:rFonts w:cs="Calibri"/>
                <w:color w:val="000000"/>
                <w:sz w:val="18"/>
                <w:szCs w:val="18"/>
              </w:rPr>
              <w:t>21</w:t>
            </w:r>
          </w:p>
        </w:tc>
        <w:tc>
          <w:tcPr>
            <w:tcW w:w="822" w:type="dxa"/>
            <w:tcBorders>
              <w:top w:val="nil"/>
              <w:left w:val="nil"/>
              <w:bottom w:val="nil"/>
              <w:right w:val="nil"/>
            </w:tcBorders>
            <w:noWrap/>
            <w:vAlign w:val="center"/>
          </w:tcPr>
          <w:p w14:paraId="7E817C0B" w14:textId="77777777" w:rsidR="00FD6F91" w:rsidRPr="00847FAE" w:rsidRDefault="00FD6F91" w:rsidP="00FD6F91">
            <w:pPr>
              <w:jc w:val="center"/>
              <w:rPr>
                <w:rFonts w:cs="Calibri"/>
                <w:color w:val="000000"/>
                <w:sz w:val="18"/>
                <w:szCs w:val="18"/>
              </w:rPr>
            </w:pPr>
            <w:r w:rsidRPr="00847FAE">
              <w:rPr>
                <w:rFonts w:cs="Calibri"/>
                <w:color w:val="000000"/>
                <w:sz w:val="18"/>
                <w:szCs w:val="18"/>
              </w:rPr>
              <w:t>18</w:t>
            </w:r>
          </w:p>
        </w:tc>
        <w:tc>
          <w:tcPr>
            <w:tcW w:w="822" w:type="dxa"/>
            <w:tcBorders>
              <w:top w:val="nil"/>
              <w:left w:val="nil"/>
              <w:bottom w:val="nil"/>
              <w:right w:val="nil"/>
            </w:tcBorders>
            <w:noWrap/>
            <w:vAlign w:val="center"/>
          </w:tcPr>
          <w:p w14:paraId="4880AC34" w14:textId="77777777" w:rsidR="00FD6F91" w:rsidRPr="00847FAE" w:rsidRDefault="00FD6F91" w:rsidP="00FD6F91">
            <w:pPr>
              <w:jc w:val="center"/>
              <w:rPr>
                <w:rFonts w:cs="Calibri"/>
                <w:color w:val="000000"/>
                <w:sz w:val="18"/>
                <w:szCs w:val="18"/>
              </w:rPr>
            </w:pPr>
            <w:r w:rsidRPr="00847FAE">
              <w:rPr>
                <w:rFonts w:cs="Calibri"/>
                <w:color w:val="000000"/>
                <w:sz w:val="18"/>
                <w:szCs w:val="18"/>
              </w:rPr>
              <w:t>11</w:t>
            </w:r>
          </w:p>
        </w:tc>
        <w:tc>
          <w:tcPr>
            <w:tcW w:w="822" w:type="dxa"/>
            <w:tcBorders>
              <w:top w:val="nil"/>
              <w:left w:val="nil"/>
              <w:bottom w:val="nil"/>
              <w:right w:val="nil"/>
            </w:tcBorders>
            <w:noWrap/>
            <w:vAlign w:val="center"/>
          </w:tcPr>
          <w:p w14:paraId="0B5B2AA0" w14:textId="77777777" w:rsidR="00FD6F91" w:rsidRPr="00847FAE" w:rsidRDefault="00FD6F91" w:rsidP="00FD6F91">
            <w:pPr>
              <w:jc w:val="center"/>
              <w:rPr>
                <w:rFonts w:cs="Calibri"/>
                <w:color w:val="000000"/>
                <w:sz w:val="18"/>
                <w:szCs w:val="18"/>
              </w:rPr>
            </w:pPr>
            <w:r w:rsidRPr="00847FAE">
              <w:rPr>
                <w:rFonts w:cs="Calibri"/>
                <w:color w:val="000000"/>
                <w:sz w:val="18"/>
                <w:szCs w:val="18"/>
              </w:rPr>
              <w:t>5</w:t>
            </w:r>
          </w:p>
        </w:tc>
        <w:tc>
          <w:tcPr>
            <w:tcW w:w="823" w:type="dxa"/>
            <w:tcBorders>
              <w:top w:val="nil"/>
              <w:left w:val="nil"/>
              <w:bottom w:val="nil"/>
              <w:right w:val="nil"/>
            </w:tcBorders>
            <w:noWrap/>
            <w:vAlign w:val="center"/>
          </w:tcPr>
          <w:p w14:paraId="437EE689" w14:textId="77777777" w:rsidR="00FD6F91" w:rsidRPr="00847FAE" w:rsidRDefault="00FD6F91" w:rsidP="00FD6F91">
            <w:pPr>
              <w:jc w:val="center"/>
              <w:rPr>
                <w:rFonts w:cs="Calibri"/>
                <w:color w:val="000000"/>
                <w:sz w:val="18"/>
                <w:szCs w:val="18"/>
              </w:rPr>
            </w:pPr>
            <w:r w:rsidRPr="00847FAE">
              <w:rPr>
                <w:rFonts w:cs="Calibri"/>
                <w:color w:val="000000"/>
                <w:sz w:val="18"/>
                <w:szCs w:val="18"/>
              </w:rPr>
              <w:t>16</w:t>
            </w:r>
          </w:p>
        </w:tc>
        <w:tc>
          <w:tcPr>
            <w:tcW w:w="1134" w:type="dxa"/>
            <w:tcBorders>
              <w:top w:val="nil"/>
              <w:left w:val="nil"/>
              <w:bottom w:val="nil"/>
              <w:right w:val="nil"/>
            </w:tcBorders>
            <w:noWrap/>
            <w:vAlign w:val="center"/>
          </w:tcPr>
          <w:p w14:paraId="765EE843" w14:textId="77777777" w:rsidR="00FD6F91" w:rsidRPr="00847FAE" w:rsidRDefault="00FD6F91" w:rsidP="00FD6F91">
            <w:pPr>
              <w:jc w:val="center"/>
              <w:rPr>
                <w:rFonts w:cs="Calibri"/>
                <w:color w:val="000000"/>
                <w:sz w:val="18"/>
                <w:szCs w:val="18"/>
              </w:rPr>
            </w:pPr>
            <w:r w:rsidRPr="00847FAE">
              <w:rPr>
                <w:rFonts w:cs="Calibri"/>
                <w:color w:val="000000"/>
                <w:sz w:val="18"/>
                <w:szCs w:val="18"/>
              </w:rPr>
              <w:t>220.0%</w:t>
            </w:r>
          </w:p>
        </w:tc>
      </w:tr>
      <w:tr w:rsidR="00FD6F91" w:rsidRPr="00847FAE" w14:paraId="5A609CF6" w14:textId="77777777" w:rsidTr="001F1F60">
        <w:trPr>
          <w:cantSplit/>
          <w:trHeight w:val="255"/>
        </w:trPr>
        <w:tc>
          <w:tcPr>
            <w:tcW w:w="3686" w:type="dxa"/>
            <w:gridSpan w:val="4"/>
            <w:tcBorders>
              <w:top w:val="nil"/>
              <w:left w:val="nil"/>
              <w:bottom w:val="nil"/>
              <w:right w:val="nil"/>
            </w:tcBorders>
            <w:shd w:val="clear" w:color="auto" w:fill="D9D9D9" w:themeFill="background1" w:themeFillShade="D9"/>
            <w:noWrap/>
          </w:tcPr>
          <w:p w14:paraId="77B45112" w14:textId="5F705A79" w:rsidR="00FD6F91" w:rsidRPr="00A47583" w:rsidRDefault="00FD6F91" w:rsidP="00FD6F91">
            <w:pPr>
              <w:keepNext/>
              <w:widowControl w:val="0"/>
              <w:rPr>
                <w:rFonts w:cs="Calibri"/>
                <w:iCs/>
                <w:color w:val="000000"/>
                <w:sz w:val="18"/>
                <w:szCs w:val="18"/>
                <w:vertAlign w:val="superscript"/>
              </w:rPr>
            </w:pPr>
            <w:r w:rsidRPr="00A47583">
              <w:rPr>
                <w:rFonts w:cs="Calibri"/>
                <w:iCs/>
                <w:color w:val="000000"/>
                <w:sz w:val="18"/>
                <w:szCs w:val="18"/>
              </w:rPr>
              <w:t>Other applications regarding CPOs</w:t>
            </w:r>
            <w:r w:rsidR="00F7294D">
              <w:rPr>
                <w:rFonts w:cs="Calibri"/>
                <w:iCs/>
                <w:color w:val="000000"/>
                <w:sz w:val="18"/>
                <w:szCs w:val="18"/>
                <w:vertAlign w:val="superscript"/>
              </w:rPr>
              <w:t>5</w:t>
            </w:r>
          </w:p>
        </w:tc>
        <w:tc>
          <w:tcPr>
            <w:tcW w:w="822" w:type="dxa"/>
            <w:tcBorders>
              <w:top w:val="nil"/>
              <w:left w:val="nil"/>
              <w:bottom w:val="nil"/>
              <w:right w:val="nil"/>
            </w:tcBorders>
            <w:shd w:val="clear" w:color="auto" w:fill="D9D9D9" w:themeFill="background1" w:themeFillShade="D9"/>
            <w:noWrap/>
            <w:vAlign w:val="center"/>
          </w:tcPr>
          <w:p w14:paraId="5B9715C6" w14:textId="77777777" w:rsidR="00FD6F91" w:rsidRPr="00847FAE" w:rsidRDefault="00FD6F91" w:rsidP="00FD6F91">
            <w:pPr>
              <w:jc w:val="center"/>
              <w:rPr>
                <w:rFonts w:cs="Calibri"/>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4E2B3F0C" w14:textId="77777777" w:rsidR="00FD6F91" w:rsidRPr="00847FAE" w:rsidRDefault="00FD6F91" w:rsidP="00FD6F91">
            <w:pPr>
              <w:jc w:val="center"/>
              <w:rPr>
                <w:rFonts w:cs="Calibri"/>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6C1E7B56" w14:textId="77777777" w:rsidR="00FD6F91" w:rsidRPr="00847FAE" w:rsidRDefault="00FD6F91" w:rsidP="00FD6F91">
            <w:pPr>
              <w:jc w:val="center"/>
              <w:rPr>
                <w:rFonts w:cs="Calibri"/>
                <w:color w:val="000000"/>
                <w:sz w:val="18"/>
                <w:szCs w:val="18"/>
              </w:rPr>
            </w:pPr>
          </w:p>
        </w:tc>
        <w:tc>
          <w:tcPr>
            <w:tcW w:w="822" w:type="dxa"/>
            <w:tcBorders>
              <w:top w:val="nil"/>
              <w:left w:val="nil"/>
              <w:bottom w:val="nil"/>
              <w:right w:val="nil"/>
            </w:tcBorders>
            <w:shd w:val="clear" w:color="auto" w:fill="D9D9D9" w:themeFill="background1" w:themeFillShade="D9"/>
            <w:noWrap/>
            <w:vAlign w:val="center"/>
          </w:tcPr>
          <w:p w14:paraId="686E731F" w14:textId="77777777" w:rsidR="00FD6F91" w:rsidRPr="00847FAE" w:rsidRDefault="00FD6F91" w:rsidP="00FD6F91">
            <w:pPr>
              <w:jc w:val="center"/>
              <w:rPr>
                <w:rFonts w:cs="Calibri"/>
                <w:color w:val="000000"/>
                <w:sz w:val="18"/>
                <w:szCs w:val="18"/>
              </w:rPr>
            </w:pPr>
          </w:p>
        </w:tc>
        <w:tc>
          <w:tcPr>
            <w:tcW w:w="823" w:type="dxa"/>
            <w:tcBorders>
              <w:top w:val="nil"/>
              <w:left w:val="nil"/>
              <w:bottom w:val="nil"/>
              <w:right w:val="nil"/>
            </w:tcBorders>
            <w:shd w:val="clear" w:color="auto" w:fill="D9D9D9" w:themeFill="background1" w:themeFillShade="D9"/>
            <w:noWrap/>
            <w:vAlign w:val="center"/>
          </w:tcPr>
          <w:p w14:paraId="70436737" w14:textId="77777777" w:rsidR="00FD6F91" w:rsidRPr="00847FAE" w:rsidRDefault="00FD6F91" w:rsidP="00FD6F91">
            <w:pPr>
              <w:jc w:val="center"/>
              <w:rPr>
                <w:rFonts w:cs="Calibri"/>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64DBABF4" w14:textId="77777777" w:rsidR="00FD6F91" w:rsidRPr="00847FAE" w:rsidRDefault="00FD6F91" w:rsidP="00FD6F91">
            <w:pPr>
              <w:jc w:val="center"/>
              <w:rPr>
                <w:rFonts w:cs="Calibri"/>
                <w:color w:val="000000"/>
                <w:sz w:val="18"/>
                <w:szCs w:val="18"/>
              </w:rPr>
            </w:pPr>
          </w:p>
        </w:tc>
      </w:tr>
      <w:tr w:rsidR="00FD6F91" w:rsidRPr="00847FAE" w14:paraId="19702050" w14:textId="77777777" w:rsidTr="001F1F60">
        <w:trPr>
          <w:cantSplit/>
          <w:trHeight w:val="255"/>
        </w:trPr>
        <w:tc>
          <w:tcPr>
            <w:tcW w:w="3686" w:type="dxa"/>
            <w:gridSpan w:val="4"/>
            <w:tcBorders>
              <w:top w:val="nil"/>
              <w:left w:val="nil"/>
              <w:bottom w:val="nil"/>
              <w:right w:val="nil"/>
            </w:tcBorders>
            <w:noWrap/>
          </w:tcPr>
          <w:p w14:paraId="477263BB" w14:textId="77777777" w:rsidR="00FD6F91" w:rsidRPr="00A47583" w:rsidRDefault="00FD6F91" w:rsidP="00FD6F91">
            <w:pPr>
              <w:keepNext/>
              <w:widowControl w:val="0"/>
              <w:rPr>
                <w:rFonts w:cs="Calibri"/>
                <w:color w:val="000000"/>
                <w:sz w:val="18"/>
                <w:szCs w:val="18"/>
              </w:rPr>
            </w:pPr>
            <w:r w:rsidRPr="00A47583">
              <w:rPr>
                <w:rFonts w:cs="Calibri"/>
                <w:iCs/>
                <w:color w:val="000000"/>
                <w:sz w:val="18"/>
                <w:szCs w:val="18"/>
              </w:rPr>
              <w:t xml:space="preserve">   Lodgements</w:t>
            </w:r>
          </w:p>
        </w:tc>
        <w:tc>
          <w:tcPr>
            <w:tcW w:w="822" w:type="dxa"/>
            <w:tcBorders>
              <w:top w:val="nil"/>
              <w:left w:val="nil"/>
              <w:bottom w:val="nil"/>
              <w:right w:val="nil"/>
            </w:tcBorders>
            <w:noWrap/>
            <w:vAlign w:val="center"/>
          </w:tcPr>
          <w:p w14:paraId="0A68D906" w14:textId="77777777" w:rsidR="00FD6F91" w:rsidRPr="00847FAE" w:rsidRDefault="00FD6F91" w:rsidP="00FD6F91">
            <w:pPr>
              <w:jc w:val="center"/>
              <w:rPr>
                <w:rFonts w:cs="Calibri"/>
                <w:color w:val="000000"/>
                <w:sz w:val="18"/>
                <w:szCs w:val="18"/>
              </w:rPr>
            </w:pPr>
            <w:r w:rsidRPr="00847FAE">
              <w:rPr>
                <w:rFonts w:cs="Calibri"/>
                <w:color w:val="000000"/>
                <w:sz w:val="18"/>
                <w:szCs w:val="18"/>
              </w:rPr>
              <w:t>64</w:t>
            </w:r>
          </w:p>
        </w:tc>
        <w:tc>
          <w:tcPr>
            <w:tcW w:w="822" w:type="dxa"/>
            <w:tcBorders>
              <w:top w:val="nil"/>
              <w:left w:val="nil"/>
              <w:bottom w:val="nil"/>
              <w:right w:val="nil"/>
            </w:tcBorders>
            <w:noWrap/>
            <w:vAlign w:val="center"/>
          </w:tcPr>
          <w:p w14:paraId="735A77B8" w14:textId="77777777" w:rsidR="00FD6F91" w:rsidRPr="00847FAE" w:rsidRDefault="00FD6F91" w:rsidP="00FD6F91">
            <w:pPr>
              <w:jc w:val="center"/>
              <w:rPr>
                <w:rFonts w:cs="Calibri"/>
                <w:color w:val="000000"/>
                <w:sz w:val="18"/>
                <w:szCs w:val="18"/>
              </w:rPr>
            </w:pPr>
            <w:r w:rsidRPr="00847FAE">
              <w:rPr>
                <w:rFonts w:cs="Calibri"/>
                <w:color w:val="000000"/>
                <w:sz w:val="18"/>
                <w:szCs w:val="18"/>
              </w:rPr>
              <w:t>69</w:t>
            </w:r>
          </w:p>
        </w:tc>
        <w:tc>
          <w:tcPr>
            <w:tcW w:w="822" w:type="dxa"/>
            <w:tcBorders>
              <w:top w:val="nil"/>
              <w:left w:val="nil"/>
              <w:bottom w:val="nil"/>
              <w:right w:val="nil"/>
            </w:tcBorders>
            <w:noWrap/>
            <w:vAlign w:val="center"/>
          </w:tcPr>
          <w:p w14:paraId="70AFC50D" w14:textId="77777777" w:rsidR="00FD6F91" w:rsidRPr="00847FAE" w:rsidRDefault="00FD6F91" w:rsidP="00FD6F91">
            <w:pPr>
              <w:jc w:val="center"/>
              <w:rPr>
                <w:rFonts w:cs="Calibri"/>
                <w:color w:val="000000"/>
                <w:sz w:val="18"/>
                <w:szCs w:val="18"/>
              </w:rPr>
            </w:pPr>
            <w:r w:rsidRPr="00847FAE">
              <w:rPr>
                <w:rFonts w:cs="Calibri"/>
                <w:color w:val="000000"/>
                <w:sz w:val="18"/>
                <w:szCs w:val="18"/>
              </w:rPr>
              <w:t>69</w:t>
            </w:r>
          </w:p>
        </w:tc>
        <w:tc>
          <w:tcPr>
            <w:tcW w:w="822" w:type="dxa"/>
            <w:tcBorders>
              <w:top w:val="nil"/>
              <w:left w:val="nil"/>
              <w:bottom w:val="nil"/>
              <w:right w:val="nil"/>
            </w:tcBorders>
            <w:noWrap/>
            <w:vAlign w:val="center"/>
          </w:tcPr>
          <w:p w14:paraId="222783A1" w14:textId="77777777" w:rsidR="00FD6F91" w:rsidRPr="00847FAE" w:rsidRDefault="00FD6F91" w:rsidP="00FD6F91">
            <w:pPr>
              <w:jc w:val="center"/>
              <w:rPr>
                <w:rFonts w:cs="Calibri"/>
                <w:color w:val="000000"/>
                <w:sz w:val="18"/>
                <w:szCs w:val="18"/>
              </w:rPr>
            </w:pPr>
            <w:r w:rsidRPr="00847FAE">
              <w:rPr>
                <w:rFonts w:cs="Calibri"/>
                <w:color w:val="000000"/>
                <w:sz w:val="18"/>
                <w:szCs w:val="18"/>
              </w:rPr>
              <w:t>83</w:t>
            </w:r>
          </w:p>
        </w:tc>
        <w:tc>
          <w:tcPr>
            <w:tcW w:w="823" w:type="dxa"/>
            <w:tcBorders>
              <w:top w:val="nil"/>
              <w:left w:val="nil"/>
              <w:bottom w:val="nil"/>
              <w:right w:val="nil"/>
            </w:tcBorders>
            <w:noWrap/>
            <w:vAlign w:val="center"/>
          </w:tcPr>
          <w:p w14:paraId="60F16D5C" w14:textId="77777777" w:rsidR="00FD6F91" w:rsidRPr="00847FAE" w:rsidRDefault="00FD6F91" w:rsidP="00FD6F91">
            <w:pPr>
              <w:jc w:val="center"/>
              <w:rPr>
                <w:rFonts w:cs="Calibri"/>
                <w:color w:val="000000"/>
                <w:sz w:val="18"/>
                <w:szCs w:val="18"/>
              </w:rPr>
            </w:pPr>
            <w:r w:rsidRPr="00847FAE">
              <w:rPr>
                <w:rFonts w:cs="Calibri"/>
                <w:color w:val="000000"/>
                <w:sz w:val="18"/>
                <w:szCs w:val="18"/>
              </w:rPr>
              <w:t>121</w:t>
            </w:r>
          </w:p>
        </w:tc>
        <w:tc>
          <w:tcPr>
            <w:tcW w:w="1134" w:type="dxa"/>
            <w:tcBorders>
              <w:top w:val="nil"/>
              <w:left w:val="nil"/>
              <w:bottom w:val="nil"/>
              <w:right w:val="nil"/>
            </w:tcBorders>
            <w:noWrap/>
            <w:vAlign w:val="center"/>
          </w:tcPr>
          <w:p w14:paraId="28FD5344" w14:textId="77777777" w:rsidR="00FD6F91" w:rsidRPr="00847FAE" w:rsidRDefault="00FD6F91" w:rsidP="00FD6F91">
            <w:pPr>
              <w:jc w:val="center"/>
              <w:rPr>
                <w:rFonts w:cs="Calibri"/>
                <w:color w:val="000000"/>
                <w:sz w:val="18"/>
                <w:szCs w:val="18"/>
              </w:rPr>
            </w:pPr>
            <w:r w:rsidRPr="00847FAE">
              <w:rPr>
                <w:rFonts w:cs="Calibri"/>
                <w:color w:val="000000"/>
                <w:sz w:val="18"/>
                <w:szCs w:val="18"/>
              </w:rPr>
              <w:t>45.8%</w:t>
            </w:r>
          </w:p>
        </w:tc>
      </w:tr>
      <w:tr w:rsidR="00FD6F91" w:rsidRPr="00847FAE" w14:paraId="0AAA0240" w14:textId="77777777" w:rsidTr="001F1F60">
        <w:trPr>
          <w:cantSplit/>
          <w:trHeight w:val="255"/>
        </w:trPr>
        <w:tc>
          <w:tcPr>
            <w:tcW w:w="3686" w:type="dxa"/>
            <w:gridSpan w:val="4"/>
            <w:tcBorders>
              <w:top w:val="nil"/>
              <w:left w:val="nil"/>
              <w:bottom w:val="single" w:sz="4" w:space="0" w:color="auto"/>
              <w:right w:val="nil"/>
            </w:tcBorders>
            <w:noWrap/>
          </w:tcPr>
          <w:p w14:paraId="7D9450E9" w14:textId="77777777" w:rsidR="00FD6F91" w:rsidRPr="00A47583" w:rsidRDefault="00FD6F91" w:rsidP="00FD6F91">
            <w:pPr>
              <w:keepNext/>
              <w:widowControl w:val="0"/>
              <w:rPr>
                <w:rFonts w:cs="Calibri"/>
                <w:color w:val="000000"/>
                <w:sz w:val="18"/>
                <w:szCs w:val="18"/>
              </w:rPr>
            </w:pPr>
            <w:r w:rsidRPr="00A47583">
              <w:rPr>
                <w:rFonts w:cs="Calibri"/>
                <w:iCs/>
                <w:color w:val="000000"/>
                <w:sz w:val="18"/>
                <w:szCs w:val="18"/>
              </w:rPr>
              <w:t xml:space="preserve">   Finalisations</w:t>
            </w:r>
          </w:p>
        </w:tc>
        <w:tc>
          <w:tcPr>
            <w:tcW w:w="822" w:type="dxa"/>
            <w:tcBorders>
              <w:top w:val="nil"/>
              <w:left w:val="nil"/>
              <w:bottom w:val="single" w:sz="4" w:space="0" w:color="auto"/>
              <w:right w:val="nil"/>
            </w:tcBorders>
            <w:noWrap/>
            <w:vAlign w:val="center"/>
          </w:tcPr>
          <w:p w14:paraId="3DF0EF29" w14:textId="77777777" w:rsidR="00FD6F91" w:rsidRPr="00847FAE" w:rsidRDefault="00FD6F91" w:rsidP="00FD6F91">
            <w:pPr>
              <w:jc w:val="center"/>
              <w:rPr>
                <w:rFonts w:cs="Calibri"/>
                <w:color w:val="000000"/>
                <w:sz w:val="18"/>
                <w:szCs w:val="18"/>
              </w:rPr>
            </w:pPr>
            <w:r w:rsidRPr="00847FAE">
              <w:rPr>
                <w:rFonts w:cs="Calibri"/>
                <w:color w:val="000000"/>
                <w:sz w:val="18"/>
                <w:szCs w:val="18"/>
              </w:rPr>
              <w:t>55</w:t>
            </w:r>
          </w:p>
        </w:tc>
        <w:tc>
          <w:tcPr>
            <w:tcW w:w="822" w:type="dxa"/>
            <w:tcBorders>
              <w:top w:val="nil"/>
              <w:left w:val="nil"/>
              <w:bottom w:val="single" w:sz="4" w:space="0" w:color="auto"/>
              <w:right w:val="nil"/>
            </w:tcBorders>
            <w:noWrap/>
            <w:vAlign w:val="center"/>
          </w:tcPr>
          <w:p w14:paraId="5F13BCC1" w14:textId="77777777" w:rsidR="00FD6F91" w:rsidRPr="00847FAE" w:rsidRDefault="00FD6F91" w:rsidP="00FD6F91">
            <w:pPr>
              <w:jc w:val="center"/>
              <w:rPr>
                <w:rFonts w:cs="Calibri"/>
                <w:color w:val="000000"/>
                <w:sz w:val="18"/>
                <w:szCs w:val="18"/>
              </w:rPr>
            </w:pPr>
            <w:r w:rsidRPr="00847FAE">
              <w:rPr>
                <w:rFonts w:cs="Calibri"/>
                <w:color w:val="000000"/>
                <w:sz w:val="18"/>
                <w:szCs w:val="18"/>
              </w:rPr>
              <w:t>57</w:t>
            </w:r>
          </w:p>
        </w:tc>
        <w:tc>
          <w:tcPr>
            <w:tcW w:w="822" w:type="dxa"/>
            <w:tcBorders>
              <w:top w:val="nil"/>
              <w:left w:val="nil"/>
              <w:bottom w:val="single" w:sz="4" w:space="0" w:color="auto"/>
              <w:right w:val="nil"/>
            </w:tcBorders>
            <w:noWrap/>
            <w:vAlign w:val="center"/>
          </w:tcPr>
          <w:p w14:paraId="133D0F2F" w14:textId="77777777" w:rsidR="00FD6F91" w:rsidRPr="00847FAE" w:rsidRDefault="00FD6F91" w:rsidP="00FD6F91">
            <w:pPr>
              <w:jc w:val="center"/>
              <w:rPr>
                <w:rFonts w:cs="Calibri"/>
                <w:color w:val="000000"/>
                <w:sz w:val="18"/>
                <w:szCs w:val="18"/>
              </w:rPr>
            </w:pPr>
            <w:r w:rsidRPr="00847FAE">
              <w:rPr>
                <w:rFonts w:cs="Calibri"/>
                <w:color w:val="000000"/>
                <w:sz w:val="18"/>
                <w:szCs w:val="18"/>
              </w:rPr>
              <w:t>64</w:t>
            </w:r>
          </w:p>
        </w:tc>
        <w:tc>
          <w:tcPr>
            <w:tcW w:w="822" w:type="dxa"/>
            <w:tcBorders>
              <w:top w:val="nil"/>
              <w:left w:val="nil"/>
              <w:bottom w:val="single" w:sz="4" w:space="0" w:color="auto"/>
              <w:right w:val="nil"/>
            </w:tcBorders>
            <w:noWrap/>
            <w:vAlign w:val="center"/>
          </w:tcPr>
          <w:p w14:paraId="287C3419" w14:textId="77777777" w:rsidR="00FD6F91" w:rsidRPr="00847FAE" w:rsidRDefault="00FD6F91" w:rsidP="00FD6F91">
            <w:pPr>
              <w:jc w:val="center"/>
              <w:rPr>
                <w:rFonts w:cs="Calibri"/>
                <w:color w:val="000000"/>
                <w:sz w:val="18"/>
                <w:szCs w:val="18"/>
              </w:rPr>
            </w:pPr>
            <w:r w:rsidRPr="00847FAE">
              <w:rPr>
                <w:rFonts w:cs="Calibri"/>
                <w:color w:val="000000"/>
                <w:sz w:val="18"/>
                <w:szCs w:val="18"/>
              </w:rPr>
              <w:t>71</w:t>
            </w:r>
          </w:p>
        </w:tc>
        <w:tc>
          <w:tcPr>
            <w:tcW w:w="823" w:type="dxa"/>
            <w:tcBorders>
              <w:top w:val="nil"/>
              <w:left w:val="nil"/>
              <w:bottom w:val="single" w:sz="4" w:space="0" w:color="auto"/>
              <w:right w:val="nil"/>
            </w:tcBorders>
            <w:noWrap/>
            <w:vAlign w:val="center"/>
          </w:tcPr>
          <w:p w14:paraId="3FE77B7F" w14:textId="77777777" w:rsidR="00FD6F91" w:rsidRPr="00847FAE" w:rsidRDefault="00FD6F91" w:rsidP="00FD6F91">
            <w:pPr>
              <w:jc w:val="center"/>
              <w:rPr>
                <w:rFonts w:cs="Calibri"/>
                <w:color w:val="000000"/>
                <w:sz w:val="18"/>
                <w:szCs w:val="18"/>
              </w:rPr>
            </w:pPr>
            <w:r w:rsidRPr="00847FAE">
              <w:rPr>
                <w:rFonts w:cs="Calibri"/>
                <w:color w:val="000000"/>
                <w:sz w:val="18"/>
                <w:szCs w:val="18"/>
              </w:rPr>
              <w:t>80</w:t>
            </w:r>
          </w:p>
        </w:tc>
        <w:tc>
          <w:tcPr>
            <w:tcW w:w="1134" w:type="dxa"/>
            <w:tcBorders>
              <w:top w:val="nil"/>
              <w:left w:val="nil"/>
              <w:bottom w:val="single" w:sz="4" w:space="0" w:color="auto"/>
              <w:right w:val="nil"/>
            </w:tcBorders>
            <w:noWrap/>
            <w:vAlign w:val="center"/>
          </w:tcPr>
          <w:p w14:paraId="2E799DDD" w14:textId="77777777" w:rsidR="00FD6F91" w:rsidRPr="00847FAE" w:rsidRDefault="00FD6F91" w:rsidP="00FD6F91">
            <w:pPr>
              <w:jc w:val="center"/>
              <w:rPr>
                <w:rFonts w:cs="Calibri"/>
                <w:color w:val="000000"/>
                <w:sz w:val="18"/>
                <w:szCs w:val="18"/>
              </w:rPr>
            </w:pPr>
            <w:r w:rsidRPr="00847FAE">
              <w:rPr>
                <w:rFonts w:cs="Calibri"/>
                <w:color w:val="000000"/>
                <w:sz w:val="18"/>
                <w:szCs w:val="18"/>
              </w:rPr>
              <w:t>12.7%</w:t>
            </w:r>
          </w:p>
        </w:tc>
      </w:tr>
      <w:tr w:rsidR="00FD6F91" w:rsidRPr="00847FAE" w14:paraId="2524435C" w14:textId="77777777" w:rsidTr="001F1F60">
        <w:trPr>
          <w:cantSplit/>
          <w:trHeight w:val="255"/>
        </w:trPr>
        <w:tc>
          <w:tcPr>
            <w:tcW w:w="8931" w:type="dxa"/>
            <w:gridSpan w:val="10"/>
            <w:tcBorders>
              <w:top w:val="single" w:sz="4" w:space="0" w:color="auto"/>
              <w:left w:val="nil"/>
              <w:bottom w:val="nil"/>
              <w:right w:val="nil"/>
            </w:tcBorders>
            <w:noWrap/>
          </w:tcPr>
          <w:p w14:paraId="4168E29D" w14:textId="43D6995D" w:rsidR="002F5DC6" w:rsidRPr="002F5DC6" w:rsidRDefault="002F5DC6" w:rsidP="002F5DC6">
            <w:pPr>
              <w:rPr>
                <w:rFonts w:cs="Calibri"/>
                <w:color w:val="000000"/>
                <w:sz w:val="15"/>
                <w:szCs w:val="15"/>
              </w:rPr>
            </w:pPr>
            <w:r w:rsidRPr="002F5DC6">
              <w:rPr>
                <w:rFonts w:cs="Calibri"/>
                <w:iCs/>
                <w:color w:val="000000"/>
                <w:sz w:val="15"/>
                <w:szCs w:val="15"/>
                <w:vertAlign w:val="superscript"/>
              </w:rPr>
              <w:t>1</w:t>
            </w:r>
            <w:r w:rsidRPr="002F5DC6">
              <w:rPr>
                <w:rFonts w:cs="Calibri"/>
                <w:color w:val="000000"/>
                <w:sz w:val="15"/>
                <w:szCs w:val="15"/>
              </w:rPr>
              <w:t xml:space="preserve"> </w:t>
            </w:r>
            <w:r>
              <w:rPr>
                <w:rFonts w:cs="Calibri"/>
                <w:color w:val="000000"/>
                <w:sz w:val="15"/>
                <w:szCs w:val="15"/>
              </w:rPr>
              <w:t>R</w:t>
            </w:r>
            <w:r w:rsidRPr="002F5DC6">
              <w:rPr>
                <w:rFonts w:cs="Calibri"/>
                <w:color w:val="000000"/>
                <w:sz w:val="15"/>
                <w:szCs w:val="15"/>
              </w:rPr>
              <w:t xml:space="preserve">eported in the 2016-17 annual report under the separate application type categories of ‘Application for Assessment Order’, ‘Application for a further Assessment Order s22(5)’ and ‘Application for a further Assessment Order s22(5)(b)’, under the Children, Young Persons and Their Families Act 1997. </w:t>
            </w:r>
          </w:p>
          <w:p w14:paraId="6FCA7BB2" w14:textId="655CB056" w:rsidR="002F5DC6" w:rsidRPr="002F5DC6" w:rsidRDefault="002F5DC6" w:rsidP="002F5DC6">
            <w:pPr>
              <w:rPr>
                <w:rFonts w:cs="Calibri"/>
                <w:color w:val="000000"/>
                <w:sz w:val="15"/>
                <w:szCs w:val="15"/>
              </w:rPr>
            </w:pPr>
            <w:r w:rsidRPr="002F5DC6">
              <w:rPr>
                <w:rFonts w:cs="Calibri"/>
                <w:iCs/>
                <w:color w:val="000000"/>
                <w:sz w:val="15"/>
                <w:szCs w:val="15"/>
                <w:vertAlign w:val="superscript"/>
              </w:rPr>
              <w:t>2</w:t>
            </w:r>
            <w:r w:rsidRPr="002F5DC6">
              <w:rPr>
                <w:rFonts w:cs="Calibri"/>
                <w:color w:val="000000"/>
                <w:sz w:val="15"/>
                <w:szCs w:val="15"/>
              </w:rPr>
              <w:t xml:space="preserve"> </w:t>
            </w:r>
            <w:r>
              <w:rPr>
                <w:rFonts w:cs="Calibri"/>
                <w:color w:val="000000"/>
                <w:sz w:val="15"/>
                <w:szCs w:val="15"/>
              </w:rPr>
              <w:t>R</w:t>
            </w:r>
            <w:r w:rsidRPr="002F5DC6">
              <w:rPr>
                <w:rFonts w:cs="Calibri"/>
                <w:color w:val="000000"/>
                <w:sz w:val="15"/>
                <w:szCs w:val="15"/>
              </w:rPr>
              <w:t xml:space="preserve">eported in the 2016-17 annual report under the separate application type categories of ‘Application for a Care and Protection Order (12 months) s42’, ‘Care &amp; Protection Order granting custody of a child to the Secretary s42(4)(b)’, ‘Application for Care and Protection (Guardianship Order) s42(4)(c)’ and ‘Application for Care and Protection Order (until attains 18 years) s42(4)(d)’ under the Children, Young Persons and Their Families Act 1997. </w:t>
            </w:r>
          </w:p>
          <w:p w14:paraId="45F853A0" w14:textId="002733CC" w:rsidR="002F5DC6" w:rsidRPr="002F5DC6" w:rsidRDefault="002F5DC6" w:rsidP="002F5DC6">
            <w:pPr>
              <w:rPr>
                <w:rFonts w:cs="Calibri"/>
                <w:color w:val="000000"/>
                <w:sz w:val="15"/>
                <w:szCs w:val="15"/>
              </w:rPr>
            </w:pPr>
            <w:r w:rsidRPr="002F5DC6">
              <w:rPr>
                <w:rFonts w:cs="Calibri"/>
                <w:iCs/>
                <w:color w:val="000000"/>
                <w:sz w:val="15"/>
                <w:szCs w:val="15"/>
                <w:vertAlign w:val="superscript"/>
              </w:rPr>
              <w:t>3</w:t>
            </w:r>
            <w:r w:rsidRPr="002F5DC6">
              <w:rPr>
                <w:rFonts w:cs="Calibri"/>
                <w:color w:val="000000"/>
                <w:sz w:val="15"/>
                <w:szCs w:val="15"/>
              </w:rPr>
              <w:t xml:space="preserve"> </w:t>
            </w:r>
            <w:r>
              <w:rPr>
                <w:rFonts w:cs="Calibri"/>
                <w:color w:val="000000"/>
                <w:sz w:val="15"/>
                <w:szCs w:val="15"/>
              </w:rPr>
              <w:t>R</w:t>
            </w:r>
            <w:r w:rsidRPr="002F5DC6">
              <w:rPr>
                <w:rFonts w:cs="Calibri"/>
                <w:color w:val="000000"/>
                <w:sz w:val="15"/>
                <w:szCs w:val="15"/>
              </w:rPr>
              <w:t xml:space="preserve">eported in the 2016-17 annual report under the separate application type categories of ‘Application for extension of care and protection order s44(1)’ and ‘Applications for variation of a Care and Protection Order’ under the Children, Young Persons and Their Families Act 1997. </w:t>
            </w:r>
          </w:p>
          <w:p w14:paraId="62ACF39F" w14:textId="3A8F52A1" w:rsidR="002F5DC6" w:rsidRPr="002F5DC6" w:rsidRDefault="002F5DC6" w:rsidP="002F5DC6">
            <w:pPr>
              <w:rPr>
                <w:rFonts w:cs="Calibri"/>
                <w:color w:val="000000"/>
                <w:sz w:val="15"/>
                <w:szCs w:val="15"/>
              </w:rPr>
            </w:pPr>
            <w:r w:rsidRPr="002F5DC6">
              <w:rPr>
                <w:rFonts w:cs="Calibri"/>
                <w:iCs/>
                <w:color w:val="000000"/>
                <w:sz w:val="15"/>
                <w:szCs w:val="15"/>
                <w:vertAlign w:val="superscript"/>
              </w:rPr>
              <w:t>4</w:t>
            </w:r>
            <w:r w:rsidRPr="002F5DC6">
              <w:rPr>
                <w:rFonts w:cs="Calibri"/>
                <w:color w:val="000000"/>
                <w:sz w:val="15"/>
                <w:szCs w:val="15"/>
              </w:rPr>
              <w:t xml:space="preserve"> </w:t>
            </w:r>
            <w:r>
              <w:rPr>
                <w:rFonts w:cs="Calibri"/>
                <w:color w:val="000000"/>
                <w:sz w:val="15"/>
                <w:szCs w:val="15"/>
              </w:rPr>
              <w:t>R</w:t>
            </w:r>
            <w:r w:rsidRPr="002F5DC6">
              <w:rPr>
                <w:rFonts w:cs="Calibri"/>
                <w:color w:val="000000"/>
                <w:sz w:val="15"/>
                <w:szCs w:val="15"/>
              </w:rPr>
              <w:t>eported in the 2016-17 annual report under the separate application type category of ‘Application for revocation of a Care and Protection Order’ under the Children, Young Persons and Their Families Act 1997.</w:t>
            </w:r>
          </w:p>
          <w:p w14:paraId="200AF414" w14:textId="100B49CB" w:rsidR="002F5DC6" w:rsidRPr="002F5DC6" w:rsidRDefault="002F5DC6" w:rsidP="002F5DC6">
            <w:pPr>
              <w:rPr>
                <w:rFonts w:cs="Calibri"/>
                <w:color w:val="000000"/>
                <w:sz w:val="15"/>
                <w:szCs w:val="15"/>
              </w:rPr>
            </w:pPr>
            <w:r w:rsidRPr="002F5DC6">
              <w:rPr>
                <w:rFonts w:cs="Calibri"/>
                <w:iCs/>
                <w:color w:val="000000"/>
                <w:sz w:val="15"/>
                <w:szCs w:val="15"/>
                <w:vertAlign w:val="superscript"/>
              </w:rPr>
              <w:t xml:space="preserve">5 </w:t>
            </w:r>
            <w:r>
              <w:rPr>
                <w:rFonts w:cs="Calibri"/>
                <w:color w:val="000000"/>
                <w:sz w:val="15"/>
                <w:szCs w:val="15"/>
              </w:rPr>
              <w:t>R</w:t>
            </w:r>
            <w:r w:rsidRPr="002F5DC6">
              <w:rPr>
                <w:rFonts w:cs="Calibri"/>
                <w:color w:val="000000"/>
                <w:sz w:val="15"/>
                <w:szCs w:val="15"/>
              </w:rPr>
              <w:t xml:space="preserve">eported in the 2016-17 annual report under the separate application type categories of ‘Application for Warrant to Take Child to Place of Safety’ and ‘Other applications under Children, Young Persons and Their Families Act 1997’. </w:t>
            </w:r>
          </w:p>
          <w:p w14:paraId="3725185C" w14:textId="6139F5BF" w:rsidR="00EF5EB2" w:rsidRPr="00847FAE" w:rsidRDefault="00FD6F91" w:rsidP="006A622E">
            <w:pPr>
              <w:rPr>
                <w:rFonts w:cs="Calibri"/>
                <w:color w:val="000000"/>
                <w:sz w:val="18"/>
                <w:szCs w:val="18"/>
              </w:rPr>
            </w:pPr>
            <w:r w:rsidRPr="00847FAE">
              <w:rPr>
                <w:rFonts w:cs="Calibri"/>
                <w:i/>
                <w:color w:val="000000"/>
                <w:sz w:val="15"/>
                <w:szCs w:val="15"/>
              </w:rPr>
              <w:t>Source: CRIMESStats database</w:t>
            </w:r>
          </w:p>
        </w:tc>
      </w:tr>
    </w:tbl>
    <w:p w14:paraId="1653EE1E" w14:textId="77777777" w:rsidR="00A47583" w:rsidRPr="00847FAE" w:rsidRDefault="00A47583" w:rsidP="00FD6F91">
      <w:pPr>
        <w:rPr>
          <w:rFonts w:eastAsiaTheme="minorHAnsi"/>
          <w:lang w:eastAsia="en-US"/>
        </w:rPr>
      </w:pPr>
    </w:p>
    <w:p w14:paraId="52FFB85B" w14:textId="1E53C6F8" w:rsidR="00FD6F91" w:rsidRPr="00847FAE" w:rsidRDefault="00FD6F91" w:rsidP="00FD6F91">
      <w:pPr>
        <w:keepNext/>
        <w:keepLines/>
        <w:spacing w:before="40"/>
        <w:outlineLvl w:val="2"/>
        <w:rPr>
          <w:rFonts w:eastAsiaTheme="majorEastAsia" w:cstheme="majorBidi"/>
          <w:lang w:eastAsia="en-US"/>
        </w:rPr>
      </w:pPr>
      <w:bookmarkStart w:id="379" w:name="_Toc1041186"/>
      <w:r w:rsidRPr="00847FAE">
        <w:rPr>
          <w:rFonts w:eastAsiaTheme="majorEastAsia" w:cstheme="majorBidi"/>
          <w:lang w:eastAsia="en-US"/>
        </w:rPr>
        <w:t>Table 8: Restraint Order Summary Statistics, 2013-14 to 2017-18</w:t>
      </w:r>
      <w:bookmarkEnd w:id="379"/>
    </w:p>
    <w:tbl>
      <w:tblPr>
        <w:tblStyle w:val="TableGrid1"/>
        <w:tblW w:w="8931" w:type="dxa"/>
        <w:tblLayout w:type="fixed"/>
        <w:tblCellMar>
          <w:top w:w="11" w:type="dxa"/>
          <w:bottom w:w="11" w:type="dxa"/>
        </w:tblCellMar>
        <w:tblLook w:val="04A0" w:firstRow="1" w:lastRow="0" w:firstColumn="1" w:lastColumn="0" w:noHBand="0" w:noVBand="1"/>
        <w:tblCaption w:val="Table8RestraintOrderSummaryStatistics2013_14to2017_18"/>
        <w:tblDescription w:val="Tabledescribingrestraintordersummaryofstatisticsfrom2013_14to2017_18"/>
      </w:tblPr>
      <w:tblGrid>
        <w:gridCol w:w="326"/>
        <w:gridCol w:w="977"/>
        <w:gridCol w:w="824"/>
        <w:gridCol w:w="1275"/>
        <w:gridCol w:w="879"/>
        <w:gridCol w:w="879"/>
        <w:gridCol w:w="879"/>
        <w:gridCol w:w="879"/>
        <w:gridCol w:w="879"/>
        <w:gridCol w:w="1134"/>
      </w:tblGrid>
      <w:tr w:rsidR="00FD6F91" w:rsidRPr="00847FAE" w14:paraId="49E4B1F3"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37506B61"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2334266E"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22B31AA9"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1275" w:type="dxa"/>
            <w:tcBorders>
              <w:top w:val="single" w:sz="4" w:space="0" w:color="auto"/>
              <w:left w:val="nil"/>
              <w:bottom w:val="single" w:sz="4" w:space="0" w:color="auto"/>
              <w:right w:val="nil"/>
            </w:tcBorders>
            <w:noWrap/>
            <w:hideMark/>
          </w:tcPr>
          <w:p w14:paraId="4C1290EC"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bottom"/>
            <w:hideMark/>
          </w:tcPr>
          <w:p w14:paraId="7F4E8B2B" w14:textId="77777777" w:rsidR="00FD6F91" w:rsidRPr="00847FAE" w:rsidRDefault="00FD6F91" w:rsidP="00FD6F91">
            <w:pPr>
              <w:widowControl w:val="0"/>
              <w:jc w:val="right"/>
              <w:rPr>
                <w:rFonts w:cs="Calibri"/>
                <w:bCs/>
                <w:color w:val="000000"/>
                <w:sz w:val="18"/>
                <w:szCs w:val="18"/>
                <w:vertAlign w:val="superscript"/>
              </w:rPr>
            </w:pPr>
            <w:r w:rsidRPr="00847FAE">
              <w:rPr>
                <w:rFonts w:cs="Calibri"/>
                <w:bCs/>
                <w:color w:val="000000"/>
                <w:sz w:val="18"/>
                <w:szCs w:val="18"/>
              </w:rPr>
              <w:t>2013-14</w:t>
            </w:r>
          </w:p>
        </w:tc>
        <w:tc>
          <w:tcPr>
            <w:tcW w:w="879" w:type="dxa"/>
            <w:tcBorders>
              <w:top w:val="single" w:sz="4" w:space="0" w:color="auto"/>
              <w:left w:val="nil"/>
              <w:bottom w:val="single" w:sz="4" w:space="0" w:color="auto"/>
              <w:right w:val="nil"/>
            </w:tcBorders>
            <w:noWrap/>
            <w:vAlign w:val="bottom"/>
            <w:hideMark/>
          </w:tcPr>
          <w:p w14:paraId="033DDDDF" w14:textId="77777777" w:rsidR="00FD6F91" w:rsidRPr="00847FAE" w:rsidRDefault="00FD6F91" w:rsidP="00FD6F91">
            <w:pPr>
              <w:widowControl w:val="0"/>
              <w:jc w:val="right"/>
              <w:rPr>
                <w:rFonts w:cs="Calibri"/>
                <w:bCs/>
                <w:color w:val="000000"/>
                <w:sz w:val="18"/>
                <w:szCs w:val="18"/>
              </w:rPr>
            </w:pPr>
            <w:r w:rsidRPr="00847FAE">
              <w:rPr>
                <w:rFonts w:cs="Calibri"/>
                <w:bCs/>
                <w:color w:val="000000"/>
                <w:sz w:val="18"/>
                <w:szCs w:val="18"/>
              </w:rPr>
              <w:t>2014-15</w:t>
            </w:r>
          </w:p>
        </w:tc>
        <w:tc>
          <w:tcPr>
            <w:tcW w:w="879" w:type="dxa"/>
            <w:tcBorders>
              <w:top w:val="single" w:sz="4" w:space="0" w:color="auto"/>
              <w:left w:val="nil"/>
              <w:bottom w:val="single" w:sz="4" w:space="0" w:color="auto"/>
              <w:right w:val="nil"/>
            </w:tcBorders>
            <w:noWrap/>
            <w:vAlign w:val="bottom"/>
            <w:hideMark/>
          </w:tcPr>
          <w:p w14:paraId="77756131" w14:textId="77777777" w:rsidR="00FD6F91" w:rsidRPr="00847FAE" w:rsidRDefault="00FD6F91" w:rsidP="00FD6F91">
            <w:pPr>
              <w:widowControl w:val="0"/>
              <w:jc w:val="right"/>
              <w:rPr>
                <w:rFonts w:cs="Calibri"/>
                <w:bCs/>
                <w:color w:val="000000"/>
                <w:sz w:val="18"/>
                <w:szCs w:val="18"/>
              </w:rPr>
            </w:pPr>
            <w:r w:rsidRPr="00847FAE">
              <w:rPr>
                <w:rFonts w:cs="Calibri"/>
                <w:bCs/>
                <w:color w:val="000000"/>
                <w:sz w:val="18"/>
                <w:szCs w:val="18"/>
              </w:rPr>
              <w:t>2015-16</w:t>
            </w:r>
          </w:p>
        </w:tc>
        <w:tc>
          <w:tcPr>
            <w:tcW w:w="879" w:type="dxa"/>
            <w:tcBorders>
              <w:top w:val="single" w:sz="4" w:space="0" w:color="auto"/>
              <w:left w:val="nil"/>
              <w:bottom w:val="single" w:sz="4" w:space="0" w:color="auto"/>
              <w:right w:val="nil"/>
            </w:tcBorders>
            <w:noWrap/>
            <w:vAlign w:val="bottom"/>
            <w:hideMark/>
          </w:tcPr>
          <w:p w14:paraId="6D1E82F2" w14:textId="77777777" w:rsidR="00FD6F91" w:rsidRPr="00847FAE" w:rsidRDefault="00FD6F91" w:rsidP="00FD6F91">
            <w:pPr>
              <w:widowControl w:val="0"/>
              <w:jc w:val="right"/>
              <w:rPr>
                <w:rFonts w:cs="Calibri"/>
                <w:bCs/>
                <w:color w:val="000000"/>
                <w:sz w:val="18"/>
                <w:szCs w:val="18"/>
              </w:rPr>
            </w:pPr>
            <w:r w:rsidRPr="00847FAE">
              <w:rPr>
                <w:rFonts w:cs="Calibri"/>
                <w:bCs/>
                <w:color w:val="000000"/>
                <w:sz w:val="18"/>
                <w:szCs w:val="18"/>
              </w:rPr>
              <w:t>2016-17</w:t>
            </w:r>
          </w:p>
        </w:tc>
        <w:tc>
          <w:tcPr>
            <w:tcW w:w="879" w:type="dxa"/>
            <w:tcBorders>
              <w:top w:val="single" w:sz="4" w:space="0" w:color="auto"/>
              <w:left w:val="nil"/>
              <w:bottom w:val="single" w:sz="4" w:space="0" w:color="auto"/>
              <w:right w:val="nil"/>
            </w:tcBorders>
            <w:noWrap/>
            <w:vAlign w:val="bottom"/>
            <w:hideMark/>
          </w:tcPr>
          <w:p w14:paraId="46926F48" w14:textId="77777777" w:rsidR="00FD6F91" w:rsidRPr="00847FAE" w:rsidRDefault="00FD6F91" w:rsidP="00FD6F91">
            <w:pPr>
              <w:widowControl w:val="0"/>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left w:val="nil"/>
              <w:bottom w:val="single" w:sz="4" w:space="0" w:color="auto"/>
              <w:right w:val="nil"/>
            </w:tcBorders>
            <w:vAlign w:val="bottom"/>
            <w:hideMark/>
          </w:tcPr>
          <w:p w14:paraId="7AC3F040"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02647468" w14:textId="77777777" w:rsidTr="001F1F60">
        <w:trPr>
          <w:cantSplit/>
          <w:trHeight w:val="255"/>
        </w:trPr>
        <w:tc>
          <w:tcPr>
            <w:tcW w:w="3402" w:type="dxa"/>
            <w:gridSpan w:val="4"/>
            <w:tcBorders>
              <w:top w:val="single" w:sz="4" w:space="0" w:color="auto"/>
              <w:left w:val="nil"/>
              <w:bottom w:val="single" w:sz="4" w:space="0" w:color="auto"/>
              <w:right w:val="nil"/>
            </w:tcBorders>
            <w:noWrap/>
            <w:vAlign w:val="center"/>
            <w:hideMark/>
          </w:tcPr>
          <w:p w14:paraId="658B83ED"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RESTRAINT ORDERS (ROs)</w:t>
            </w:r>
          </w:p>
        </w:tc>
        <w:tc>
          <w:tcPr>
            <w:tcW w:w="879" w:type="dxa"/>
            <w:tcBorders>
              <w:top w:val="single" w:sz="4" w:space="0" w:color="auto"/>
              <w:left w:val="nil"/>
              <w:bottom w:val="single" w:sz="4" w:space="0" w:color="auto"/>
              <w:right w:val="nil"/>
            </w:tcBorders>
            <w:noWrap/>
            <w:vAlign w:val="center"/>
            <w:hideMark/>
          </w:tcPr>
          <w:p w14:paraId="34511455"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2585D6AC"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1A895D80"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22D4C940"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5839563E"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1134" w:type="dxa"/>
            <w:tcBorders>
              <w:top w:val="single" w:sz="4" w:space="0" w:color="auto"/>
              <w:left w:val="nil"/>
              <w:bottom w:val="single" w:sz="4" w:space="0" w:color="auto"/>
              <w:right w:val="nil"/>
            </w:tcBorders>
            <w:noWrap/>
            <w:vAlign w:val="center"/>
            <w:hideMark/>
          </w:tcPr>
          <w:p w14:paraId="2AAE78FE"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r>
      <w:tr w:rsidR="00FD6F91" w:rsidRPr="00847FAE" w14:paraId="645807EF" w14:textId="77777777" w:rsidTr="001F1F60">
        <w:trPr>
          <w:cantSplit/>
          <w:trHeight w:val="255"/>
        </w:trPr>
        <w:tc>
          <w:tcPr>
            <w:tcW w:w="3402" w:type="dxa"/>
            <w:gridSpan w:val="4"/>
            <w:tcBorders>
              <w:top w:val="single" w:sz="4" w:space="0" w:color="auto"/>
              <w:left w:val="nil"/>
              <w:bottom w:val="nil"/>
              <w:right w:val="nil"/>
            </w:tcBorders>
            <w:shd w:val="clear" w:color="auto" w:fill="D9D9D9" w:themeFill="background1" w:themeFillShade="D9"/>
            <w:noWrap/>
            <w:hideMark/>
          </w:tcPr>
          <w:p w14:paraId="62D25BDF" w14:textId="6F78474B" w:rsidR="00FD6F91" w:rsidRPr="00847FAE" w:rsidRDefault="00FD6F91" w:rsidP="00FD6F91">
            <w:pPr>
              <w:widowControl w:val="0"/>
              <w:rPr>
                <w:rFonts w:cs="Calibri"/>
                <w:color w:val="000000"/>
                <w:sz w:val="18"/>
                <w:szCs w:val="18"/>
                <w:vertAlign w:val="superscript"/>
              </w:rPr>
            </w:pPr>
            <w:r w:rsidRPr="00847FAE">
              <w:rPr>
                <w:rFonts w:cs="Calibri"/>
                <w:color w:val="000000"/>
                <w:sz w:val="18"/>
                <w:szCs w:val="18"/>
              </w:rPr>
              <w:t>Application to grant a RO</w:t>
            </w:r>
          </w:p>
        </w:tc>
        <w:tc>
          <w:tcPr>
            <w:tcW w:w="879" w:type="dxa"/>
            <w:tcBorders>
              <w:top w:val="single" w:sz="4" w:space="0" w:color="auto"/>
              <w:left w:val="nil"/>
              <w:bottom w:val="nil"/>
              <w:right w:val="nil"/>
            </w:tcBorders>
            <w:shd w:val="clear" w:color="auto" w:fill="D9D9D9" w:themeFill="background1" w:themeFillShade="D9"/>
            <w:noWrap/>
            <w:vAlign w:val="center"/>
          </w:tcPr>
          <w:p w14:paraId="3B1B6CA8"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26243011"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5554B725"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2E02DE69" w14:textId="77777777" w:rsidR="00FD6F91" w:rsidRPr="00847FAE" w:rsidRDefault="00FD6F91" w:rsidP="00FD6F91">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3F1B1F10" w14:textId="77777777" w:rsidR="00FD6F91" w:rsidRPr="00847FAE" w:rsidRDefault="00FD6F91" w:rsidP="00FD6F91">
            <w:pPr>
              <w:jc w:val="right"/>
              <w:rPr>
                <w:rFonts w:cs="Calibri"/>
                <w:iCs/>
                <w:color w:val="000000"/>
                <w:sz w:val="18"/>
                <w:szCs w:val="18"/>
              </w:rPr>
            </w:pPr>
          </w:p>
        </w:tc>
        <w:tc>
          <w:tcPr>
            <w:tcW w:w="1134" w:type="dxa"/>
            <w:tcBorders>
              <w:top w:val="single" w:sz="4" w:space="0" w:color="auto"/>
              <w:left w:val="nil"/>
              <w:bottom w:val="nil"/>
              <w:right w:val="nil"/>
            </w:tcBorders>
            <w:shd w:val="clear" w:color="auto" w:fill="D9D9D9" w:themeFill="background1" w:themeFillShade="D9"/>
            <w:noWrap/>
            <w:vAlign w:val="center"/>
          </w:tcPr>
          <w:p w14:paraId="0E837624" w14:textId="77777777" w:rsidR="00FD6F91" w:rsidRPr="00847FAE" w:rsidRDefault="00FD6F91" w:rsidP="00FD6F91">
            <w:pPr>
              <w:jc w:val="center"/>
              <w:rPr>
                <w:rFonts w:cs="Calibri"/>
                <w:iCs/>
                <w:color w:val="000000"/>
                <w:sz w:val="18"/>
                <w:szCs w:val="18"/>
              </w:rPr>
            </w:pPr>
          </w:p>
        </w:tc>
      </w:tr>
      <w:tr w:rsidR="00FD6F91" w:rsidRPr="00847FAE" w14:paraId="3EF2E4D3" w14:textId="77777777" w:rsidTr="001F1F60">
        <w:trPr>
          <w:cantSplit/>
          <w:trHeight w:val="255"/>
        </w:trPr>
        <w:tc>
          <w:tcPr>
            <w:tcW w:w="3402" w:type="dxa"/>
            <w:gridSpan w:val="4"/>
            <w:tcBorders>
              <w:top w:val="nil"/>
              <w:left w:val="nil"/>
              <w:bottom w:val="nil"/>
              <w:right w:val="nil"/>
            </w:tcBorders>
            <w:noWrap/>
            <w:hideMark/>
          </w:tcPr>
          <w:p w14:paraId="20355942"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879" w:type="dxa"/>
            <w:tcBorders>
              <w:top w:val="nil"/>
              <w:left w:val="nil"/>
              <w:bottom w:val="nil"/>
              <w:right w:val="nil"/>
            </w:tcBorders>
            <w:noWrap/>
            <w:vAlign w:val="center"/>
          </w:tcPr>
          <w:p w14:paraId="39ADEF00" w14:textId="77777777" w:rsidR="00FD6F91" w:rsidRPr="00847FAE" w:rsidRDefault="00FD6F91" w:rsidP="00FD6F91">
            <w:pPr>
              <w:jc w:val="center"/>
              <w:rPr>
                <w:rFonts w:cs="Calibri"/>
                <w:color w:val="000000"/>
                <w:sz w:val="18"/>
                <w:szCs w:val="18"/>
              </w:rPr>
            </w:pPr>
            <w:r w:rsidRPr="00847FAE">
              <w:rPr>
                <w:rFonts w:cs="Calibri"/>
                <w:color w:val="000000"/>
                <w:sz w:val="18"/>
                <w:szCs w:val="18"/>
              </w:rPr>
              <w:t>1,049</w:t>
            </w:r>
          </w:p>
        </w:tc>
        <w:tc>
          <w:tcPr>
            <w:tcW w:w="879" w:type="dxa"/>
            <w:tcBorders>
              <w:top w:val="nil"/>
              <w:left w:val="nil"/>
              <w:bottom w:val="nil"/>
              <w:right w:val="nil"/>
            </w:tcBorders>
            <w:noWrap/>
            <w:vAlign w:val="center"/>
          </w:tcPr>
          <w:p w14:paraId="60B6AB6A" w14:textId="77777777" w:rsidR="00FD6F91" w:rsidRPr="00847FAE" w:rsidRDefault="00FD6F91" w:rsidP="00FD6F91">
            <w:pPr>
              <w:jc w:val="center"/>
              <w:rPr>
                <w:rFonts w:cs="Calibri"/>
                <w:color w:val="000000"/>
                <w:sz w:val="18"/>
                <w:szCs w:val="18"/>
              </w:rPr>
            </w:pPr>
            <w:r w:rsidRPr="00847FAE">
              <w:rPr>
                <w:rFonts w:cs="Calibri"/>
                <w:color w:val="000000"/>
                <w:sz w:val="18"/>
                <w:szCs w:val="18"/>
              </w:rPr>
              <w:t>1,128</w:t>
            </w:r>
          </w:p>
        </w:tc>
        <w:tc>
          <w:tcPr>
            <w:tcW w:w="879" w:type="dxa"/>
            <w:tcBorders>
              <w:top w:val="nil"/>
              <w:left w:val="nil"/>
              <w:bottom w:val="nil"/>
              <w:right w:val="nil"/>
            </w:tcBorders>
            <w:noWrap/>
            <w:vAlign w:val="center"/>
          </w:tcPr>
          <w:p w14:paraId="5ADAE83C" w14:textId="77777777" w:rsidR="00FD6F91" w:rsidRPr="00847FAE" w:rsidRDefault="00FD6F91" w:rsidP="00FD6F91">
            <w:pPr>
              <w:jc w:val="center"/>
              <w:rPr>
                <w:rFonts w:cs="Calibri"/>
                <w:color w:val="000000"/>
                <w:sz w:val="18"/>
                <w:szCs w:val="18"/>
              </w:rPr>
            </w:pPr>
            <w:r w:rsidRPr="00847FAE">
              <w:rPr>
                <w:rFonts w:cs="Calibri"/>
                <w:color w:val="000000"/>
                <w:sz w:val="18"/>
                <w:szCs w:val="18"/>
              </w:rPr>
              <w:t>1,063</w:t>
            </w:r>
          </w:p>
        </w:tc>
        <w:tc>
          <w:tcPr>
            <w:tcW w:w="879" w:type="dxa"/>
            <w:tcBorders>
              <w:top w:val="nil"/>
              <w:left w:val="nil"/>
              <w:bottom w:val="nil"/>
              <w:right w:val="nil"/>
            </w:tcBorders>
            <w:noWrap/>
            <w:vAlign w:val="center"/>
          </w:tcPr>
          <w:p w14:paraId="1B0C20C3" w14:textId="77777777" w:rsidR="00FD6F91" w:rsidRPr="00847FAE" w:rsidRDefault="00FD6F91" w:rsidP="00FD6F91">
            <w:pPr>
              <w:jc w:val="center"/>
              <w:rPr>
                <w:rFonts w:cs="Calibri"/>
                <w:color w:val="000000"/>
                <w:sz w:val="18"/>
                <w:szCs w:val="18"/>
              </w:rPr>
            </w:pPr>
            <w:r w:rsidRPr="00847FAE">
              <w:rPr>
                <w:rFonts w:cs="Calibri"/>
                <w:color w:val="000000"/>
                <w:sz w:val="18"/>
                <w:szCs w:val="18"/>
              </w:rPr>
              <w:t>1,169</w:t>
            </w:r>
          </w:p>
        </w:tc>
        <w:tc>
          <w:tcPr>
            <w:tcW w:w="879" w:type="dxa"/>
            <w:tcBorders>
              <w:top w:val="nil"/>
              <w:left w:val="nil"/>
              <w:bottom w:val="nil"/>
              <w:right w:val="nil"/>
            </w:tcBorders>
            <w:noWrap/>
            <w:vAlign w:val="center"/>
          </w:tcPr>
          <w:p w14:paraId="3B519FF3" w14:textId="77777777" w:rsidR="00FD6F91" w:rsidRPr="00847FAE" w:rsidRDefault="00FD6F91" w:rsidP="00FD6F91">
            <w:pPr>
              <w:jc w:val="center"/>
              <w:rPr>
                <w:rFonts w:cs="Calibri"/>
                <w:color w:val="000000"/>
                <w:sz w:val="18"/>
                <w:szCs w:val="18"/>
              </w:rPr>
            </w:pPr>
            <w:r w:rsidRPr="00847FAE">
              <w:rPr>
                <w:rFonts w:cs="Calibri"/>
                <w:color w:val="000000"/>
                <w:sz w:val="18"/>
                <w:szCs w:val="18"/>
              </w:rPr>
              <w:t>1,064</w:t>
            </w:r>
          </w:p>
        </w:tc>
        <w:tc>
          <w:tcPr>
            <w:tcW w:w="1134" w:type="dxa"/>
            <w:tcBorders>
              <w:top w:val="nil"/>
              <w:left w:val="nil"/>
              <w:bottom w:val="nil"/>
              <w:right w:val="nil"/>
            </w:tcBorders>
            <w:noWrap/>
            <w:vAlign w:val="center"/>
          </w:tcPr>
          <w:p w14:paraId="4571EF37" w14:textId="77777777" w:rsidR="00FD6F91" w:rsidRPr="00847FAE" w:rsidRDefault="00FD6F91" w:rsidP="00FD6F91">
            <w:pPr>
              <w:jc w:val="center"/>
              <w:rPr>
                <w:rFonts w:cs="Calibri"/>
                <w:color w:val="000000"/>
                <w:sz w:val="18"/>
                <w:szCs w:val="18"/>
              </w:rPr>
            </w:pPr>
            <w:r w:rsidRPr="00847FAE">
              <w:rPr>
                <w:rFonts w:cs="Calibri"/>
                <w:color w:val="000000"/>
                <w:sz w:val="18"/>
                <w:szCs w:val="18"/>
              </w:rPr>
              <w:t>-9.0%</w:t>
            </w:r>
          </w:p>
        </w:tc>
      </w:tr>
      <w:tr w:rsidR="00FD6F91" w:rsidRPr="00847FAE" w14:paraId="6EEBD2AA" w14:textId="77777777" w:rsidTr="001F1F60">
        <w:trPr>
          <w:cantSplit/>
          <w:trHeight w:val="255"/>
        </w:trPr>
        <w:tc>
          <w:tcPr>
            <w:tcW w:w="3402" w:type="dxa"/>
            <w:gridSpan w:val="4"/>
            <w:tcBorders>
              <w:top w:val="nil"/>
              <w:left w:val="nil"/>
              <w:bottom w:val="nil"/>
              <w:right w:val="nil"/>
            </w:tcBorders>
            <w:noWrap/>
          </w:tcPr>
          <w:p w14:paraId="07415650"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lastRenderedPageBreak/>
              <w:t xml:space="preserve">   Finalisations</w:t>
            </w:r>
          </w:p>
        </w:tc>
        <w:tc>
          <w:tcPr>
            <w:tcW w:w="879" w:type="dxa"/>
            <w:tcBorders>
              <w:top w:val="nil"/>
              <w:left w:val="nil"/>
              <w:bottom w:val="nil"/>
              <w:right w:val="nil"/>
            </w:tcBorders>
            <w:noWrap/>
            <w:vAlign w:val="center"/>
          </w:tcPr>
          <w:p w14:paraId="7098DE80" w14:textId="77777777" w:rsidR="00FD6F91" w:rsidRPr="00847FAE" w:rsidRDefault="00FD6F91" w:rsidP="00FD6F91">
            <w:pPr>
              <w:jc w:val="center"/>
              <w:rPr>
                <w:rFonts w:cs="Calibri"/>
                <w:color w:val="000000"/>
                <w:sz w:val="18"/>
                <w:szCs w:val="18"/>
              </w:rPr>
            </w:pPr>
            <w:r w:rsidRPr="00847FAE">
              <w:rPr>
                <w:rFonts w:cs="Calibri"/>
                <w:color w:val="000000"/>
                <w:sz w:val="18"/>
                <w:szCs w:val="18"/>
              </w:rPr>
              <w:t>1,014</w:t>
            </w:r>
          </w:p>
        </w:tc>
        <w:tc>
          <w:tcPr>
            <w:tcW w:w="879" w:type="dxa"/>
            <w:tcBorders>
              <w:top w:val="nil"/>
              <w:left w:val="nil"/>
              <w:bottom w:val="nil"/>
              <w:right w:val="nil"/>
            </w:tcBorders>
            <w:noWrap/>
            <w:vAlign w:val="center"/>
          </w:tcPr>
          <w:p w14:paraId="339CD17B" w14:textId="77777777" w:rsidR="00FD6F91" w:rsidRPr="00847FAE" w:rsidRDefault="00FD6F91" w:rsidP="00FD6F91">
            <w:pPr>
              <w:jc w:val="center"/>
              <w:rPr>
                <w:rFonts w:cs="Calibri"/>
                <w:color w:val="000000"/>
                <w:sz w:val="18"/>
                <w:szCs w:val="18"/>
              </w:rPr>
            </w:pPr>
            <w:r w:rsidRPr="00847FAE">
              <w:rPr>
                <w:rFonts w:cs="Calibri"/>
                <w:color w:val="000000"/>
                <w:sz w:val="18"/>
                <w:szCs w:val="18"/>
              </w:rPr>
              <w:t>1,015</w:t>
            </w:r>
          </w:p>
        </w:tc>
        <w:tc>
          <w:tcPr>
            <w:tcW w:w="879" w:type="dxa"/>
            <w:tcBorders>
              <w:top w:val="nil"/>
              <w:left w:val="nil"/>
              <w:bottom w:val="nil"/>
              <w:right w:val="nil"/>
            </w:tcBorders>
            <w:noWrap/>
            <w:vAlign w:val="center"/>
          </w:tcPr>
          <w:p w14:paraId="221D34A0" w14:textId="77777777" w:rsidR="00FD6F91" w:rsidRPr="00847FAE" w:rsidRDefault="00FD6F91" w:rsidP="00FD6F91">
            <w:pPr>
              <w:jc w:val="center"/>
              <w:rPr>
                <w:rFonts w:cs="Calibri"/>
                <w:color w:val="000000"/>
                <w:sz w:val="18"/>
                <w:szCs w:val="18"/>
              </w:rPr>
            </w:pPr>
            <w:r w:rsidRPr="00847FAE">
              <w:rPr>
                <w:rFonts w:cs="Calibri"/>
                <w:color w:val="000000"/>
                <w:sz w:val="18"/>
                <w:szCs w:val="18"/>
              </w:rPr>
              <w:t>980</w:t>
            </w:r>
          </w:p>
        </w:tc>
        <w:tc>
          <w:tcPr>
            <w:tcW w:w="879" w:type="dxa"/>
            <w:tcBorders>
              <w:top w:val="nil"/>
              <w:left w:val="nil"/>
              <w:bottom w:val="nil"/>
              <w:right w:val="nil"/>
            </w:tcBorders>
            <w:noWrap/>
            <w:vAlign w:val="center"/>
          </w:tcPr>
          <w:p w14:paraId="5578A8E7" w14:textId="77777777" w:rsidR="00FD6F91" w:rsidRPr="00847FAE" w:rsidRDefault="00FD6F91" w:rsidP="00FD6F91">
            <w:pPr>
              <w:jc w:val="center"/>
              <w:rPr>
                <w:rFonts w:cs="Calibri"/>
                <w:color w:val="000000"/>
                <w:sz w:val="18"/>
                <w:szCs w:val="18"/>
              </w:rPr>
            </w:pPr>
            <w:r w:rsidRPr="00847FAE">
              <w:rPr>
                <w:rFonts w:cs="Calibri"/>
                <w:color w:val="000000"/>
                <w:sz w:val="18"/>
                <w:szCs w:val="18"/>
              </w:rPr>
              <w:t>1,042</w:t>
            </w:r>
          </w:p>
        </w:tc>
        <w:tc>
          <w:tcPr>
            <w:tcW w:w="879" w:type="dxa"/>
            <w:tcBorders>
              <w:top w:val="nil"/>
              <w:left w:val="nil"/>
              <w:bottom w:val="nil"/>
              <w:right w:val="nil"/>
            </w:tcBorders>
            <w:noWrap/>
            <w:vAlign w:val="center"/>
          </w:tcPr>
          <w:p w14:paraId="10F48A66" w14:textId="77777777" w:rsidR="00FD6F91" w:rsidRPr="00847FAE" w:rsidRDefault="00FD6F91" w:rsidP="00FD6F91">
            <w:pPr>
              <w:jc w:val="center"/>
              <w:rPr>
                <w:rFonts w:cs="Calibri"/>
                <w:color w:val="000000"/>
                <w:sz w:val="18"/>
                <w:szCs w:val="18"/>
              </w:rPr>
            </w:pPr>
            <w:r w:rsidRPr="00847FAE">
              <w:rPr>
                <w:rFonts w:cs="Calibri"/>
                <w:color w:val="000000"/>
                <w:sz w:val="18"/>
                <w:szCs w:val="18"/>
              </w:rPr>
              <w:t>1,065</w:t>
            </w:r>
          </w:p>
        </w:tc>
        <w:tc>
          <w:tcPr>
            <w:tcW w:w="1134" w:type="dxa"/>
            <w:tcBorders>
              <w:top w:val="nil"/>
              <w:left w:val="nil"/>
              <w:bottom w:val="nil"/>
              <w:right w:val="nil"/>
            </w:tcBorders>
            <w:noWrap/>
            <w:vAlign w:val="center"/>
          </w:tcPr>
          <w:p w14:paraId="106E34CA" w14:textId="77777777" w:rsidR="00FD6F91" w:rsidRPr="00847FAE" w:rsidRDefault="00FD6F91" w:rsidP="00FD6F91">
            <w:pPr>
              <w:jc w:val="center"/>
              <w:rPr>
                <w:rFonts w:cs="Calibri"/>
                <w:color w:val="000000"/>
                <w:sz w:val="18"/>
                <w:szCs w:val="18"/>
              </w:rPr>
            </w:pPr>
            <w:r w:rsidRPr="00847FAE">
              <w:rPr>
                <w:rFonts w:cs="Calibri"/>
                <w:color w:val="000000"/>
                <w:sz w:val="18"/>
                <w:szCs w:val="18"/>
              </w:rPr>
              <w:t>2.2%</w:t>
            </w:r>
          </w:p>
        </w:tc>
      </w:tr>
      <w:tr w:rsidR="00FD6F91" w:rsidRPr="00847FAE" w14:paraId="2405B697"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67FDC72E" w14:textId="777134C9" w:rsidR="00FD6F91" w:rsidRPr="00FA2D13" w:rsidRDefault="00FD6F91" w:rsidP="00FD6F91">
            <w:pPr>
              <w:widowControl w:val="0"/>
              <w:rPr>
                <w:rFonts w:cs="Calibri"/>
                <w:iCs/>
                <w:color w:val="000000"/>
                <w:sz w:val="18"/>
                <w:szCs w:val="18"/>
                <w:vertAlign w:val="superscript"/>
              </w:rPr>
            </w:pPr>
            <w:r w:rsidRPr="00847FAE">
              <w:rPr>
                <w:rFonts w:cs="Calibri"/>
                <w:iCs/>
                <w:color w:val="000000"/>
                <w:sz w:val="18"/>
                <w:szCs w:val="18"/>
              </w:rPr>
              <w:t>Applications to extend or vary a RO</w:t>
            </w:r>
            <w:r w:rsidR="00FA2D13">
              <w:rPr>
                <w:rFonts w:cs="Calibri"/>
                <w:iCs/>
                <w:color w:val="000000"/>
                <w:sz w:val="18"/>
                <w:szCs w:val="18"/>
                <w:vertAlign w:val="superscript"/>
              </w:rPr>
              <w:t>1</w:t>
            </w:r>
          </w:p>
        </w:tc>
        <w:tc>
          <w:tcPr>
            <w:tcW w:w="879" w:type="dxa"/>
            <w:tcBorders>
              <w:top w:val="nil"/>
              <w:left w:val="nil"/>
              <w:bottom w:val="nil"/>
              <w:right w:val="nil"/>
            </w:tcBorders>
            <w:shd w:val="clear" w:color="auto" w:fill="D9D9D9" w:themeFill="background1" w:themeFillShade="D9"/>
            <w:noWrap/>
            <w:vAlign w:val="center"/>
          </w:tcPr>
          <w:p w14:paraId="0DCF20A2"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5E239010"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155A8BE8"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4DB611CE"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5CD5F376" w14:textId="77777777" w:rsidR="00FD6F91" w:rsidRPr="00847FAE" w:rsidRDefault="00FD6F91" w:rsidP="00FD6F91">
            <w:pPr>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16E9D7BA" w14:textId="77777777" w:rsidR="00FD6F91" w:rsidRPr="00847FAE" w:rsidRDefault="00FD6F91" w:rsidP="00FD6F91">
            <w:pPr>
              <w:jc w:val="center"/>
              <w:rPr>
                <w:rFonts w:cs="Calibri"/>
                <w:iCs/>
                <w:color w:val="000000"/>
                <w:sz w:val="18"/>
                <w:szCs w:val="18"/>
              </w:rPr>
            </w:pPr>
          </w:p>
        </w:tc>
      </w:tr>
      <w:tr w:rsidR="00FD6F91" w:rsidRPr="00847FAE" w14:paraId="248B9CEB" w14:textId="77777777" w:rsidTr="001F1F60">
        <w:trPr>
          <w:cantSplit/>
          <w:trHeight w:val="255"/>
        </w:trPr>
        <w:tc>
          <w:tcPr>
            <w:tcW w:w="3402" w:type="dxa"/>
            <w:gridSpan w:val="4"/>
            <w:tcBorders>
              <w:top w:val="nil"/>
              <w:left w:val="nil"/>
              <w:bottom w:val="nil"/>
              <w:right w:val="nil"/>
            </w:tcBorders>
            <w:noWrap/>
          </w:tcPr>
          <w:p w14:paraId="0A3A854B"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879" w:type="dxa"/>
            <w:tcBorders>
              <w:top w:val="nil"/>
              <w:left w:val="nil"/>
              <w:bottom w:val="nil"/>
              <w:right w:val="nil"/>
            </w:tcBorders>
            <w:noWrap/>
            <w:vAlign w:val="center"/>
          </w:tcPr>
          <w:p w14:paraId="021837D6" w14:textId="77777777" w:rsidR="00FD6F91" w:rsidRPr="00847FAE" w:rsidRDefault="00FD6F91" w:rsidP="00FD6F91">
            <w:pPr>
              <w:jc w:val="center"/>
              <w:rPr>
                <w:rFonts w:cs="Calibri"/>
                <w:color w:val="000000"/>
                <w:sz w:val="18"/>
                <w:szCs w:val="18"/>
              </w:rPr>
            </w:pPr>
            <w:r w:rsidRPr="00847FAE">
              <w:rPr>
                <w:rFonts w:cs="Calibri"/>
                <w:color w:val="000000"/>
                <w:sz w:val="18"/>
                <w:szCs w:val="18"/>
              </w:rPr>
              <w:t>51</w:t>
            </w:r>
          </w:p>
        </w:tc>
        <w:tc>
          <w:tcPr>
            <w:tcW w:w="879" w:type="dxa"/>
            <w:tcBorders>
              <w:top w:val="nil"/>
              <w:left w:val="nil"/>
              <w:bottom w:val="nil"/>
              <w:right w:val="nil"/>
            </w:tcBorders>
            <w:noWrap/>
            <w:vAlign w:val="center"/>
          </w:tcPr>
          <w:p w14:paraId="7622B8F2" w14:textId="77777777" w:rsidR="00FD6F91" w:rsidRPr="00847FAE" w:rsidRDefault="00FD6F91" w:rsidP="00FD6F91">
            <w:pPr>
              <w:jc w:val="center"/>
              <w:rPr>
                <w:rFonts w:cs="Calibri"/>
                <w:color w:val="000000"/>
                <w:sz w:val="18"/>
                <w:szCs w:val="18"/>
              </w:rPr>
            </w:pPr>
            <w:r w:rsidRPr="00847FAE">
              <w:rPr>
                <w:rFonts w:cs="Calibri"/>
                <w:color w:val="000000"/>
                <w:sz w:val="18"/>
                <w:szCs w:val="18"/>
              </w:rPr>
              <w:t>53</w:t>
            </w:r>
          </w:p>
        </w:tc>
        <w:tc>
          <w:tcPr>
            <w:tcW w:w="879" w:type="dxa"/>
            <w:tcBorders>
              <w:top w:val="nil"/>
              <w:left w:val="nil"/>
              <w:bottom w:val="nil"/>
              <w:right w:val="nil"/>
            </w:tcBorders>
            <w:noWrap/>
            <w:vAlign w:val="center"/>
          </w:tcPr>
          <w:p w14:paraId="2D1E2290" w14:textId="77777777" w:rsidR="00FD6F91" w:rsidRPr="00847FAE" w:rsidRDefault="00FD6F91" w:rsidP="00FD6F91">
            <w:pPr>
              <w:jc w:val="center"/>
              <w:rPr>
                <w:rFonts w:cs="Calibri"/>
                <w:color w:val="000000"/>
                <w:sz w:val="18"/>
                <w:szCs w:val="18"/>
              </w:rPr>
            </w:pPr>
            <w:r w:rsidRPr="00847FAE">
              <w:rPr>
                <w:rFonts w:cs="Calibri"/>
                <w:color w:val="000000"/>
                <w:sz w:val="18"/>
                <w:szCs w:val="18"/>
              </w:rPr>
              <w:t>47</w:t>
            </w:r>
          </w:p>
        </w:tc>
        <w:tc>
          <w:tcPr>
            <w:tcW w:w="879" w:type="dxa"/>
            <w:tcBorders>
              <w:top w:val="nil"/>
              <w:left w:val="nil"/>
              <w:bottom w:val="nil"/>
              <w:right w:val="nil"/>
            </w:tcBorders>
            <w:noWrap/>
            <w:vAlign w:val="center"/>
          </w:tcPr>
          <w:p w14:paraId="7820C873" w14:textId="77777777" w:rsidR="00FD6F91" w:rsidRPr="00847FAE" w:rsidRDefault="00FD6F91" w:rsidP="00FD6F91">
            <w:pPr>
              <w:jc w:val="center"/>
              <w:rPr>
                <w:rFonts w:cs="Calibri"/>
                <w:color w:val="000000"/>
                <w:sz w:val="18"/>
                <w:szCs w:val="18"/>
              </w:rPr>
            </w:pPr>
            <w:r w:rsidRPr="00847FAE">
              <w:rPr>
                <w:rFonts w:cs="Calibri"/>
                <w:color w:val="000000"/>
                <w:sz w:val="18"/>
                <w:szCs w:val="18"/>
              </w:rPr>
              <w:t>47</w:t>
            </w:r>
          </w:p>
        </w:tc>
        <w:tc>
          <w:tcPr>
            <w:tcW w:w="879" w:type="dxa"/>
            <w:tcBorders>
              <w:top w:val="nil"/>
              <w:left w:val="nil"/>
              <w:bottom w:val="nil"/>
              <w:right w:val="nil"/>
            </w:tcBorders>
            <w:noWrap/>
            <w:vAlign w:val="center"/>
          </w:tcPr>
          <w:p w14:paraId="1CB6D153" w14:textId="77777777" w:rsidR="00FD6F91" w:rsidRPr="00847FAE" w:rsidRDefault="00FD6F91" w:rsidP="00FD6F91">
            <w:pPr>
              <w:jc w:val="center"/>
              <w:rPr>
                <w:rFonts w:cs="Calibri"/>
                <w:color w:val="000000"/>
                <w:sz w:val="18"/>
                <w:szCs w:val="18"/>
              </w:rPr>
            </w:pPr>
            <w:r w:rsidRPr="00847FAE">
              <w:rPr>
                <w:rFonts w:cs="Calibri"/>
                <w:color w:val="000000"/>
                <w:sz w:val="18"/>
                <w:szCs w:val="18"/>
              </w:rPr>
              <w:t>54</w:t>
            </w:r>
          </w:p>
        </w:tc>
        <w:tc>
          <w:tcPr>
            <w:tcW w:w="1134" w:type="dxa"/>
            <w:tcBorders>
              <w:top w:val="nil"/>
              <w:left w:val="nil"/>
              <w:bottom w:val="nil"/>
              <w:right w:val="nil"/>
            </w:tcBorders>
            <w:noWrap/>
            <w:vAlign w:val="center"/>
          </w:tcPr>
          <w:p w14:paraId="2C892635" w14:textId="77777777" w:rsidR="00FD6F91" w:rsidRPr="00847FAE" w:rsidRDefault="00FD6F91" w:rsidP="00FD6F91">
            <w:pPr>
              <w:jc w:val="center"/>
              <w:rPr>
                <w:rFonts w:cs="Calibri"/>
                <w:color w:val="000000"/>
                <w:sz w:val="18"/>
                <w:szCs w:val="18"/>
              </w:rPr>
            </w:pPr>
            <w:r w:rsidRPr="00847FAE">
              <w:rPr>
                <w:rFonts w:cs="Calibri"/>
                <w:color w:val="000000"/>
                <w:sz w:val="18"/>
                <w:szCs w:val="18"/>
              </w:rPr>
              <w:t>14.9%</w:t>
            </w:r>
          </w:p>
        </w:tc>
      </w:tr>
      <w:tr w:rsidR="00FD6F91" w:rsidRPr="00847FAE" w14:paraId="2EDC1435" w14:textId="77777777" w:rsidTr="001F1F60">
        <w:trPr>
          <w:cantSplit/>
          <w:trHeight w:val="255"/>
        </w:trPr>
        <w:tc>
          <w:tcPr>
            <w:tcW w:w="3402" w:type="dxa"/>
            <w:gridSpan w:val="4"/>
            <w:tcBorders>
              <w:top w:val="nil"/>
              <w:left w:val="nil"/>
              <w:bottom w:val="nil"/>
              <w:right w:val="nil"/>
            </w:tcBorders>
            <w:noWrap/>
          </w:tcPr>
          <w:p w14:paraId="1B0F98CC"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Finalisations</w:t>
            </w:r>
          </w:p>
        </w:tc>
        <w:tc>
          <w:tcPr>
            <w:tcW w:w="879" w:type="dxa"/>
            <w:tcBorders>
              <w:top w:val="nil"/>
              <w:left w:val="nil"/>
              <w:bottom w:val="nil"/>
              <w:right w:val="nil"/>
            </w:tcBorders>
            <w:noWrap/>
            <w:vAlign w:val="center"/>
          </w:tcPr>
          <w:p w14:paraId="40659124" w14:textId="77777777" w:rsidR="00FD6F91" w:rsidRPr="00847FAE" w:rsidRDefault="00FD6F91" w:rsidP="00FD6F91">
            <w:pPr>
              <w:jc w:val="center"/>
              <w:rPr>
                <w:rFonts w:cs="Calibri"/>
                <w:color w:val="000000"/>
                <w:sz w:val="18"/>
                <w:szCs w:val="18"/>
              </w:rPr>
            </w:pPr>
            <w:r w:rsidRPr="00847FAE">
              <w:rPr>
                <w:rFonts w:cs="Calibri"/>
                <w:color w:val="000000"/>
                <w:sz w:val="18"/>
                <w:szCs w:val="18"/>
              </w:rPr>
              <w:t>52</w:t>
            </w:r>
          </w:p>
        </w:tc>
        <w:tc>
          <w:tcPr>
            <w:tcW w:w="879" w:type="dxa"/>
            <w:tcBorders>
              <w:top w:val="nil"/>
              <w:left w:val="nil"/>
              <w:bottom w:val="nil"/>
              <w:right w:val="nil"/>
            </w:tcBorders>
            <w:noWrap/>
            <w:vAlign w:val="center"/>
          </w:tcPr>
          <w:p w14:paraId="137DF36A" w14:textId="77777777" w:rsidR="00FD6F91" w:rsidRPr="00847FAE" w:rsidRDefault="00FD6F91" w:rsidP="00FD6F91">
            <w:pPr>
              <w:jc w:val="center"/>
              <w:rPr>
                <w:rFonts w:cs="Calibri"/>
                <w:color w:val="000000"/>
                <w:sz w:val="18"/>
                <w:szCs w:val="18"/>
              </w:rPr>
            </w:pPr>
            <w:r w:rsidRPr="00847FAE">
              <w:rPr>
                <w:rFonts w:cs="Calibri"/>
                <w:color w:val="000000"/>
                <w:sz w:val="18"/>
                <w:szCs w:val="18"/>
              </w:rPr>
              <w:t>49</w:t>
            </w:r>
          </w:p>
        </w:tc>
        <w:tc>
          <w:tcPr>
            <w:tcW w:w="879" w:type="dxa"/>
            <w:tcBorders>
              <w:top w:val="nil"/>
              <w:left w:val="nil"/>
              <w:bottom w:val="nil"/>
              <w:right w:val="nil"/>
            </w:tcBorders>
            <w:noWrap/>
            <w:vAlign w:val="center"/>
          </w:tcPr>
          <w:p w14:paraId="61EFDB1C" w14:textId="77777777" w:rsidR="00FD6F91" w:rsidRPr="00847FAE" w:rsidRDefault="00FD6F91" w:rsidP="00FD6F91">
            <w:pPr>
              <w:jc w:val="center"/>
              <w:rPr>
                <w:rFonts w:cs="Calibri"/>
                <w:color w:val="000000"/>
                <w:sz w:val="18"/>
                <w:szCs w:val="18"/>
              </w:rPr>
            </w:pPr>
            <w:r w:rsidRPr="00847FAE">
              <w:rPr>
                <w:rFonts w:cs="Calibri"/>
                <w:color w:val="000000"/>
                <w:sz w:val="18"/>
                <w:szCs w:val="18"/>
              </w:rPr>
              <w:t>42</w:t>
            </w:r>
          </w:p>
        </w:tc>
        <w:tc>
          <w:tcPr>
            <w:tcW w:w="879" w:type="dxa"/>
            <w:tcBorders>
              <w:top w:val="nil"/>
              <w:left w:val="nil"/>
              <w:bottom w:val="nil"/>
              <w:right w:val="nil"/>
            </w:tcBorders>
            <w:noWrap/>
            <w:vAlign w:val="center"/>
          </w:tcPr>
          <w:p w14:paraId="49B5A474" w14:textId="77777777" w:rsidR="00FD6F91" w:rsidRPr="00847FAE" w:rsidRDefault="00FD6F91" w:rsidP="00FD6F91">
            <w:pPr>
              <w:jc w:val="center"/>
              <w:rPr>
                <w:rFonts w:cs="Calibri"/>
                <w:color w:val="000000"/>
                <w:sz w:val="18"/>
                <w:szCs w:val="18"/>
              </w:rPr>
            </w:pPr>
            <w:r w:rsidRPr="00847FAE">
              <w:rPr>
                <w:rFonts w:cs="Calibri"/>
                <w:color w:val="000000"/>
                <w:sz w:val="18"/>
                <w:szCs w:val="18"/>
              </w:rPr>
              <w:t>40</w:t>
            </w:r>
          </w:p>
        </w:tc>
        <w:tc>
          <w:tcPr>
            <w:tcW w:w="879" w:type="dxa"/>
            <w:tcBorders>
              <w:top w:val="nil"/>
              <w:left w:val="nil"/>
              <w:bottom w:val="nil"/>
              <w:right w:val="nil"/>
            </w:tcBorders>
            <w:noWrap/>
            <w:vAlign w:val="center"/>
          </w:tcPr>
          <w:p w14:paraId="5872C377" w14:textId="77777777" w:rsidR="00FD6F91" w:rsidRPr="00847FAE" w:rsidRDefault="00FD6F91" w:rsidP="00FD6F91">
            <w:pPr>
              <w:jc w:val="center"/>
              <w:rPr>
                <w:rFonts w:cs="Calibri"/>
                <w:color w:val="000000"/>
                <w:sz w:val="18"/>
                <w:szCs w:val="18"/>
              </w:rPr>
            </w:pPr>
            <w:r w:rsidRPr="00847FAE">
              <w:rPr>
                <w:rFonts w:cs="Calibri"/>
                <w:color w:val="000000"/>
                <w:sz w:val="18"/>
                <w:szCs w:val="18"/>
              </w:rPr>
              <w:t>51</w:t>
            </w:r>
          </w:p>
        </w:tc>
        <w:tc>
          <w:tcPr>
            <w:tcW w:w="1134" w:type="dxa"/>
            <w:tcBorders>
              <w:top w:val="nil"/>
              <w:left w:val="nil"/>
              <w:bottom w:val="nil"/>
              <w:right w:val="nil"/>
            </w:tcBorders>
            <w:noWrap/>
            <w:vAlign w:val="center"/>
          </w:tcPr>
          <w:p w14:paraId="45C19774" w14:textId="77777777" w:rsidR="00FD6F91" w:rsidRPr="00847FAE" w:rsidRDefault="00FD6F91" w:rsidP="00FD6F91">
            <w:pPr>
              <w:jc w:val="center"/>
              <w:rPr>
                <w:rFonts w:cs="Calibri"/>
                <w:color w:val="000000"/>
                <w:sz w:val="18"/>
                <w:szCs w:val="18"/>
              </w:rPr>
            </w:pPr>
            <w:r w:rsidRPr="00847FAE">
              <w:rPr>
                <w:rFonts w:cs="Calibri"/>
                <w:color w:val="000000"/>
                <w:sz w:val="18"/>
                <w:szCs w:val="18"/>
              </w:rPr>
              <w:t>27.5%</w:t>
            </w:r>
          </w:p>
        </w:tc>
      </w:tr>
      <w:tr w:rsidR="00FD6F91" w:rsidRPr="00847FAE" w14:paraId="7D476A2A"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4C0011A4"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Applications to revoke a RO</w:t>
            </w:r>
          </w:p>
        </w:tc>
        <w:tc>
          <w:tcPr>
            <w:tcW w:w="879" w:type="dxa"/>
            <w:tcBorders>
              <w:top w:val="nil"/>
              <w:left w:val="nil"/>
              <w:bottom w:val="nil"/>
              <w:right w:val="nil"/>
            </w:tcBorders>
            <w:shd w:val="clear" w:color="auto" w:fill="D9D9D9" w:themeFill="background1" w:themeFillShade="D9"/>
            <w:noWrap/>
            <w:vAlign w:val="center"/>
          </w:tcPr>
          <w:p w14:paraId="39B198FF"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D472EFF"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5EE2EDF6"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42CFE3FD"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3C6A30C9" w14:textId="77777777" w:rsidR="00FD6F91" w:rsidRPr="00847FAE" w:rsidRDefault="00FD6F91" w:rsidP="00FD6F91">
            <w:pPr>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50DE5A9F" w14:textId="77777777" w:rsidR="00FD6F91" w:rsidRPr="00847FAE" w:rsidRDefault="00FD6F91" w:rsidP="00FD6F91">
            <w:pPr>
              <w:jc w:val="center"/>
              <w:rPr>
                <w:rFonts w:cs="Calibri"/>
                <w:iCs/>
                <w:color w:val="000000"/>
                <w:sz w:val="18"/>
                <w:szCs w:val="18"/>
              </w:rPr>
            </w:pPr>
          </w:p>
        </w:tc>
      </w:tr>
      <w:tr w:rsidR="00FD6F91" w:rsidRPr="00847FAE" w14:paraId="46A2D4A9" w14:textId="77777777" w:rsidTr="001F1F60">
        <w:trPr>
          <w:cantSplit/>
          <w:trHeight w:val="255"/>
        </w:trPr>
        <w:tc>
          <w:tcPr>
            <w:tcW w:w="3402" w:type="dxa"/>
            <w:gridSpan w:val="4"/>
            <w:tcBorders>
              <w:top w:val="nil"/>
              <w:left w:val="nil"/>
              <w:bottom w:val="nil"/>
              <w:right w:val="nil"/>
            </w:tcBorders>
            <w:noWrap/>
          </w:tcPr>
          <w:p w14:paraId="37C0B662"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879" w:type="dxa"/>
            <w:tcBorders>
              <w:top w:val="nil"/>
              <w:left w:val="nil"/>
              <w:bottom w:val="nil"/>
              <w:right w:val="nil"/>
            </w:tcBorders>
            <w:noWrap/>
            <w:vAlign w:val="center"/>
          </w:tcPr>
          <w:p w14:paraId="7721A171" w14:textId="77777777" w:rsidR="00FD6F91" w:rsidRPr="00847FAE" w:rsidRDefault="00FD6F91" w:rsidP="00FD6F91">
            <w:pPr>
              <w:jc w:val="center"/>
              <w:rPr>
                <w:rFonts w:cs="Calibri"/>
                <w:color w:val="000000"/>
                <w:sz w:val="18"/>
                <w:szCs w:val="18"/>
              </w:rPr>
            </w:pPr>
            <w:r w:rsidRPr="00847FAE">
              <w:rPr>
                <w:rFonts w:cs="Calibri"/>
                <w:color w:val="000000"/>
                <w:sz w:val="18"/>
                <w:szCs w:val="18"/>
              </w:rPr>
              <w:t>25</w:t>
            </w:r>
          </w:p>
        </w:tc>
        <w:tc>
          <w:tcPr>
            <w:tcW w:w="879" w:type="dxa"/>
            <w:tcBorders>
              <w:top w:val="nil"/>
              <w:left w:val="nil"/>
              <w:bottom w:val="nil"/>
              <w:right w:val="nil"/>
            </w:tcBorders>
            <w:noWrap/>
            <w:vAlign w:val="center"/>
          </w:tcPr>
          <w:p w14:paraId="603B7611" w14:textId="77777777" w:rsidR="00FD6F91" w:rsidRPr="00847FAE" w:rsidRDefault="00FD6F91" w:rsidP="00FD6F91">
            <w:pPr>
              <w:jc w:val="center"/>
              <w:rPr>
                <w:rFonts w:cs="Calibri"/>
                <w:color w:val="000000"/>
                <w:sz w:val="18"/>
                <w:szCs w:val="18"/>
              </w:rPr>
            </w:pPr>
            <w:r w:rsidRPr="00847FAE">
              <w:rPr>
                <w:rFonts w:cs="Calibri"/>
                <w:color w:val="000000"/>
                <w:sz w:val="18"/>
                <w:szCs w:val="18"/>
              </w:rPr>
              <w:t>24</w:t>
            </w:r>
          </w:p>
        </w:tc>
        <w:tc>
          <w:tcPr>
            <w:tcW w:w="879" w:type="dxa"/>
            <w:tcBorders>
              <w:top w:val="nil"/>
              <w:left w:val="nil"/>
              <w:bottom w:val="nil"/>
              <w:right w:val="nil"/>
            </w:tcBorders>
            <w:noWrap/>
            <w:vAlign w:val="center"/>
          </w:tcPr>
          <w:p w14:paraId="642D5A7E" w14:textId="77777777" w:rsidR="00FD6F91" w:rsidRPr="00847FAE" w:rsidRDefault="00FD6F91" w:rsidP="00FD6F91">
            <w:pPr>
              <w:jc w:val="center"/>
              <w:rPr>
                <w:rFonts w:cs="Calibri"/>
                <w:color w:val="000000"/>
                <w:sz w:val="18"/>
                <w:szCs w:val="18"/>
              </w:rPr>
            </w:pPr>
            <w:r w:rsidRPr="00847FAE">
              <w:rPr>
                <w:rFonts w:cs="Calibri"/>
                <w:color w:val="000000"/>
                <w:sz w:val="18"/>
                <w:szCs w:val="18"/>
              </w:rPr>
              <w:t>26</w:t>
            </w:r>
          </w:p>
        </w:tc>
        <w:tc>
          <w:tcPr>
            <w:tcW w:w="879" w:type="dxa"/>
            <w:tcBorders>
              <w:top w:val="nil"/>
              <w:left w:val="nil"/>
              <w:bottom w:val="nil"/>
              <w:right w:val="nil"/>
            </w:tcBorders>
            <w:noWrap/>
            <w:vAlign w:val="center"/>
          </w:tcPr>
          <w:p w14:paraId="3AF57854" w14:textId="77777777" w:rsidR="00FD6F91" w:rsidRPr="00847FAE" w:rsidRDefault="00FD6F91" w:rsidP="00FD6F91">
            <w:pPr>
              <w:jc w:val="center"/>
              <w:rPr>
                <w:rFonts w:cs="Calibri"/>
                <w:color w:val="000000"/>
                <w:sz w:val="18"/>
                <w:szCs w:val="18"/>
              </w:rPr>
            </w:pPr>
            <w:r w:rsidRPr="00847FAE">
              <w:rPr>
                <w:rFonts w:cs="Calibri"/>
                <w:color w:val="000000"/>
                <w:sz w:val="18"/>
                <w:szCs w:val="18"/>
              </w:rPr>
              <w:t>32</w:t>
            </w:r>
          </w:p>
        </w:tc>
        <w:tc>
          <w:tcPr>
            <w:tcW w:w="879" w:type="dxa"/>
            <w:tcBorders>
              <w:top w:val="nil"/>
              <w:left w:val="nil"/>
              <w:bottom w:val="nil"/>
              <w:right w:val="nil"/>
            </w:tcBorders>
            <w:noWrap/>
            <w:vAlign w:val="center"/>
          </w:tcPr>
          <w:p w14:paraId="7615FF36" w14:textId="77777777" w:rsidR="00FD6F91" w:rsidRPr="00847FAE" w:rsidRDefault="00FD6F91" w:rsidP="00FD6F91">
            <w:pPr>
              <w:jc w:val="center"/>
              <w:rPr>
                <w:rFonts w:cs="Calibri"/>
                <w:color w:val="000000"/>
                <w:sz w:val="18"/>
                <w:szCs w:val="18"/>
              </w:rPr>
            </w:pPr>
            <w:r w:rsidRPr="00847FAE">
              <w:rPr>
                <w:rFonts w:cs="Calibri"/>
                <w:color w:val="000000"/>
                <w:sz w:val="18"/>
                <w:szCs w:val="18"/>
              </w:rPr>
              <w:t>22</w:t>
            </w:r>
          </w:p>
        </w:tc>
        <w:tc>
          <w:tcPr>
            <w:tcW w:w="1134" w:type="dxa"/>
            <w:tcBorders>
              <w:top w:val="nil"/>
              <w:left w:val="nil"/>
              <w:bottom w:val="nil"/>
              <w:right w:val="nil"/>
            </w:tcBorders>
            <w:noWrap/>
            <w:vAlign w:val="center"/>
          </w:tcPr>
          <w:p w14:paraId="44ECAC82" w14:textId="77777777" w:rsidR="00FD6F91" w:rsidRPr="00847FAE" w:rsidRDefault="00FD6F91" w:rsidP="00FD6F91">
            <w:pPr>
              <w:jc w:val="center"/>
              <w:rPr>
                <w:rFonts w:cs="Calibri"/>
                <w:color w:val="000000"/>
                <w:sz w:val="18"/>
                <w:szCs w:val="18"/>
              </w:rPr>
            </w:pPr>
            <w:r w:rsidRPr="00847FAE">
              <w:rPr>
                <w:rFonts w:cs="Calibri"/>
                <w:color w:val="000000"/>
                <w:sz w:val="18"/>
                <w:szCs w:val="18"/>
              </w:rPr>
              <w:t>-31.3%</w:t>
            </w:r>
          </w:p>
        </w:tc>
      </w:tr>
      <w:tr w:rsidR="00FD6F91" w:rsidRPr="00847FAE" w14:paraId="5931C8B0" w14:textId="77777777" w:rsidTr="001F1F60">
        <w:trPr>
          <w:cantSplit/>
          <w:trHeight w:val="255"/>
        </w:trPr>
        <w:tc>
          <w:tcPr>
            <w:tcW w:w="3402" w:type="dxa"/>
            <w:gridSpan w:val="4"/>
            <w:tcBorders>
              <w:top w:val="nil"/>
              <w:left w:val="nil"/>
              <w:bottom w:val="nil"/>
              <w:right w:val="nil"/>
            </w:tcBorders>
            <w:noWrap/>
          </w:tcPr>
          <w:p w14:paraId="6FC544A3"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Finalisations</w:t>
            </w:r>
          </w:p>
        </w:tc>
        <w:tc>
          <w:tcPr>
            <w:tcW w:w="879" w:type="dxa"/>
            <w:tcBorders>
              <w:top w:val="nil"/>
              <w:left w:val="nil"/>
              <w:bottom w:val="nil"/>
              <w:right w:val="nil"/>
            </w:tcBorders>
            <w:noWrap/>
            <w:vAlign w:val="center"/>
          </w:tcPr>
          <w:p w14:paraId="7DE71AF8" w14:textId="77777777" w:rsidR="00FD6F91" w:rsidRPr="00847FAE" w:rsidRDefault="00FD6F91" w:rsidP="00FD6F91">
            <w:pPr>
              <w:jc w:val="center"/>
              <w:rPr>
                <w:rFonts w:cs="Calibri"/>
                <w:color w:val="000000"/>
                <w:sz w:val="18"/>
                <w:szCs w:val="18"/>
              </w:rPr>
            </w:pPr>
            <w:r w:rsidRPr="00847FAE">
              <w:rPr>
                <w:rFonts w:cs="Calibri"/>
                <w:color w:val="000000"/>
                <w:sz w:val="18"/>
                <w:szCs w:val="18"/>
              </w:rPr>
              <w:t>30</w:t>
            </w:r>
          </w:p>
        </w:tc>
        <w:tc>
          <w:tcPr>
            <w:tcW w:w="879" w:type="dxa"/>
            <w:tcBorders>
              <w:top w:val="nil"/>
              <w:left w:val="nil"/>
              <w:bottom w:val="nil"/>
              <w:right w:val="nil"/>
            </w:tcBorders>
            <w:noWrap/>
            <w:vAlign w:val="center"/>
          </w:tcPr>
          <w:p w14:paraId="2602A2BE" w14:textId="77777777" w:rsidR="00FD6F91" w:rsidRPr="00847FAE" w:rsidRDefault="00FD6F91" w:rsidP="00FD6F91">
            <w:pPr>
              <w:jc w:val="center"/>
              <w:rPr>
                <w:rFonts w:cs="Calibri"/>
                <w:color w:val="000000"/>
                <w:sz w:val="18"/>
                <w:szCs w:val="18"/>
              </w:rPr>
            </w:pPr>
            <w:r w:rsidRPr="00847FAE">
              <w:rPr>
                <w:rFonts w:cs="Calibri"/>
                <w:color w:val="000000"/>
                <w:sz w:val="18"/>
                <w:szCs w:val="18"/>
              </w:rPr>
              <w:t>25</w:t>
            </w:r>
          </w:p>
        </w:tc>
        <w:tc>
          <w:tcPr>
            <w:tcW w:w="879" w:type="dxa"/>
            <w:tcBorders>
              <w:top w:val="nil"/>
              <w:left w:val="nil"/>
              <w:bottom w:val="nil"/>
              <w:right w:val="nil"/>
            </w:tcBorders>
            <w:noWrap/>
            <w:vAlign w:val="center"/>
          </w:tcPr>
          <w:p w14:paraId="4E2A163C" w14:textId="77777777" w:rsidR="00FD6F91" w:rsidRPr="00847FAE" w:rsidRDefault="00FD6F91" w:rsidP="00FD6F91">
            <w:pPr>
              <w:jc w:val="center"/>
              <w:rPr>
                <w:rFonts w:cs="Calibri"/>
                <w:color w:val="000000"/>
                <w:sz w:val="18"/>
                <w:szCs w:val="18"/>
              </w:rPr>
            </w:pPr>
            <w:r w:rsidRPr="00847FAE">
              <w:rPr>
                <w:rFonts w:cs="Calibri"/>
                <w:color w:val="000000"/>
                <w:sz w:val="18"/>
                <w:szCs w:val="18"/>
              </w:rPr>
              <w:t>22</w:t>
            </w:r>
          </w:p>
        </w:tc>
        <w:tc>
          <w:tcPr>
            <w:tcW w:w="879" w:type="dxa"/>
            <w:tcBorders>
              <w:top w:val="nil"/>
              <w:left w:val="nil"/>
              <w:bottom w:val="nil"/>
              <w:right w:val="nil"/>
            </w:tcBorders>
            <w:noWrap/>
            <w:vAlign w:val="center"/>
          </w:tcPr>
          <w:p w14:paraId="3FA3D304" w14:textId="77777777" w:rsidR="00FD6F91" w:rsidRPr="00847FAE" w:rsidRDefault="00FD6F91" w:rsidP="00FD6F91">
            <w:pPr>
              <w:jc w:val="center"/>
              <w:rPr>
                <w:rFonts w:cs="Calibri"/>
                <w:color w:val="000000"/>
                <w:sz w:val="18"/>
                <w:szCs w:val="18"/>
              </w:rPr>
            </w:pPr>
            <w:r w:rsidRPr="00847FAE">
              <w:rPr>
                <w:rFonts w:cs="Calibri"/>
                <w:color w:val="000000"/>
                <w:sz w:val="18"/>
                <w:szCs w:val="18"/>
              </w:rPr>
              <w:t>23</w:t>
            </w:r>
          </w:p>
        </w:tc>
        <w:tc>
          <w:tcPr>
            <w:tcW w:w="879" w:type="dxa"/>
            <w:tcBorders>
              <w:top w:val="nil"/>
              <w:left w:val="nil"/>
              <w:bottom w:val="nil"/>
              <w:right w:val="nil"/>
            </w:tcBorders>
            <w:noWrap/>
            <w:vAlign w:val="center"/>
          </w:tcPr>
          <w:p w14:paraId="0AE3046B" w14:textId="77777777" w:rsidR="00FD6F91" w:rsidRPr="00847FAE" w:rsidRDefault="00FD6F91" w:rsidP="00FD6F91">
            <w:pPr>
              <w:jc w:val="center"/>
              <w:rPr>
                <w:rFonts w:cs="Calibri"/>
                <w:color w:val="000000"/>
                <w:sz w:val="18"/>
                <w:szCs w:val="18"/>
              </w:rPr>
            </w:pPr>
            <w:r w:rsidRPr="00847FAE">
              <w:rPr>
                <w:rFonts w:cs="Calibri"/>
                <w:color w:val="000000"/>
                <w:sz w:val="18"/>
                <w:szCs w:val="18"/>
              </w:rPr>
              <w:t>26</w:t>
            </w:r>
          </w:p>
        </w:tc>
        <w:tc>
          <w:tcPr>
            <w:tcW w:w="1134" w:type="dxa"/>
            <w:tcBorders>
              <w:top w:val="nil"/>
              <w:left w:val="nil"/>
              <w:bottom w:val="nil"/>
              <w:right w:val="nil"/>
            </w:tcBorders>
            <w:noWrap/>
            <w:vAlign w:val="center"/>
          </w:tcPr>
          <w:p w14:paraId="422D26AE" w14:textId="77777777" w:rsidR="00FD6F91" w:rsidRPr="00847FAE" w:rsidRDefault="00FD6F91" w:rsidP="00FD6F91">
            <w:pPr>
              <w:jc w:val="center"/>
              <w:rPr>
                <w:rFonts w:cs="Calibri"/>
                <w:color w:val="000000"/>
                <w:sz w:val="18"/>
                <w:szCs w:val="18"/>
              </w:rPr>
            </w:pPr>
            <w:r w:rsidRPr="00847FAE">
              <w:rPr>
                <w:rFonts w:cs="Calibri"/>
                <w:color w:val="000000"/>
                <w:sz w:val="18"/>
                <w:szCs w:val="18"/>
              </w:rPr>
              <w:t>13.0%</w:t>
            </w:r>
          </w:p>
        </w:tc>
      </w:tr>
      <w:tr w:rsidR="00FD6F91" w:rsidRPr="00847FAE" w14:paraId="68B4BECE"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65ECDBDB" w14:textId="790EA364" w:rsidR="00FD6F91" w:rsidRPr="00FA2D13" w:rsidRDefault="00FD6F91" w:rsidP="00FA2D13">
            <w:pPr>
              <w:widowControl w:val="0"/>
              <w:rPr>
                <w:rFonts w:cs="Calibri"/>
                <w:iCs/>
                <w:color w:val="000000"/>
                <w:sz w:val="18"/>
                <w:szCs w:val="18"/>
                <w:vertAlign w:val="superscript"/>
              </w:rPr>
            </w:pPr>
            <w:r w:rsidRPr="00847FAE">
              <w:rPr>
                <w:rFonts w:cs="Calibri"/>
                <w:iCs/>
                <w:color w:val="000000"/>
                <w:sz w:val="18"/>
                <w:szCs w:val="18"/>
              </w:rPr>
              <w:t xml:space="preserve">Other applications regarding </w:t>
            </w:r>
            <w:r w:rsidR="00FA2D13">
              <w:rPr>
                <w:rFonts w:cs="Calibri"/>
                <w:iCs/>
                <w:color w:val="000000"/>
                <w:sz w:val="18"/>
                <w:szCs w:val="18"/>
              </w:rPr>
              <w:t xml:space="preserve">a </w:t>
            </w:r>
            <w:r w:rsidRPr="00847FAE">
              <w:rPr>
                <w:rFonts w:cs="Calibri"/>
                <w:iCs/>
                <w:color w:val="000000"/>
                <w:sz w:val="18"/>
                <w:szCs w:val="18"/>
              </w:rPr>
              <w:t>RO</w:t>
            </w:r>
            <w:r w:rsidR="00FA2D13">
              <w:rPr>
                <w:rFonts w:cs="Calibri"/>
                <w:iCs/>
                <w:color w:val="000000"/>
                <w:sz w:val="18"/>
                <w:szCs w:val="18"/>
                <w:vertAlign w:val="superscript"/>
              </w:rPr>
              <w:t>2</w:t>
            </w:r>
          </w:p>
        </w:tc>
        <w:tc>
          <w:tcPr>
            <w:tcW w:w="879" w:type="dxa"/>
            <w:tcBorders>
              <w:top w:val="nil"/>
              <w:left w:val="nil"/>
              <w:bottom w:val="nil"/>
              <w:right w:val="nil"/>
            </w:tcBorders>
            <w:shd w:val="clear" w:color="auto" w:fill="D9D9D9" w:themeFill="background1" w:themeFillShade="D9"/>
            <w:noWrap/>
            <w:vAlign w:val="center"/>
          </w:tcPr>
          <w:p w14:paraId="4ABB4B2E" w14:textId="77777777" w:rsidR="00FD6F91" w:rsidRPr="00847FAE" w:rsidRDefault="00FD6F91" w:rsidP="00FD6F91">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0E400FC3" w14:textId="77777777" w:rsidR="00FD6F91" w:rsidRPr="00847FAE" w:rsidRDefault="00FD6F91" w:rsidP="00FD6F91">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4AA95C78" w14:textId="77777777" w:rsidR="00FD6F91" w:rsidRPr="00847FAE" w:rsidRDefault="00FD6F91" w:rsidP="00FD6F91">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5E4D3D03" w14:textId="77777777" w:rsidR="00FD6F91" w:rsidRPr="00847FAE" w:rsidRDefault="00FD6F91" w:rsidP="00FD6F91">
            <w:pPr>
              <w:jc w:val="center"/>
              <w:rPr>
                <w:rFonts w:cs="Calibri"/>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542A78A0" w14:textId="77777777" w:rsidR="00FD6F91" w:rsidRPr="00847FAE" w:rsidRDefault="00FD6F91" w:rsidP="00FD6F91">
            <w:pPr>
              <w:jc w:val="center"/>
              <w:rPr>
                <w:rFonts w:cs="Calibri"/>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7C627879" w14:textId="77777777" w:rsidR="00FD6F91" w:rsidRPr="00847FAE" w:rsidRDefault="00FD6F91" w:rsidP="00FD6F91">
            <w:pPr>
              <w:jc w:val="center"/>
              <w:rPr>
                <w:rFonts w:cs="Calibri"/>
                <w:color w:val="000000"/>
                <w:sz w:val="18"/>
                <w:szCs w:val="18"/>
              </w:rPr>
            </w:pPr>
          </w:p>
        </w:tc>
      </w:tr>
      <w:tr w:rsidR="00FD6F91" w:rsidRPr="00847FAE" w14:paraId="2596C49A" w14:textId="77777777" w:rsidTr="001F1F60">
        <w:trPr>
          <w:cantSplit/>
          <w:trHeight w:val="255"/>
        </w:trPr>
        <w:tc>
          <w:tcPr>
            <w:tcW w:w="3402" w:type="dxa"/>
            <w:gridSpan w:val="4"/>
            <w:tcBorders>
              <w:top w:val="nil"/>
              <w:left w:val="nil"/>
              <w:bottom w:val="nil"/>
              <w:right w:val="nil"/>
            </w:tcBorders>
            <w:noWrap/>
          </w:tcPr>
          <w:p w14:paraId="7908C09F"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879" w:type="dxa"/>
            <w:tcBorders>
              <w:top w:val="nil"/>
              <w:left w:val="nil"/>
              <w:bottom w:val="nil"/>
              <w:right w:val="nil"/>
            </w:tcBorders>
            <w:noWrap/>
            <w:vAlign w:val="center"/>
          </w:tcPr>
          <w:p w14:paraId="5FD28128"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879" w:type="dxa"/>
            <w:tcBorders>
              <w:top w:val="nil"/>
              <w:left w:val="nil"/>
              <w:bottom w:val="nil"/>
              <w:right w:val="nil"/>
            </w:tcBorders>
            <w:noWrap/>
            <w:vAlign w:val="center"/>
          </w:tcPr>
          <w:p w14:paraId="29B1BCDD" w14:textId="77777777" w:rsidR="00FD6F91" w:rsidRPr="00847FAE" w:rsidRDefault="00FD6F91" w:rsidP="00FD6F91">
            <w:pPr>
              <w:jc w:val="center"/>
              <w:rPr>
                <w:rFonts w:cs="Calibri"/>
                <w:color w:val="000000"/>
                <w:sz w:val="18"/>
                <w:szCs w:val="18"/>
              </w:rPr>
            </w:pPr>
            <w:r w:rsidRPr="00847FAE">
              <w:rPr>
                <w:rFonts w:cs="Calibri"/>
                <w:color w:val="000000"/>
                <w:sz w:val="18"/>
                <w:szCs w:val="18"/>
              </w:rPr>
              <w:t>2</w:t>
            </w:r>
          </w:p>
        </w:tc>
        <w:tc>
          <w:tcPr>
            <w:tcW w:w="879" w:type="dxa"/>
            <w:tcBorders>
              <w:top w:val="nil"/>
              <w:left w:val="nil"/>
              <w:bottom w:val="nil"/>
              <w:right w:val="nil"/>
            </w:tcBorders>
            <w:noWrap/>
            <w:vAlign w:val="center"/>
          </w:tcPr>
          <w:p w14:paraId="22A74241"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879" w:type="dxa"/>
            <w:tcBorders>
              <w:top w:val="nil"/>
              <w:left w:val="nil"/>
              <w:bottom w:val="nil"/>
              <w:right w:val="nil"/>
            </w:tcBorders>
            <w:noWrap/>
            <w:vAlign w:val="center"/>
          </w:tcPr>
          <w:p w14:paraId="05A57489" w14:textId="77777777" w:rsidR="00FD6F91" w:rsidRPr="00847FAE" w:rsidRDefault="00FD6F91" w:rsidP="00FD6F91">
            <w:pPr>
              <w:jc w:val="center"/>
              <w:rPr>
                <w:rFonts w:cs="Calibri"/>
                <w:color w:val="000000"/>
                <w:sz w:val="18"/>
                <w:szCs w:val="18"/>
              </w:rPr>
            </w:pPr>
            <w:r w:rsidRPr="00847FAE">
              <w:rPr>
                <w:rFonts w:cs="Calibri"/>
                <w:color w:val="000000"/>
                <w:sz w:val="18"/>
                <w:szCs w:val="18"/>
              </w:rPr>
              <w:t>2</w:t>
            </w:r>
          </w:p>
        </w:tc>
        <w:tc>
          <w:tcPr>
            <w:tcW w:w="879" w:type="dxa"/>
            <w:tcBorders>
              <w:top w:val="nil"/>
              <w:left w:val="nil"/>
              <w:bottom w:val="nil"/>
              <w:right w:val="nil"/>
            </w:tcBorders>
            <w:noWrap/>
            <w:vAlign w:val="center"/>
          </w:tcPr>
          <w:p w14:paraId="377452BC"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1134" w:type="dxa"/>
            <w:tcBorders>
              <w:top w:val="nil"/>
              <w:left w:val="nil"/>
              <w:bottom w:val="nil"/>
              <w:right w:val="nil"/>
            </w:tcBorders>
            <w:noWrap/>
            <w:vAlign w:val="center"/>
          </w:tcPr>
          <w:p w14:paraId="0496BB29" w14:textId="77777777" w:rsidR="00FD6F91" w:rsidRPr="00847FAE" w:rsidRDefault="00FD6F91" w:rsidP="00FD6F91">
            <w:pPr>
              <w:jc w:val="center"/>
              <w:rPr>
                <w:rFonts w:cs="Calibri"/>
                <w:color w:val="000000"/>
                <w:sz w:val="18"/>
                <w:szCs w:val="18"/>
              </w:rPr>
            </w:pPr>
            <w:r w:rsidRPr="00847FAE">
              <w:rPr>
                <w:rFonts w:cs="Calibri"/>
                <w:color w:val="000000"/>
                <w:sz w:val="18"/>
                <w:szCs w:val="18"/>
              </w:rPr>
              <w:t>50.0%</w:t>
            </w:r>
          </w:p>
        </w:tc>
      </w:tr>
      <w:tr w:rsidR="00FD6F91" w:rsidRPr="00847FAE" w14:paraId="15B018A7" w14:textId="77777777" w:rsidTr="001F1F60">
        <w:trPr>
          <w:cantSplit/>
          <w:trHeight w:val="255"/>
        </w:trPr>
        <w:tc>
          <w:tcPr>
            <w:tcW w:w="3402" w:type="dxa"/>
            <w:gridSpan w:val="4"/>
            <w:tcBorders>
              <w:top w:val="nil"/>
              <w:left w:val="nil"/>
              <w:bottom w:val="nil"/>
              <w:right w:val="nil"/>
            </w:tcBorders>
            <w:noWrap/>
          </w:tcPr>
          <w:p w14:paraId="2400FDF8"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Finalisations</w:t>
            </w:r>
          </w:p>
        </w:tc>
        <w:tc>
          <w:tcPr>
            <w:tcW w:w="879" w:type="dxa"/>
            <w:tcBorders>
              <w:top w:val="nil"/>
              <w:left w:val="nil"/>
              <w:bottom w:val="nil"/>
              <w:right w:val="nil"/>
            </w:tcBorders>
            <w:noWrap/>
            <w:vAlign w:val="center"/>
          </w:tcPr>
          <w:p w14:paraId="551BEB82" w14:textId="77777777" w:rsidR="00FD6F91" w:rsidRPr="00847FAE" w:rsidRDefault="00FD6F91" w:rsidP="00FD6F91">
            <w:pPr>
              <w:jc w:val="center"/>
              <w:rPr>
                <w:rFonts w:cs="Calibri"/>
                <w:color w:val="000000"/>
                <w:sz w:val="18"/>
                <w:szCs w:val="18"/>
              </w:rPr>
            </w:pPr>
            <w:r w:rsidRPr="00847FAE">
              <w:rPr>
                <w:rFonts w:cs="Calibri"/>
                <w:color w:val="000000"/>
                <w:sz w:val="18"/>
                <w:szCs w:val="18"/>
              </w:rPr>
              <w:t>2</w:t>
            </w:r>
          </w:p>
        </w:tc>
        <w:tc>
          <w:tcPr>
            <w:tcW w:w="879" w:type="dxa"/>
            <w:tcBorders>
              <w:top w:val="nil"/>
              <w:left w:val="nil"/>
              <w:bottom w:val="nil"/>
              <w:right w:val="nil"/>
            </w:tcBorders>
            <w:noWrap/>
            <w:vAlign w:val="center"/>
          </w:tcPr>
          <w:p w14:paraId="2B26C0F4"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879" w:type="dxa"/>
            <w:tcBorders>
              <w:top w:val="nil"/>
              <w:left w:val="nil"/>
              <w:bottom w:val="nil"/>
              <w:right w:val="nil"/>
            </w:tcBorders>
            <w:noWrap/>
            <w:vAlign w:val="center"/>
          </w:tcPr>
          <w:p w14:paraId="08C52B9B"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879" w:type="dxa"/>
            <w:tcBorders>
              <w:top w:val="nil"/>
              <w:left w:val="nil"/>
              <w:bottom w:val="nil"/>
              <w:right w:val="nil"/>
            </w:tcBorders>
            <w:noWrap/>
            <w:vAlign w:val="center"/>
          </w:tcPr>
          <w:p w14:paraId="0F26A06B" w14:textId="77777777" w:rsidR="00FD6F91" w:rsidRPr="00847FAE" w:rsidRDefault="00FD6F91" w:rsidP="00FD6F91">
            <w:pPr>
              <w:jc w:val="center"/>
              <w:rPr>
                <w:rFonts w:cs="Calibri"/>
                <w:color w:val="000000"/>
                <w:sz w:val="18"/>
                <w:szCs w:val="18"/>
              </w:rPr>
            </w:pPr>
            <w:r w:rsidRPr="00847FAE">
              <w:rPr>
                <w:rFonts w:cs="Calibri"/>
                <w:color w:val="000000"/>
                <w:sz w:val="18"/>
                <w:szCs w:val="18"/>
              </w:rPr>
              <w:t>1</w:t>
            </w:r>
          </w:p>
        </w:tc>
        <w:tc>
          <w:tcPr>
            <w:tcW w:w="879" w:type="dxa"/>
            <w:tcBorders>
              <w:top w:val="nil"/>
              <w:left w:val="nil"/>
              <w:bottom w:val="nil"/>
              <w:right w:val="nil"/>
            </w:tcBorders>
            <w:noWrap/>
            <w:vAlign w:val="center"/>
          </w:tcPr>
          <w:p w14:paraId="57E4EACF" w14:textId="77777777" w:rsidR="00FD6F91" w:rsidRPr="00847FAE" w:rsidRDefault="00FD6F91" w:rsidP="00FD6F91">
            <w:pPr>
              <w:jc w:val="center"/>
              <w:rPr>
                <w:rFonts w:cs="Calibri"/>
                <w:color w:val="000000"/>
                <w:sz w:val="18"/>
                <w:szCs w:val="18"/>
              </w:rPr>
            </w:pPr>
            <w:r w:rsidRPr="00847FAE">
              <w:rPr>
                <w:rFonts w:cs="Calibri"/>
                <w:color w:val="000000"/>
                <w:sz w:val="18"/>
                <w:szCs w:val="18"/>
              </w:rPr>
              <w:t>4</w:t>
            </w:r>
          </w:p>
        </w:tc>
        <w:tc>
          <w:tcPr>
            <w:tcW w:w="1134" w:type="dxa"/>
            <w:tcBorders>
              <w:top w:val="nil"/>
              <w:left w:val="nil"/>
              <w:bottom w:val="nil"/>
              <w:right w:val="nil"/>
            </w:tcBorders>
            <w:noWrap/>
            <w:vAlign w:val="center"/>
          </w:tcPr>
          <w:p w14:paraId="0410DB0C" w14:textId="77777777" w:rsidR="00FD6F91" w:rsidRPr="00847FAE" w:rsidRDefault="00FD6F91" w:rsidP="00FD6F91">
            <w:pPr>
              <w:jc w:val="center"/>
              <w:rPr>
                <w:rFonts w:cs="Calibri"/>
                <w:color w:val="000000"/>
                <w:sz w:val="18"/>
                <w:szCs w:val="18"/>
              </w:rPr>
            </w:pPr>
            <w:r w:rsidRPr="00847FAE">
              <w:rPr>
                <w:rFonts w:cs="Calibri"/>
                <w:color w:val="000000"/>
                <w:sz w:val="18"/>
                <w:szCs w:val="18"/>
              </w:rPr>
              <w:t>300.0%</w:t>
            </w:r>
          </w:p>
        </w:tc>
      </w:tr>
      <w:tr w:rsidR="00FD6F91" w:rsidRPr="00847FAE" w14:paraId="28384087"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1FAE887A" w14:textId="7411F024" w:rsidR="00FD6F91" w:rsidRPr="00FA2D13" w:rsidRDefault="00FD6F91" w:rsidP="00FD6F91">
            <w:pPr>
              <w:widowControl w:val="0"/>
              <w:rPr>
                <w:rFonts w:cs="Calibri"/>
                <w:iCs/>
                <w:color w:val="000000"/>
                <w:sz w:val="18"/>
                <w:szCs w:val="18"/>
                <w:vertAlign w:val="superscript"/>
              </w:rPr>
            </w:pPr>
            <w:r w:rsidRPr="00847FAE">
              <w:rPr>
                <w:rFonts w:cs="Calibri"/>
                <w:iCs/>
                <w:color w:val="000000"/>
                <w:sz w:val="18"/>
                <w:szCs w:val="18"/>
              </w:rPr>
              <w:t>Breach of an RO or Interim RO</w:t>
            </w:r>
            <w:r w:rsidR="00FA2D13">
              <w:rPr>
                <w:rFonts w:cs="Calibri"/>
                <w:iCs/>
                <w:color w:val="000000"/>
                <w:sz w:val="18"/>
                <w:szCs w:val="18"/>
                <w:vertAlign w:val="superscript"/>
              </w:rPr>
              <w:t>3</w:t>
            </w:r>
          </w:p>
        </w:tc>
        <w:tc>
          <w:tcPr>
            <w:tcW w:w="879" w:type="dxa"/>
            <w:tcBorders>
              <w:top w:val="nil"/>
              <w:left w:val="nil"/>
              <w:bottom w:val="nil"/>
              <w:right w:val="nil"/>
            </w:tcBorders>
            <w:shd w:val="clear" w:color="auto" w:fill="D9D9D9" w:themeFill="background1" w:themeFillShade="D9"/>
            <w:noWrap/>
            <w:vAlign w:val="center"/>
          </w:tcPr>
          <w:p w14:paraId="05B66094"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40A3C058"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516BABF"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340715DE" w14:textId="77777777" w:rsidR="00FD6F91" w:rsidRPr="00847FAE" w:rsidRDefault="00FD6F91" w:rsidP="00FD6F91">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0EDEAF62" w14:textId="77777777" w:rsidR="00FD6F91" w:rsidRPr="00847FAE" w:rsidRDefault="00FD6F91" w:rsidP="00FD6F91">
            <w:pPr>
              <w:jc w:val="right"/>
              <w:rPr>
                <w:rFonts w:cs="Calibri"/>
                <w:iCs/>
                <w:color w:val="000000"/>
                <w:sz w:val="18"/>
                <w:szCs w:val="18"/>
              </w:rPr>
            </w:pPr>
          </w:p>
        </w:tc>
        <w:tc>
          <w:tcPr>
            <w:tcW w:w="1134" w:type="dxa"/>
            <w:tcBorders>
              <w:top w:val="nil"/>
              <w:left w:val="nil"/>
              <w:bottom w:val="nil"/>
              <w:right w:val="nil"/>
            </w:tcBorders>
            <w:shd w:val="clear" w:color="auto" w:fill="D9D9D9" w:themeFill="background1" w:themeFillShade="D9"/>
            <w:noWrap/>
            <w:vAlign w:val="center"/>
          </w:tcPr>
          <w:p w14:paraId="0FFAEBE4" w14:textId="77777777" w:rsidR="00FD6F91" w:rsidRPr="00847FAE" w:rsidRDefault="00FD6F91" w:rsidP="00FD6F91">
            <w:pPr>
              <w:jc w:val="center"/>
              <w:rPr>
                <w:rFonts w:cs="Calibri"/>
                <w:iCs/>
                <w:color w:val="000000"/>
                <w:sz w:val="18"/>
                <w:szCs w:val="18"/>
              </w:rPr>
            </w:pPr>
          </w:p>
        </w:tc>
      </w:tr>
      <w:tr w:rsidR="00FD6F91" w:rsidRPr="00847FAE" w14:paraId="06DBBBDD" w14:textId="77777777" w:rsidTr="001F1F60">
        <w:trPr>
          <w:cantSplit/>
          <w:trHeight w:val="255"/>
        </w:trPr>
        <w:tc>
          <w:tcPr>
            <w:tcW w:w="3402" w:type="dxa"/>
            <w:gridSpan w:val="4"/>
            <w:tcBorders>
              <w:top w:val="nil"/>
              <w:left w:val="nil"/>
              <w:bottom w:val="nil"/>
              <w:right w:val="nil"/>
            </w:tcBorders>
            <w:noWrap/>
          </w:tcPr>
          <w:p w14:paraId="11104573"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879" w:type="dxa"/>
            <w:tcBorders>
              <w:top w:val="nil"/>
              <w:left w:val="nil"/>
              <w:bottom w:val="nil"/>
              <w:right w:val="nil"/>
            </w:tcBorders>
            <w:noWrap/>
            <w:vAlign w:val="center"/>
          </w:tcPr>
          <w:p w14:paraId="38450E6A" w14:textId="77777777" w:rsidR="00FD6F91" w:rsidRPr="00847FAE" w:rsidRDefault="00FD6F91" w:rsidP="00FD6F91">
            <w:pPr>
              <w:jc w:val="center"/>
              <w:rPr>
                <w:rFonts w:cs="Calibri"/>
                <w:color w:val="000000"/>
                <w:sz w:val="18"/>
                <w:szCs w:val="18"/>
              </w:rPr>
            </w:pPr>
            <w:r w:rsidRPr="00847FAE">
              <w:rPr>
                <w:rFonts w:cs="Calibri"/>
                <w:color w:val="000000"/>
                <w:sz w:val="18"/>
                <w:szCs w:val="18"/>
              </w:rPr>
              <w:t>99</w:t>
            </w:r>
          </w:p>
        </w:tc>
        <w:tc>
          <w:tcPr>
            <w:tcW w:w="879" w:type="dxa"/>
            <w:tcBorders>
              <w:top w:val="nil"/>
              <w:left w:val="nil"/>
              <w:bottom w:val="nil"/>
              <w:right w:val="nil"/>
            </w:tcBorders>
            <w:noWrap/>
            <w:vAlign w:val="center"/>
          </w:tcPr>
          <w:p w14:paraId="4C46D6D8" w14:textId="77777777" w:rsidR="00FD6F91" w:rsidRPr="00847FAE" w:rsidRDefault="00FD6F91" w:rsidP="00FD6F91">
            <w:pPr>
              <w:jc w:val="center"/>
              <w:rPr>
                <w:rFonts w:cs="Calibri"/>
                <w:color w:val="000000"/>
                <w:sz w:val="18"/>
                <w:szCs w:val="18"/>
              </w:rPr>
            </w:pPr>
            <w:r w:rsidRPr="00847FAE">
              <w:rPr>
                <w:rFonts w:cs="Calibri"/>
                <w:color w:val="000000"/>
                <w:sz w:val="18"/>
                <w:szCs w:val="18"/>
              </w:rPr>
              <w:t>88</w:t>
            </w:r>
          </w:p>
        </w:tc>
        <w:tc>
          <w:tcPr>
            <w:tcW w:w="879" w:type="dxa"/>
            <w:tcBorders>
              <w:top w:val="nil"/>
              <w:left w:val="nil"/>
              <w:bottom w:val="nil"/>
              <w:right w:val="nil"/>
            </w:tcBorders>
            <w:noWrap/>
            <w:vAlign w:val="center"/>
          </w:tcPr>
          <w:p w14:paraId="54ACEA3E" w14:textId="77777777" w:rsidR="00FD6F91" w:rsidRPr="00847FAE" w:rsidRDefault="00FD6F91" w:rsidP="00FD6F91">
            <w:pPr>
              <w:jc w:val="center"/>
              <w:rPr>
                <w:rFonts w:cs="Calibri"/>
                <w:color w:val="000000"/>
                <w:sz w:val="18"/>
                <w:szCs w:val="18"/>
              </w:rPr>
            </w:pPr>
            <w:r w:rsidRPr="00847FAE">
              <w:rPr>
                <w:rFonts w:cs="Calibri"/>
                <w:color w:val="000000"/>
                <w:sz w:val="18"/>
                <w:szCs w:val="18"/>
              </w:rPr>
              <w:t>101</w:t>
            </w:r>
          </w:p>
        </w:tc>
        <w:tc>
          <w:tcPr>
            <w:tcW w:w="879" w:type="dxa"/>
            <w:tcBorders>
              <w:top w:val="nil"/>
              <w:left w:val="nil"/>
              <w:bottom w:val="nil"/>
              <w:right w:val="nil"/>
            </w:tcBorders>
            <w:noWrap/>
            <w:vAlign w:val="center"/>
          </w:tcPr>
          <w:p w14:paraId="08A33B32" w14:textId="77777777" w:rsidR="00FD6F91" w:rsidRPr="00847FAE" w:rsidRDefault="00FD6F91" w:rsidP="00FD6F91">
            <w:pPr>
              <w:jc w:val="center"/>
              <w:rPr>
                <w:rFonts w:cs="Calibri"/>
                <w:color w:val="000000"/>
                <w:sz w:val="18"/>
                <w:szCs w:val="18"/>
              </w:rPr>
            </w:pPr>
            <w:r w:rsidRPr="00847FAE">
              <w:rPr>
                <w:rFonts w:cs="Calibri"/>
                <w:color w:val="000000"/>
                <w:sz w:val="18"/>
                <w:szCs w:val="18"/>
              </w:rPr>
              <w:t>119</w:t>
            </w:r>
          </w:p>
        </w:tc>
        <w:tc>
          <w:tcPr>
            <w:tcW w:w="879" w:type="dxa"/>
            <w:tcBorders>
              <w:top w:val="nil"/>
              <w:left w:val="nil"/>
              <w:bottom w:val="nil"/>
              <w:right w:val="nil"/>
            </w:tcBorders>
            <w:noWrap/>
            <w:vAlign w:val="center"/>
          </w:tcPr>
          <w:p w14:paraId="7922AB80" w14:textId="77777777" w:rsidR="00FD6F91" w:rsidRPr="00847FAE" w:rsidRDefault="00FD6F91" w:rsidP="00FD6F91">
            <w:pPr>
              <w:jc w:val="center"/>
              <w:rPr>
                <w:rFonts w:cs="Calibri"/>
                <w:color w:val="000000"/>
                <w:sz w:val="18"/>
                <w:szCs w:val="18"/>
              </w:rPr>
            </w:pPr>
            <w:r w:rsidRPr="00847FAE">
              <w:rPr>
                <w:rFonts w:cs="Calibri"/>
                <w:color w:val="000000"/>
                <w:sz w:val="18"/>
                <w:szCs w:val="18"/>
              </w:rPr>
              <w:t>100</w:t>
            </w:r>
          </w:p>
        </w:tc>
        <w:tc>
          <w:tcPr>
            <w:tcW w:w="1134" w:type="dxa"/>
            <w:tcBorders>
              <w:top w:val="nil"/>
              <w:left w:val="nil"/>
              <w:bottom w:val="nil"/>
              <w:right w:val="nil"/>
            </w:tcBorders>
            <w:noWrap/>
            <w:vAlign w:val="center"/>
          </w:tcPr>
          <w:p w14:paraId="421A527F" w14:textId="77777777" w:rsidR="00FD6F91" w:rsidRPr="00847FAE" w:rsidRDefault="00FD6F91" w:rsidP="00FD6F91">
            <w:pPr>
              <w:jc w:val="center"/>
              <w:rPr>
                <w:rFonts w:cs="Calibri"/>
                <w:color w:val="000000"/>
                <w:sz w:val="18"/>
                <w:szCs w:val="18"/>
              </w:rPr>
            </w:pPr>
            <w:r w:rsidRPr="00847FAE">
              <w:rPr>
                <w:rFonts w:cs="Calibri"/>
                <w:color w:val="000000"/>
                <w:sz w:val="18"/>
                <w:szCs w:val="18"/>
              </w:rPr>
              <w:t>-16.0%</w:t>
            </w:r>
          </w:p>
        </w:tc>
      </w:tr>
      <w:tr w:rsidR="00FD6F91" w:rsidRPr="00847FAE" w14:paraId="542529CA" w14:textId="77777777" w:rsidTr="001F1F60">
        <w:trPr>
          <w:cantSplit/>
          <w:trHeight w:val="255"/>
        </w:trPr>
        <w:tc>
          <w:tcPr>
            <w:tcW w:w="3402" w:type="dxa"/>
            <w:gridSpan w:val="4"/>
            <w:tcBorders>
              <w:top w:val="nil"/>
              <w:left w:val="nil"/>
              <w:bottom w:val="single" w:sz="4" w:space="0" w:color="auto"/>
              <w:right w:val="nil"/>
            </w:tcBorders>
            <w:noWrap/>
          </w:tcPr>
          <w:p w14:paraId="36C2CC13"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Finalisations</w:t>
            </w:r>
          </w:p>
        </w:tc>
        <w:tc>
          <w:tcPr>
            <w:tcW w:w="879" w:type="dxa"/>
            <w:tcBorders>
              <w:top w:val="nil"/>
              <w:left w:val="nil"/>
              <w:bottom w:val="single" w:sz="4" w:space="0" w:color="auto"/>
              <w:right w:val="nil"/>
            </w:tcBorders>
            <w:noWrap/>
            <w:vAlign w:val="center"/>
          </w:tcPr>
          <w:p w14:paraId="6A1BD6FB" w14:textId="77777777" w:rsidR="00FD6F91" w:rsidRPr="00847FAE" w:rsidRDefault="00FD6F91" w:rsidP="00FD6F91">
            <w:pPr>
              <w:jc w:val="center"/>
              <w:rPr>
                <w:rFonts w:cs="Calibri"/>
                <w:color w:val="000000"/>
                <w:sz w:val="18"/>
                <w:szCs w:val="18"/>
              </w:rPr>
            </w:pPr>
            <w:r w:rsidRPr="00847FAE">
              <w:rPr>
                <w:rFonts w:cs="Calibri"/>
                <w:color w:val="000000"/>
                <w:sz w:val="18"/>
                <w:szCs w:val="18"/>
              </w:rPr>
              <w:t>87</w:t>
            </w:r>
          </w:p>
        </w:tc>
        <w:tc>
          <w:tcPr>
            <w:tcW w:w="879" w:type="dxa"/>
            <w:tcBorders>
              <w:top w:val="nil"/>
              <w:left w:val="nil"/>
              <w:bottom w:val="single" w:sz="4" w:space="0" w:color="auto"/>
              <w:right w:val="nil"/>
            </w:tcBorders>
            <w:noWrap/>
            <w:vAlign w:val="center"/>
          </w:tcPr>
          <w:p w14:paraId="49135278" w14:textId="77777777" w:rsidR="00FD6F91" w:rsidRPr="00847FAE" w:rsidRDefault="00FD6F91" w:rsidP="00FD6F91">
            <w:pPr>
              <w:jc w:val="center"/>
              <w:rPr>
                <w:rFonts w:cs="Calibri"/>
                <w:color w:val="000000"/>
                <w:sz w:val="18"/>
                <w:szCs w:val="18"/>
              </w:rPr>
            </w:pPr>
            <w:r w:rsidRPr="00847FAE">
              <w:rPr>
                <w:rFonts w:cs="Calibri"/>
                <w:color w:val="000000"/>
                <w:sz w:val="18"/>
                <w:szCs w:val="18"/>
              </w:rPr>
              <w:t>90</w:t>
            </w:r>
          </w:p>
        </w:tc>
        <w:tc>
          <w:tcPr>
            <w:tcW w:w="879" w:type="dxa"/>
            <w:tcBorders>
              <w:top w:val="nil"/>
              <w:left w:val="nil"/>
              <w:bottom w:val="single" w:sz="4" w:space="0" w:color="auto"/>
              <w:right w:val="nil"/>
            </w:tcBorders>
            <w:noWrap/>
            <w:vAlign w:val="center"/>
          </w:tcPr>
          <w:p w14:paraId="054FA608" w14:textId="77777777" w:rsidR="00FD6F91" w:rsidRPr="00847FAE" w:rsidRDefault="00FD6F91" w:rsidP="00FD6F91">
            <w:pPr>
              <w:jc w:val="center"/>
              <w:rPr>
                <w:rFonts w:cs="Calibri"/>
                <w:color w:val="000000"/>
                <w:sz w:val="18"/>
                <w:szCs w:val="18"/>
              </w:rPr>
            </w:pPr>
            <w:r w:rsidRPr="00847FAE">
              <w:rPr>
                <w:rFonts w:cs="Calibri"/>
                <w:color w:val="000000"/>
                <w:sz w:val="18"/>
                <w:szCs w:val="18"/>
              </w:rPr>
              <w:t>96</w:t>
            </w:r>
          </w:p>
        </w:tc>
        <w:tc>
          <w:tcPr>
            <w:tcW w:w="879" w:type="dxa"/>
            <w:tcBorders>
              <w:top w:val="nil"/>
              <w:left w:val="nil"/>
              <w:bottom w:val="single" w:sz="4" w:space="0" w:color="auto"/>
              <w:right w:val="nil"/>
            </w:tcBorders>
            <w:noWrap/>
            <w:vAlign w:val="center"/>
          </w:tcPr>
          <w:p w14:paraId="5BA12B9D" w14:textId="77777777" w:rsidR="00FD6F91" w:rsidRPr="00847FAE" w:rsidRDefault="00FD6F91" w:rsidP="00FD6F91">
            <w:pPr>
              <w:jc w:val="center"/>
              <w:rPr>
                <w:rFonts w:cs="Calibri"/>
                <w:color w:val="000000"/>
                <w:sz w:val="18"/>
                <w:szCs w:val="18"/>
              </w:rPr>
            </w:pPr>
            <w:r w:rsidRPr="00847FAE">
              <w:rPr>
                <w:rFonts w:cs="Calibri"/>
                <w:color w:val="000000"/>
                <w:sz w:val="18"/>
                <w:szCs w:val="18"/>
              </w:rPr>
              <w:t>94</w:t>
            </w:r>
          </w:p>
        </w:tc>
        <w:tc>
          <w:tcPr>
            <w:tcW w:w="879" w:type="dxa"/>
            <w:tcBorders>
              <w:top w:val="nil"/>
              <w:left w:val="nil"/>
              <w:bottom w:val="single" w:sz="4" w:space="0" w:color="auto"/>
              <w:right w:val="nil"/>
            </w:tcBorders>
            <w:noWrap/>
            <w:vAlign w:val="center"/>
          </w:tcPr>
          <w:p w14:paraId="51131467" w14:textId="77777777" w:rsidR="00FD6F91" w:rsidRPr="00847FAE" w:rsidRDefault="00FD6F91" w:rsidP="00FD6F91">
            <w:pPr>
              <w:jc w:val="center"/>
              <w:rPr>
                <w:rFonts w:cs="Calibri"/>
                <w:color w:val="000000"/>
                <w:sz w:val="18"/>
                <w:szCs w:val="18"/>
              </w:rPr>
            </w:pPr>
            <w:r w:rsidRPr="00847FAE">
              <w:rPr>
                <w:rFonts w:cs="Calibri"/>
                <w:color w:val="000000"/>
                <w:sz w:val="18"/>
                <w:szCs w:val="18"/>
              </w:rPr>
              <w:t>104</w:t>
            </w:r>
          </w:p>
        </w:tc>
        <w:tc>
          <w:tcPr>
            <w:tcW w:w="1134" w:type="dxa"/>
            <w:tcBorders>
              <w:top w:val="nil"/>
              <w:left w:val="nil"/>
              <w:bottom w:val="single" w:sz="4" w:space="0" w:color="auto"/>
              <w:right w:val="nil"/>
            </w:tcBorders>
            <w:noWrap/>
            <w:vAlign w:val="center"/>
          </w:tcPr>
          <w:p w14:paraId="6402A29C" w14:textId="77777777" w:rsidR="00FD6F91" w:rsidRPr="00847FAE" w:rsidRDefault="00FD6F91" w:rsidP="00FD6F91">
            <w:pPr>
              <w:jc w:val="center"/>
              <w:rPr>
                <w:rFonts w:cs="Calibri"/>
                <w:color w:val="000000"/>
                <w:sz w:val="18"/>
                <w:szCs w:val="18"/>
              </w:rPr>
            </w:pPr>
            <w:r w:rsidRPr="00847FAE">
              <w:rPr>
                <w:rFonts w:cs="Calibri"/>
                <w:color w:val="000000"/>
                <w:sz w:val="18"/>
                <w:szCs w:val="18"/>
              </w:rPr>
              <w:t>10.6%</w:t>
            </w:r>
          </w:p>
        </w:tc>
      </w:tr>
      <w:tr w:rsidR="00FD6F91" w:rsidRPr="00847FAE" w14:paraId="278EF3BF" w14:textId="77777777" w:rsidTr="001F1F60">
        <w:trPr>
          <w:cantSplit/>
          <w:trHeight w:val="20"/>
        </w:trPr>
        <w:tc>
          <w:tcPr>
            <w:tcW w:w="8931" w:type="dxa"/>
            <w:gridSpan w:val="10"/>
            <w:tcBorders>
              <w:top w:val="single" w:sz="4" w:space="0" w:color="auto"/>
              <w:left w:val="nil"/>
              <w:bottom w:val="nil"/>
              <w:right w:val="nil"/>
            </w:tcBorders>
            <w:noWrap/>
            <w:vAlign w:val="center"/>
          </w:tcPr>
          <w:p w14:paraId="22D3CECF" w14:textId="364CE595" w:rsidR="00FA2D13" w:rsidRPr="00FA2D13" w:rsidRDefault="00FA2D13" w:rsidP="00FA2D13">
            <w:pPr>
              <w:rPr>
                <w:rFonts w:cs="Calibri"/>
                <w:iCs/>
                <w:color w:val="000000"/>
                <w:sz w:val="18"/>
                <w:szCs w:val="18"/>
                <w:vertAlign w:val="superscript"/>
              </w:rPr>
            </w:pPr>
            <w:r w:rsidRPr="00FA2D13">
              <w:rPr>
                <w:rFonts w:cs="Calibri"/>
                <w:iCs/>
                <w:color w:val="000000"/>
                <w:sz w:val="18"/>
                <w:szCs w:val="18"/>
                <w:vertAlign w:val="superscript"/>
              </w:rPr>
              <w:t xml:space="preserve">1 </w:t>
            </w:r>
            <w:r>
              <w:rPr>
                <w:rFonts w:eastAsia="Times New Roman" w:cs="Calibri"/>
                <w:color w:val="000000"/>
                <w:sz w:val="15"/>
                <w:szCs w:val="15"/>
                <w:lang w:eastAsia="en-AU"/>
              </w:rPr>
              <w:t>R</w:t>
            </w:r>
            <w:r w:rsidRPr="00FA2D13">
              <w:rPr>
                <w:rFonts w:eastAsia="Times New Roman" w:cs="Calibri"/>
                <w:color w:val="000000"/>
                <w:sz w:val="15"/>
                <w:szCs w:val="15"/>
                <w:lang w:eastAsia="en-AU"/>
              </w:rPr>
              <w:t xml:space="preserve">eported in the 2016-17 annual report under the separate application type categories of ‘Application to extend Restraint Order’ (Justices Act 1959, Section 106G), and ‘Application to vary Restraint Order’ (Justices Act 1959, Section 106G). </w:t>
            </w:r>
          </w:p>
          <w:p w14:paraId="32B1981E" w14:textId="77777777" w:rsidR="00FA2D13" w:rsidRPr="00FA2D13" w:rsidRDefault="00FA2D13" w:rsidP="00FA2D13">
            <w:pPr>
              <w:rPr>
                <w:rFonts w:cs="Calibri"/>
                <w:iCs/>
                <w:color w:val="000000"/>
                <w:sz w:val="18"/>
                <w:szCs w:val="18"/>
                <w:vertAlign w:val="superscript"/>
              </w:rPr>
            </w:pPr>
            <w:r w:rsidRPr="00FA2D13">
              <w:rPr>
                <w:rFonts w:cs="Calibri"/>
                <w:iCs/>
                <w:color w:val="000000"/>
                <w:sz w:val="18"/>
                <w:szCs w:val="18"/>
                <w:vertAlign w:val="superscript"/>
              </w:rPr>
              <w:t xml:space="preserve">2 </w:t>
            </w:r>
            <w:r w:rsidRPr="00FA2D13">
              <w:rPr>
                <w:rFonts w:eastAsia="Times New Roman" w:cs="Calibri"/>
                <w:color w:val="000000"/>
                <w:sz w:val="15"/>
                <w:szCs w:val="15"/>
                <w:lang w:eastAsia="en-AU"/>
              </w:rPr>
              <w:t>This is a new application category in 2017-18 that reports applications for registration of interstate restraint orders (Justices Act 1959, Section 106GB(1)(a)), and other applications not further classified.</w:t>
            </w:r>
          </w:p>
          <w:p w14:paraId="62258439" w14:textId="6891E554" w:rsidR="00FA2D13" w:rsidRDefault="00FA2D13" w:rsidP="00FA2D13">
            <w:pPr>
              <w:rPr>
                <w:rFonts w:cs="Calibri"/>
                <w:iCs/>
                <w:color w:val="000000"/>
                <w:sz w:val="15"/>
                <w:szCs w:val="15"/>
              </w:rPr>
            </w:pPr>
            <w:r w:rsidRPr="00FA2D13">
              <w:rPr>
                <w:rFonts w:cs="Calibri"/>
                <w:iCs/>
                <w:color w:val="000000"/>
                <w:sz w:val="18"/>
                <w:szCs w:val="18"/>
                <w:vertAlign w:val="superscript"/>
              </w:rPr>
              <w:t xml:space="preserve">3 </w:t>
            </w:r>
            <w:r>
              <w:rPr>
                <w:rFonts w:cs="Calibri"/>
                <w:iCs/>
                <w:color w:val="000000"/>
                <w:sz w:val="18"/>
                <w:szCs w:val="18"/>
                <w:vertAlign w:val="superscript"/>
              </w:rPr>
              <w:t>‘</w:t>
            </w:r>
            <w:r w:rsidRPr="00FA2D13">
              <w:rPr>
                <w:rFonts w:cs="Calibri"/>
                <w:iCs/>
                <w:color w:val="000000"/>
                <w:sz w:val="15"/>
                <w:szCs w:val="15"/>
              </w:rPr>
              <w:t xml:space="preserve">Breaches’ refer to charges under the Justices Act 1959, Section 106I (1). </w:t>
            </w:r>
          </w:p>
          <w:p w14:paraId="79F0D7AD" w14:textId="77777777" w:rsidR="00FD6F91" w:rsidRPr="00847FAE" w:rsidRDefault="00FD6F91" w:rsidP="00FD6F91">
            <w:pPr>
              <w:rPr>
                <w:rFonts w:cs="Calibri"/>
                <w:iCs/>
                <w:color w:val="000000"/>
                <w:sz w:val="18"/>
                <w:szCs w:val="18"/>
              </w:rPr>
            </w:pPr>
            <w:r w:rsidRPr="00847FAE">
              <w:rPr>
                <w:rFonts w:cs="Calibri"/>
                <w:i/>
                <w:color w:val="000000"/>
                <w:sz w:val="15"/>
                <w:szCs w:val="15"/>
              </w:rPr>
              <w:t>Source: CRIMESStats database</w:t>
            </w:r>
          </w:p>
        </w:tc>
      </w:tr>
    </w:tbl>
    <w:p w14:paraId="3229AF71" w14:textId="77777777" w:rsidR="00FD6F91" w:rsidRPr="00847FAE" w:rsidRDefault="00FD6F91" w:rsidP="00FD6F91">
      <w:pPr>
        <w:rPr>
          <w:rFonts w:eastAsiaTheme="minorHAnsi"/>
          <w:lang w:eastAsia="en-US"/>
        </w:rPr>
      </w:pPr>
    </w:p>
    <w:p w14:paraId="043C5FB7" w14:textId="77777777" w:rsidR="00FD6F91" w:rsidRPr="00847FAE" w:rsidRDefault="00FD6F91" w:rsidP="00FD6F91">
      <w:pPr>
        <w:spacing w:line="259" w:lineRule="auto"/>
        <w:rPr>
          <w:rFonts w:eastAsiaTheme="majorEastAsia" w:cstheme="majorBidi"/>
          <w:lang w:eastAsia="en-US"/>
        </w:rPr>
      </w:pPr>
      <w:r w:rsidRPr="00847FAE">
        <w:rPr>
          <w:rFonts w:eastAsiaTheme="minorHAnsi"/>
          <w:lang w:eastAsia="en-US"/>
        </w:rPr>
        <w:br w:type="page"/>
      </w:r>
    </w:p>
    <w:p w14:paraId="1B30A4E8" w14:textId="0F4B8583" w:rsidR="00FD6F91" w:rsidRPr="00847FAE" w:rsidRDefault="00FD6F91" w:rsidP="00FD6F91">
      <w:pPr>
        <w:keepNext/>
        <w:keepLines/>
        <w:spacing w:before="40"/>
        <w:outlineLvl w:val="2"/>
        <w:rPr>
          <w:rFonts w:eastAsiaTheme="majorEastAsia" w:cstheme="majorBidi"/>
          <w:lang w:eastAsia="en-US"/>
        </w:rPr>
      </w:pPr>
      <w:bookmarkStart w:id="380" w:name="_Toc1041187"/>
      <w:r w:rsidRPr="00847FAE">
        <w:rPr>
          <w:rFonts w:eastAsiaTheme="majorEastAsia" w:cstheme="majorBidi"/>
          <w:lang w:eastAsia="en-US"/>
        </w:rPr>
        <w:lastRenderedPageBreak/>
        <w:t>Table 9: Criminal Matters, by Court Level and Selected Offence Types, 2013-14 to 2017-18</w:t>
      </w:r>
      <w:bookmarkEnd w:id="380"/>
    </w:p>
    <w:tbl>
      <w:tblPr>
        <w:tblStyle w:val="TableGrid1"/>
        <w:tblW w:w="9214" w:type="dxa"/>
        <w:tblLayout w:type="fixed"/>
        <w:tblCellMar>
          <w:top w:w="11" w:type="dxa"/>
          <w:bottom w:w="11" w:type="dxa"/>
        </w:tblCellMar>
        <w:tblLook w:val="04A0" w:firstRow="1" w:lastRow="0" w:firstColumn="1" w:lastColumn="0" w:noHBand="0" w:noVBand="1"/>
        <w:tblCaption w:val="Table9CriminalMattersbyCourtandSelectedOffenceTypes"/>
        <w:tblDescription w:val="Tabledescribingcriminalmattersbycourtlevelandselectedoffencetypesfrom2013_14to2017_18"/>
      </w:tblPr>
      <w:tblGrid>
        <w:gridCol w:w="326"/>
        <w:gridCol w:w="977"/>
        <w:gridCol w:w="824"/>
        <w:gridCol w:w="992"/>
        <w:gridCol w:w="992"/>
        <w:gridCol w:w="992"/>
        <w:gridCol w:w="992"/>
        <w:gridCol w:w="992"/>
        <w:gridCol w:w="992"/>
        <w:gridCol w:w="1135"/>
      </w:tblGrid>
      <w:tr w:rsidR="00FD6F91" w:rsidRPr="00847FAE" w14:paraId="555AC22A"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34331F50"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28452165"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7F1EF7A7"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hideMark/>
          </w:tcPr>
          <w:p w14:paraId="620FCB4F"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bottom"/>
            <w:hideMark/>
          </w:tcPr>
          <w:p w14:paraId="12F78977" w14:textId="77777777" w:rsidR="00FD6F91" w:rsidRPr="00847FAE" w:rsidRDefault="00FD6F91" w:rsidP="00FD6F91">
            <w:pPr>
              <w:widowControl w:val="0"/>
              <w:jc w:val="center"/>
              <w:rPr>
                <w:rFonts w:cs="Calibri"/>
                <w:bCs/>
                <w:color w:val="000000"/>
                <w:sz w:val="18"/>
                <w:szCs w:val="18"/>
                <w:vertAlign w:val="superscript"/>
              </w:rPr>
            </w:pPr>
            <w:r w:rsidRPr="00847FAE">
              <w:rPr>
                <w:rFonts w:cs="Calibri"/>
                <w:bCs/>
                <w:color w:val="000000"/>
                <w:sz w:val="18"/>
                <w:szCs w:val="18"/>
              </w:rPr>
              <w:t>2013-14</w:t>
            </w:r>
          </w:p>
        </w:tc>
        <w:tc>
          <w:tcPr>
            <w:tcW w:w="992" w:type="dxa"/>
            <w:tcBorders>
              <w:top w:val="single" w:sz="4" w:space="0" w:color="auto"/>
              <w:left w:val="nil"/>
              <w:bottom w:val="single" w:sz="4" w:space="0" w:color="auto"/>
              <w:right w:val="nil"/>
            </w:tcBorders>
            <w:noWrap/>
            <w:vAlign w:val="bottom"/>
            <w:hideMark/>
          </w:tcPr>
          <w:p w14:paraId="3D61660F"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2014-15</w:t>
            </w:r>
          </w:p>
        </w:tc>
        <w:tc>
          <w:tcPr>
            <w:tcW w:w="992" w:type="dxa"/>
            <w:tcBorders>
              <w:top w:val="single" w:sz="4" w:space="0" w:color="auto"/>
              <w:left w:val="nil"/>
              <w:bottom w:val="single" w:sz="4" w:space="0" w:color="auto"/>
              <w:right w:val="nil"/>
            </w:tcBorders>
            <w:noWrap/>
            <w:vAlign w:val="bottom"/>
            <w:hideMark/>
          </w:tcPr>
          <w:p w14:paraId="5C952065"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2015-16</w:t>
            </w:r>
          </w:p>
        </w:tc>
        <w:tc>
          <w:tcPr>
            <w:tcW w:w="992" w:type="dxa"/>
            <w:tcBorders>
              <w:top w:val="single" w:sz="4" w:space="0" w:color="auto"/>
              <w:left w:val="nil"/>
              <w:bottom w:val="single" w:sz="4" w:space="0" w:color="auto"/>
              <w:right w:val="nil"/>
            </w:tcBorders>
            <w:noWrap/>
            <w:vAlign w:val="bottom"/>
            <w:hideMark/>
          </w:tcPr>
          <w:p w14:paraId="60089F73"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2016-17</w:t>
            </w:r>
          </w:p>
        </w:tc>
        <w:tc>
          <w:tcPr>
            <w:tcW w:w="992" w:type="dxa"/>
            <w:tcBorders>
              <w:top w:val="single" w:sz="4" w:space="0" w:color="auto"/>
              <w:left w:val="nil"/>
              <w:bottom w:val="single" w:sz="4" w:space="0" w:color="auto"/>
              <w:right w:val="nil"/>
            </w:tcBorders>
            <w:noWrap/>
            <w:vAlign w:val="bottom"/>
            <w:hideMark/>
          </w:tcPr>
          <w:p w14:paraId="45D9FA09"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2017-18</w:t>
            </w:r>
          </w:p>
        </w:tc>
        <w:tc>
          <w:tcPr>
            <w:tcW w:w="1135" w:type="dxa"/>
            <w:tcBorders>
              <w:top w:val="single" w:sz="4" w:space="0" w:color="auto"/>
              <w:left w:val="nil"/>
              <w:bottom w:val="single" w:sz="4" w:space="0" w:color="auto"/>
              <w:right w:val="nil"/>
            </w:tcBorders>
            <w:vAlign w:val="bottom"/>
            <w:hideMark/>
          </w:tcPr>
          <w:p w14:paraId="5659FD64" w14:textId="77777777" w:rsidR="00FD6F91" w:rsidRPr="00847FAE" w:rsidRDefault="00FD6F91" w:rsidP="00FD6F91">
            <w:pPr>
              <w:widowControl w:val="0"/>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2A2C7E96" w14:textId="77777777" w:rsidTr="001F1F60">
        <w:trPr>
          <w:cantSplit/>
          <w:trHeight w:val="255"/>
        </w:trPr>
        <w:tc>
          <w:tcPr>
            <w:tcW w:w="3119" w:type="dxa"/>
            <w:gridSpan w:val="4"/>
            <w:tcBorders>
              <w:top w:val="single" w:sz="4" w:space="0" w:color="auto"/>
              <w:left w:val="nil"/>
              <w:bottom w:val="single" w:sz="4" w:space="0" w:color="auto"/>
              <w:right w:val="nil"/>
            </w:tcBorders>
            <w:noWrap/>
            <w:vAlign w:val="center"/>
            <w:hideMark/>
          </w:tcPr>
          <w:p w14:paraId="15D7A11F"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MAGISTRATES COURT</w:t>
            </w:r>
            <w:r w:rsidRPr="00847FAE">
              <w:rPr>
                <w:rFonts w:cs="Calibri"/>
                <w:color w:val="000000"/>
                <w:sz w:val="18"/>
                <w:szCs w:val="18"/>
              </w:rPr>
              <w:t xml:space="preserve"> (ADULT)</w:t>
            </w:r>
          </w:p>
        </w:tc>
        <w:tc>
          <w:tcPr>
            <w:tcW w:w="992" w:type="dxa"/>
            <w:tcBorders>
              <w:top w:val="single" w:sz="4" w:space="0" w:color="auto"/>
              <w:left w:val="nil"/>
              <w:bottom w:val="single" w:sz="4" w:space="0" w:color="auto"/>
              <w:right w:val="nil"/>
            </w:tcBorders>
            <w:noWrap/>
            <w:vAlign w:val="center"/>
            <w:hideMark/>
          </w:tcPr>
          <w:p w14:paraId="0C4CF044"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hideMark/>
          </w:tcPr>
          <w:p w14:paraId="7EAA178C"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hideMark/>
          </w:tcPr>
          <w:p w14:paraId="5E565490"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hideMark/>
          </w:tcPr>
          <w:p w14:paraId="30F6F826"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hideMark/>
          </w:tcPr>
          <w:p w14:paraId="0D9A897F"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c>
          <w:tcPr>
            <w:tcW w:w="1135" w:type="dxa"/>
            <w:tcBorders>
              <w:top w:val="single" w:sz="4" w:space="0" w:color="auto"/>
              <w:left w:val="nil"/>
              <w:bottom w:val="single" w:sz="4" w:space="0" w:color="auto"/>
              <w:right w:val="nil"/>
            </w:tcBorders>
            <w:noWrap/>
            <w:vAlign w:val="center"/>
            <w:hideMark/>
          </w:tcPr>
          <w:p w14:paraId="7C998FBF" w14:textId="77777777" w:rsidR="00FD6F91" w:rsidRPr="00847FAE" w:rsidRDefault="00FD6F91" w:rsidP="00FD6F91">
            <w:pPr>
              <w:widowControl w:val="0"/>
              <w:rPr>
                <w:rFonts w:cs="Calibri"/>
                <w:color w:val="000000"/>
                <w:sz w:val="18"/>
                <w:szCs w:val="18"/>
              </w:rPr>
            </w:pPr>
            <w:r w:rsidRPr="00847FAE">
              <w:rPr>
                <w:rFonts w:cs="Calibri"/>
                <w:color w:val="000000"/>
                <w:sz w:val="18"/>
                <w:szCs w:val="18"/>
              </w:rPr>
              <w:t> </w:t>
            </w:r>
          </w:p>
        </w:tc>
      </w:tr>
      <w:tr w:rsidR="00FD6F91" w:rsidRPr="00847FAE" w14:paraId="665DB15E" w14:textId="77777777" w:rsidTr="001F1F60">
        <w:trPr>
          <w:cantSplit/>
          <w:trHeight w:val="227"/>
        </w:trPr>
        <w:tc>
          <w:tcPr>
            <w:tcW w:w="3119" w:type="dxa"/>
            <w:gridSpan w:val="4"/>
            <w:tcBorders>
              <w:top w:val="single" w:sz="4" w:space="0" w:color="auto"/>
              <w:left w:val="nil"/>
              <w:bottom w:val="nil"/>
              <w:right w:val="nil"/>
            </w:tcBorders>
            <w:shd w:val="clear" w:color="auto" w:fill="D9D9D9" w:themeFill="background1" w:themeFillShade="D9"/>
            <w:noWrap/>
          </w:tcPr>
          <w:p w14:paraId="0800FF10"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Crimes against the person</w:t>
            </w:r>
          </w:p>
        </w:tc>
        <w:tc>
          <w:tcPr>
            <w:tcW w:w="992" w:type="dxa"/>
            <w:tcBorders>
              <w:top w:val="single" w:sz="4" w:space="0" w:color="auto"/>
              <w:left w:val="nil"/>
              <w:bottom w:val="nil"/>
              <w:right w:val="nil"/>
            </w:tcBorders>
            <w:shd w:val="clear" w:color="auto" w:fill="D9D9D9" w:themeFill="background1" w:themeFillShade="D9"/>
            <w:noWrap/>
            <w:vAlign w:val="center"/>
          </w:tcPr>
          <w:p w14:paraId="2945AFA1" w14:textId="77777777" w:rsidR="00FD6F91" w:rsidRPr="00847FAE" w:rsidRDefault="00FD6F91" w:rsidP="00FD6F91">
            <w:pPr>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716F6A68" w14:textId="77777777" w:rsidR="00FD6F91" w:rsidRPr="00847FAE" w:rsidRDefault="00FD6F91" w:rsidP="00FD6F91">
            <w:pPr>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5A521D74" w14:textId="77777777" w:rsidR="00FD6F91" w:rsidRPr="00847FAE" w:rsidRDefault="00FD6F91" w:rsidP="00FD6F91">
            <w:pPr>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1B40C6C8" w14:textId="77777777" w:rsidR="00FD6F91" w:rsidRPr="00847FAE" w:rsidRDefault="00FD6F91" w:rsidP="00FD6F91">
            <w:pPr>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1F169FC1" w14:textId="77777777" w:rsidR="00FD6F91" w:rsidRPr="00847FAE" w:rsidRDefault="00FD6F91" w:rsidP="00FD6F91">
            <w:pPr>
              <w:jc w:val="right"/>
              <w:rPr>
                <w:rFonts w:cs="Calibri"/>
                <w:iCs/>
                <w:color w:val="000000"/>
                <w:sz w:val="18"/>
                <w:szCs w:val="18"/>
              </w:rPr>
            </w:pPr>
          </w:p>
        </w:tc>
        <w:tc>
          <w:tcPr>
            <w:tcW w:w="1135" w:type="dxa"/>
            <w:tcBorders>
              <w:top w:val="single" w:sz="4" w:space="0" w:color="auto"/>
              <w:left w:val="nil"/>
              <w:bottom w:val="nil"/>
              <w:right w:val="nil"/>
            </w:tcBorders>
            <w:shd w:val="clear" w:color="auto" w:fill="D9D9D9" w:themeFill="background1" w:themeFillShade="D9"/>
            <w:noWrap/>
            <w:vAlign w:val="center"/>
          </w:tcPr>
          <w:p w14:paraId="41FB7253" w14:textId="77777777" w:rsidR="00FD6F91" w:rsidRPr="00847FAE" w:rsidRDefault="00FD6F91" w:rsidP="00FD6F91">
            <w:pPr>
              <w:jc w:val="center"/>
              <w:rPr>
                <w:rFonts w:cs="Calibri"/>
                <w:iCs/>
                <w:color w:val="000000"/>
                <w:sz w:val="18"/>
                <w:szCs w:val="18"/>
              </w:rPr>
            </w:pPr>
          </w:p>
        </w:tc>
      </w:tr>
      <w:tr w:rsidR="00FD6F91" w:rsidRPr="00847FAE" w14:paraId="5F71DC3E" w14:textId="77777777" w:rsidTr="001F1F60">
        <w:trPr>
          <w:cantSplit/>
          <w:trHeight w:val="227"/>
        </w:trPr>
        <w:tc>
          <w:tcPr>
            <w:tcW w:w="3119" w:type="dxa"/>
            <w:gridSpan w:val="4"/>
            <w:tcBorders>
              <w:top w:val="nil"/>
              <w:left w:val="nil"/>
              <w:bottom w:val="nil"/>
              <w:right w:val="nil"/>
            </w:tcBorders>
            <w:noWrap/>
            <w:hideMark/>
          </w:tcPr>
          <w:p w14:paraId="336A4D79"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hideMark/>
          </w:tcPr>
          <w:p w14:paraId="102AEB22" w14:textId="77777777" w:rsidR="00FD6F91" w:rsidRPr="00847FAE" w:rsidRDefault="00FD6F91" w:rsidP="00FD6F91">
            <w:pPr>
              <w:jc w:val="center"/>
              <w:rPr>
                <w:rFonts w:cs="Calibri"/>
                <w:color w:val="000000"/>
                <w:sz w:val="18"/>
                <w:szCs w:val="18"/>
              </w:rPr>
            </w:pPr>
            <w:r w:rsidRPr="00847FAE">
              <w:rPr>
                <w:rFonts w:cs="Calibri"/>
                <w:color w:val="000000"/>
                <w:sz w:val="18"/>
                <w:szCs w:val="18"/>
              </w:rPr>
              <w:t>2,656</w:t>
            </w:r>
          </w:p>
        </w:tc>
        <w:tc>
          <w:tcPr>
            <w:tcW w:w="992" w:type="dxa"/>
            <w:tcBorders>
              <w:top w:val="nil"/>
              <w:left w:val="nil"/>
              <w:bottom w:val="nil"/>
              <w:right w:val="nil"/>
            </w:tcBorders>
            <w:noWrap/>
            <w:vAlign w:val="center"/>
            <w:hideMark/>
          </w:tcPr>
          <w:p w14:paraId="598B3877" w14:textId="77777777" w:rsidR="00FD6F91" w:rsidRPr="00847FAE" w:rsidRDefault="00FD6F91" w:rsidP="00FD6F91">
            <w:pPr>
              <w:jc w:val="center"/>
              <w:rPr>
                <w:rFonts w:cs="Calibri"/>
                <w:color w:val="000000"/>
                <w:sz w:val="18"/>
                <w:szCs w:val="18"/>
              </w:rPr>
            </w:pPr>
            <w:r w:rsidRPr="00847FAE">
              <w:rPr>
                <w:rFonts w:cs="Calibri"/>
                <w:color w:val="000000"/>
                <w:sz w:val="18"/>
                <w:szCs w:val="18"/>
              </w:rPr>
              <w:t>2,676</w:t>
            </w:r>
          </w:p>
        </w:tc>
        <w:tc>
          <w:tcPr>
            <w:tcW w:w="992" w:type="dxa"/>
            <w:tcBorders>
              <w:top w:val="nil"/>
              <w:left w:val="nil"/>
              <w:bottom w:val="nil"/>
              <w:right w:val="nil"/>
            </w:tcBorders>
            <w:noWrap/>
            <w:vAlign w:val="center"/>
            <w:hideMark/>
          </w:tcPr>
          <w:p w14:paraId="4D020126" w14:textId="77777777" w:rsidR="00FD6F91" w:rsidRPr="00847FAE" w:rsidRDefault="00FD6F91" w:rsidP="00FD6F91">
            <w:pPr>
              <w:jc w:val="center"/>
              <w:rPr>
                <w:rFonts w:cs="Calibri"/>
                <w:color w:val="000000"/>
                <w:sz w:val="18"/>
                <w:szCs w:val="18"/>
              </w:rPr>
            </w:pPr>
            <w:r w:rsidRPr="00847FAE">
              <w:rPr>
                <w:rFonts w:cs="Calibri"/>
                <w:color w:val="000000"/>
                <w:sz w:val="18"/>
                <w:szCs w:val="18"/>
              </w:rPr>
              <w:t>2,818</w:t>
            </w:r>
          </w:p>
        </w:tc>
        <w:tc>
          <w:tcPr>
            <w:tcW w:w="992" w:type="dxa"/>
            <w:tcBorders>
              <w:top w:val="nil"/>
              <w:left w:val="nil"/>
              <w:bottom w:val="nil"/>
              <w:right w:val="nil"/>
            </w:tcBorders>
            <w:noWrap/>
            <w:vAlign w:val="center"/>
            <w:hideMark/>
          </w:tcPr>
          <w:p w14:paraId="60F2F96D" w14:textId="77777777" w:rsidR="00FD6F91" w:rsidRPr="00847FAE" w:rsidRDefault="00FD6F91" w:rsidP="00FD6F91">
            <w:pPr>
              <w:jc w:val="center"/>
              <w:rPr>
                <w:rFonts w:cs="Calibri"/>
                <w:color w:val="000000"/>
                <w:sz w:val="18"/>
                <w:szCs w:val="18"/>
              </w:rPr>
            </w:pPr>
            <w:r w:rsidRPr="00847FAE">
              <w:rPr>
                <w:rFonts w:cs="Calibri"/>
                <w:color w:val="000000"/>
                <w:sz w:val="18"/>
                <w:szCs w:val="18"/>
              </w:rPr>
              <w:t>2,946</w:t>
            </w:r>
          </w:p>
        </w:tc>
        <w:tc>
          <w:tcPr>
            <w:tcW w:w="992" w:type="dxa"/>
            <w:tcBorders>
              <w:top w:val="nil"/>
              <w:left w:val="nil"/>
              <w:bottom w:val="nil"/>
              <w:right w:val="nil"/>
            </w:tcBorders>
            <w:noWrap/>
            <w:vAlign w:val="center"/>
            <w:hideMark/>
          </w:tcPr>
          <w:p w14:paraId="6457B6A4" w14:textId="77777777" w:rsidR="00FD6F91" w:rsidRPr="00847FAE" w:rsidRDefault="00FD6F91" w:rsidP="00FD6F91">
            <w:pPr>
              <w:jc w:val="center"/>
              <w:rPr>
                <w:rFonts w:cs="Calibri"/>
                <w:color w:val="000000"/>
                <w:sz w:val="18"/>
                <w:szCs w:val="18"/>
              </w:rPr>
            </w:pPr>
            <w:r w:rsidRPr="00847FAE">
              <w:rPr>
                <w:rFonts w:cs="Calibri"/>
                <w:color w:val="000000"/>
                <w:sz w:val="18"/>
                <w:szCs w:val="18"/>
              </w:rPr>
              <w:t>3,240</w:t>
            </w:r>
          </w:p>
        </w:tc>
        <w:tc>
          <w:tcPr>
            <w:tcW w:w="1135" w:type="dxa"/>
            <w:tcBorders>
              <w:top w:val="nil"/>
              <w:left w:val="nil"/>
              <w:bottom w:val="nil"/>
              <w:right w:val="nil"/>
            </w:tcBorders>
            <w:noWrap/>
            <w:vAlign w:val="center"/>
            <w:hideMark/>
          </w:tcPr>
          <w:p w14:paraId="1406AEF0" w14:textId="77777777" w:rsidR="00FD6F91" w:rsidRPr="00847FAE" w:rsidRDefault="00FD6F91" w:rsidP="00FD6F91">
            <w:pPr>
              <w:jc w:val="center"/>
              <w:rPr>
                <w:rFonts w:cs="Calibri"/>
                <w:color w:val="000000"/>
                <w:sz w:val="18"/>
                <w:szCs w:val="18"/>
              </w:rPr>
            </w:pPr>
            <w:r w:rsidRPr="00847FAE">
              <w:rPr>
                <w:rFonts w:cs="Calibri"/>
                <w:color w:val="000000"/>
                <w:sz w:val="18"/>
                <w:szCs w:val="18"/>
              </w:rPr>
              <w:t>10.0%</w:t>
            </w:r>
          </w:p>
        </w:tc>
      </w:tr>
      <w:tr w:rsidR="00FD6F91" w:rsidRPr="00847FAE" w14:paraId="1DE98945" w14:textId="77777777" w:rsidTr="001F1F60">
        <w:trPr>
          <w:cantSplit/>
          <w:trHeight w:val="227"/>
        </w:trPr>
        <w:tc>
          <w:tcPr>
            <w:tcW w:w="3119" w:type="dxa"/>
            <w:gridSpan w:val="4"/>
            <w:tcBorders>
              <w:top w:val="nil"/>
              <w:left w:val="nil"/>
              <w:bottom w:val="nil"/>
              <w:right w:val="nil"/>
            </w:tcBorders>
            <w:noWrap/>
          </w:tcPr>
          <w:p w14:paraId="2E1B1310"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5FB70CCD" w14:textId="77777777" w:rsidR="00FD6F91" w:rsidRPr="00847FAE" w:rsidRDefault="00FD6F91" w:rsidP="00FD6F91">
            <w:pPr>
              <w:jc w:val="center"/>
              <w:rPr>
                <w:rFonts w:cs="Calibri"/>
                <w:color w:val="000000"/>
                <w:sz w:val="18"/>
                <w:szCs w:val="18"/>
              </w:rPr>
            </w:pPr>
            <w:r w:rsidRPr="00847FAE">
              <w:rPr>
                <w:rFonts w:cs="Calibri"/>
                <w:color w:val="000000"/>
                <w:sz w:val="18"/>
                <w:szCs w:val="18"/>
              </w:rPr>
              <w:t>2,439</w:t>
            </w:r>
          </w:p>
        </w:tc>
        <w:tc>
          <w:tcPr>
            <w:tcW w:w="992" w:type="dxa"/>
            <w:tcBorders>
              <w:top w:val="nil"/>
              <w:left w:val="nil"/>
              <w:bottom w:val="nil"/>
              <w:right w:val="nil"/>
            </w:tcBorders>
            <w:noWrap/>
            <w:vAlign w:val="center"/>
          </w:tcPr>
          <w:p w14:paraId="0C72F2F6" w14:textId="77777777" w:rsidR="00FD6F91" w:rsidRPr="00847FAE" w:rsidRDefault="00FD6F91" w:rsidP="00FD6F91">
            <w:pPr>
              <w:jc w:val="center"/>
              <w:rPr>
                <w:rFonts w:cs="Calibri"/>
                <w:color w:val="000000"/>
                <w:sz w:val="18"/>
                <w:szCs w:val="18"/>
              </w:rPr>
            </w:pPr>
            <w:r w:rsidRPr="00847FAE">
              <w:rPr>
                <w:rFonts w:cs="Calibri"/>
                <w:color w:val="000000"/>
                <w:sz w:val="18"/>
                <w:szCs w:val="18"/>
              </w:rPr>
              <w:t>2,423</w:t>
            </w:r>
          </w:p>
        </w:tc>
        <w:tc>
          <w:tcPr>
            <w:tcW w:w="992" w:type="dxa"/>
            <w:tcBorders>
              <w:top w:val="nil"/>
              <w:left w:val="nil"/>
              <w:bottom w:val="nil"/>
              <w:right w:val="nil"/>
            </w:tcBorders>
            <w:noWrap/>
            <w:vAlign w:val="center"/>
          </w:tcPr>
          <w:p w14:paraId="30DF7CB8" w14:textId="77777777" w:rsidR="00FD6F91" w:rsidRPr="00847FAE" w:rsidRDefault="00FD6F91" w:rsidP="00FD6F91">
            <w:pPr>
              <w:jc w:val="center"/>
              <w:rPr>
                <w:rFonts w:cs="Calibri"/>
                <w:color w:val="000000"/>
                <w:sz w:val="18"/>
                <w:szCs w:val="18"/>
              </w:rPr>
            </w:pPr>
            <w:r w:rsidRPr="00847FAE">
              <w:rPr>
                <w:rFonts w:cs="Calibri"/>
                <w:color w:val="000000"/>
                <w:sz w:val="18"/>
                <w:szCs w:val="18"/>
              </w:rPr>
              <w:t>2,643</w:t>
            </w:r>
          </w:p>
        </w:tc>
        <w:tc>
          <w:tcPr>
            <w:tcW w:w="992" w:type="dxa"/>
            <w:tcBorders>
              <w:top w:val="nil"/>
              <w:left w:val="nil"/>
              <w:bottom w:val="nil"/>
              <w:right w:val="nil"/>
            </w:tcBorders>
            <w:noWrap/>
            <w:vAlign w:val="center"/>
          </w:tcPr>
          <w:p w14:paraId="08C05EE9" w14:textId="77777777" w:rsidR="00FD6F91" w:rsidRPr="00847FAE" w:rsidRDefault="00FD6F91" w:rsidP="00FD6F91">
            <w:pPr>
              <w:jc w:val="center"/>
              <w:rPr>
                <w:rFonts w:cs="Calibri"/>
                <w:color w:val="000000"/>
                <w:sz w:val="18"/>
                <w:szCs w:val="18"/>
              </w:rPr>
            </w:pPr>
            <w:r w:rsidRPr="00847FAE">
              <w:rPr>
                <w:rFonts w:cs="Calibri"/>
                <w:color w:val="000000"/>
                <w:sz w:val="18"/>
                <w:szCs w:val="18"/>
              </w:rPr>
              <w:t>2,621</w:t>
            </w:r>
          </w:p>
        </w:tc>
        <w:tc>
          <w:tcPr>
            <w:tcW w:w="992" w:type="dxa"/>
            <w:tcBorders>
              <w:top w:val="nil"/>
              <w:left w:val="nil"/>
              <w:bottom w:val="nil"/>
              <w:right w:val="nil"/>
            </w:tcBorders>
            <w:noWrap/>
            <w:vAlign w:val="center"/>
          </w:tcPr>
          <w:p w14:paraId="5705CFBC" w14:textId="77777777" w:rsidR="00FD6F91" w:rsidRPr="00847FAE" w:rsidRDefault="00FD6F91" w:rsidP="00FD6F91">
            <w:pPr>
              <w:jc w:val="center"/>
              <w:rPr>
                <w:rFonts w:cs="Calibri"/>
                <w:color w:val="000000"/>
                <w:sz w:val="18"/>
                <w:szCs w:val="18"/>
              </w:rPr>
            </w:pPr>
            <w:r w:rsidRPr="00847FAE">
              <w:rPr>
                <w:rFonts w:cs="Calibri"/>
                <w:color w:val="000000"/>
                <w:sz w:val="18"/>
                <w:szCs w:val="18"/>
              </w:rPr>
              <w:t>3,032</w:t>
            </w:r>
          </w:p>
        </w:tc>
        <w:tc>
          <w:tcPr>
            <w:tcW w:w="1135" w:type="dxa"/>
            <w:tcBorders>
              <w:top w:val="nil"/>
              <w:left w:val="nil"/>
              <w:bottom w:val="nil"/>
              <w:right w:val="nil"/>
            </w:tcBorders>
            <w:noWrap/>
            <w:vAlign w:val="center"/>
          </w:tcPr>
          <w:p w14:paraId="14FF36E4" w14:textId="77777777" w:rsidR="00FD6F91" w:rsidRPr="00847FAE" w:rsidRDefault="00FD6F91" w:rsidP="00FD6F91">
            <w:pPr>
              <w:jc w:val="center"/>
              <w:rPr>
                <w:rFonts w:cs="Calibri"/>
                <w:color w:val="000000"/>
                <w:sz w:val="18"/>
                <w:szCs w:val="18"/>
              </w:rPr>
            </w:pPr>
            <w:r w:rsidRPr="00847FAE">
              <w:rPr>
                <w:rFonts w:cs="Calibri"/>
                <w:color w:val="000000"/>
                <w:sz w:val="18"/>
                <w:szCs w:val="18"/>
              </w:rPr>
              <w:t>15.7%</w:t>
            </w:r>
          </w:p>
        </w:tc>
      </w:tr>
      <w:tr w:rsidR="00FD6F91" w:rsidRPr="00847FAE" w14:paraId="6549E3DF"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2343D7A3"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Property and deception offences</w:t>
            </w:r>
          </w:p>
        </w:tc>
        <w:tc>
          <w:tcPr>
            <w:tcW w:w="992" w:type="dxa"/>
            <w:tcBorders>
              <w:top w:val="nil"/>
              <w:left w:val="nil"/>
              <w:bottom w:val="nil"/>
              <w:right w:val="nil"/>
            </w:tcBorders>
            <w:shd w:val="clear" w:color="auto" w:fill="D9D9D9" w:themeFill="background1" w:themeFillShade="D9"/>
            <w:noWrap/>
            <w:vAlign w:val="center"/>
          </w:tcPr>
          <w:p w14:paraId="7CB44B33"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2BB5CC34"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7867B749"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3DEF67E7"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2471D07A" w14:textId="77777777" w:rsidR="00FD6F91" w:rsidRPr="00847FAE" w:rsidRDefault="00FD6F91" w:rsidP="00FD6F91">
            <w:pPr>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3D579DB4" w14:textId="77777777" w:rsidR="00FD6F91" w:rsidRPr="00847FAE" w:rsidRDefault="00FD6F91" w:rsidP="00FD6F91">
            <w:pPr>
              <w:jc w:val="center"/>
              <w:rPr>
                <w:rFonts w:cs="Calibri"/>
                <w:iCs/>
                <w:color w:val="000000"/>
                <w:sz w:val="18"/>
                <w:szCs w:val="18"/>
              </w:rPr>
            </w:pPr>
          </w:p>
        </w:tc>
      </w:tr>
      <w:tr w:rsidR="00FD6F91" w:rsidRPr="00847FAE" w14:paraId="5DD69CE8" w14:textId="77777777" w:rsidTr="001F1F60">
        <w:trPr>
          <w:cantSplit/>
          <w:trHeight w:val="227"/>
        </w:trPr>
        <w:tc>
          <w:tcPr>
            <w:tcW w:w="3119" w:type="dxa"/>
            <w:gridSpan w:val="4"/>
            <w:tcBorders>
              <w:top w:val="nil"/>
              <w:left w:val="nil"/>
              <w:bottom w:val="nil"/>
              <w:right w:val="nil"/>
            </w:tcBorders>
            <w:noWrap/>
            <w:hideMark/>
          </w:tcPr>
          <w:p w14:paraId="5EB7C7EA"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4B7D370C" w14:textId="77777777" w:rsidR="00FD6F91" w:rsidRPr="00847FAE" w:rsidRDefault="00FD6F91" w:rsidP="00FD6F91">
            <w:pPr>
              <w:jc w:val="center"/>
              <w:rPr>
                <w:rFonts w:cs="Calibri"/>
                <w:color w:val="000000"/>
                <w:sz w:val="18"/>
                <w:szCs w:val="18"/>
              </w:rPr>
            </w:pPr>
            <w:r w:rsidRPr="00847FAE">
              <w:rPr>
                <w:rFonts w:cs="Calibri"/>
                <w:color w:val="000000"/>
                <w:sz w:val="18"/>
                <w:szCs w:val="18"/>
              </w:rPr>
              <w:t>2,128</w:t>
            </w:r>
          </w:p>
        </w:tc>
        <w:tc>
          <w:tcPr>
            <w:tcW w:w="992" w:type="dxa"/>
            <w:tcBorders>
              <w:top w:val="nil"/>
              <w:left w:val="nil"/>
              <w:bottom w:val="nil"/>
              <w:right w:val="nil"/>
            </w:tcBorders>
            <w:noWrap/>
            <w:vAlign w:val="center"/>
          </w:tcPr>
          <w:p w14:paraId="1DB59570" w14:textId="77777777" w:rsidR="00FD6F91" w:rsidRPr="00847FAE" w:rsidRDefault="00FD6F91" w:rsidP="00FD6F91">
            <w:pPr>
              <w:jc w:val="center"/>
              <w:rPr>
                <w:rFonts w:cs="Calibri"/>
                <w:color w:val="000000"/>
                <w:sz w:val="18"/>
                <w:szCs w:val="18"/>
              </w:rPr>
            </w:pPr>
            <w:r w:rsidRPr="00847FAE">
              <w:rPr>
                <w:rFonts w:cs="Calibri"/>
                <w:color w:val="000000"/>
                <w:sz w:val="18"/>
                <w:szCs w:val="18"/>
              </w:rPr>
              <w:t>2,311</w:t>
            </w:r>
          </w:p>
        </w:tc>
        <w:tc>
          <w:tcPr>
            <w:tcW w:w="992" w:type="dxa"/>
            <w:tcBorders>
              <w:top w:val="nil"/>
              <w:left w:val="nil"/>
              <w:bottom w:val="nil"/>
              <w:right w:val="nil"/>
            </w:tcBorders>
            <w:noWrap/>
            <w:vAlign w:val="center"/>
          </w:tcPr>
          <w:p w14:paraId="5A32A781" w14:textId="77777777" w:rsidR="00FD6F91" w:rsidRPr="00847FAE" w:rsidRDefault="00FD6F91" w:rsidP="00FD6F91">
            <w:pPr>
              <w:jc w:val="center"/>
              <w:rPr>
                <w:rFonts w:cs="Calibri"/>
                <w:color w:val="000000"/>
                <w:sz w:val="18"/>
                <w:szCs w:val="18"/>
              </w:rPr>
            </w:pPr>
            <w:r w:rsidRPr="00847FAE">
              <w:rPr>
                <w:rFonts w:cs="Calibri"/>
                <w:color w:val="000000"/>
                <w:sz w:val="18"/>
                <w:szCs w:val="18"/>
              </w:rPr>
              <w:t>2,314</w:t>
            </w:r>
          </w:p>
        </w:tc>
        <w:tc>
          <w:tcPr>
            <w:tcW w:w="992" w:type="dxa"/>
            <w:tcBorders>
              <w:top w:val="nil"/>
              <w:left w:val="nil"/>
              <w:bottom w:val="nil"/>
              <w:right w:val="nil"/>
            </w:tcBorders>
            <w:noWrap/>
            <w:vAlign w:val="center"/>
          </w:tcPr>
          <w:p w14:paraId="6450D415" w14:textId="77777777" w:rsidR="00FD6F91" w:rsidRPr="00847FAE" w:rsidRDefault="00FD6F91" w:rsidP="00FD6F91">
            <w:pPr>
              <w:jc w:val="center"/>
              <w:rPr>
                <w:rFonts w:cs="Calibri"/>
                <w:color w:val="000000"/>
                <w:sz w:val="18"/>
                <w:szCs w:val="18"/>
              </w:rPr>
            </w:pPr>
            <w:r w:rsidRPr="00847FAE">
              <w:rPr>
                <w:rFonts w:cs="Calibri"/>
                <w:color w:val="000000"/>
                <w:sz w:val="18"/>
                <w:szCs w:val="18"/>
              </w:rPr>
              <w:t>2,463</w:t>
            </w:r>
          </w:p>
        </w:tc>
        <w:tc>
          <w:tcPr>
            <w:tcW w:w="992" w:type="dxa"/>
            <w:tcBorders>
              <w:top w:val="nil"/>
              <w:left w:val="nil"/>
              <w:bottom w:val="nil"/>
              <w:right w:val="nil"/>
            </w:tcBorders>
            <w:noWrap/>
            <w:vAlign w:val="center"/>
          </w:tcPr>
          <w:p w14:paraId="0BE509C4" w14:textId="77777777" w:rsidR="00FD6F91" w:rsidRPr="00847FAE" w:rsidRDefault="00FD6F91" w:rsidP="00FD6F91">
            <w:pPr>
              <w:jc w:val="center"/>
              <w:rPr>
                <w:rFonts w:cs="Calibri"/>
                <w:color w:val="000000"/>
                <w:sz w:val="18"/>
                <w:szCs w:val="18"/>
              </w:rPr>
            </w:pPr>
            <w:r w:rsidRPr="00847FAE">
              <w:rPr>
                <w:rFonts w:cs="Calibri"/>
                <w:color w:val="000000"/>
                <w:sz w:val="18"/>
                <w:szCs w:val="18"/>
              </w:rPr>
              <w:t>2,611</w:t>
            </w:r>
          </w:p>
        </w:tc>
        <w:tc>
          <w:tcPr>
            <w:tcW w:w="1135" w:type="dxa"/>
            <w:tcBorders>
              <w:top w:val="nil"/>
              <w:left w:val="nil"/>
              <w:bottom w:val="nil"/>
              <w:right w:val="nil"/>
            </w:tcBorders>
            <w:noWrap/>
            <w:vAlign w:val="center"/>
          </w:tcPr>
          <w:p w14:paraId="6CB45966" w14:textId="77777777" w:rsidR="00FD6F91" w:rsidRPr="00847FAE" w:rsidRDefault="00FD6F91" w:rsidP="00FD6F91">
            <w:pPr>
              <w:jc w:val="center"/>
              <w:rPr>
                <w:rFonts w:cs="Calibri"/>
                <w:color w:val="000000"/>
                <w:sz w:val="18"/>
                <w:szCs w:val="18"/>
              </w:rPr>
            </w:pPr>
            <w:r w:rsidRPr="00847FAE">
              <w:rPr>
                <w:rFonts w:cs="Calibri"/>
                <w:color w:val="000000"/>
                <w:sz w:val="18"/>
                <w:szCs w:val="18"/>
              </w:rPr>
              <w:t>6.0%</w:t>
            </w:r>
          </w:p>
        </w:tc>
      </w:tr>
      <w:tr w:rsidR="00FD6F91" w:rsidRPr="00847FAE" w14:paraId="1F05807F" w14:textId="77777777" w:rsidTr="001F1F60">
        <w:trPr>
          <w:cantSplit/>
          <w:trHeight w:val="227"/>
        </w:trPr>
        <w:tc>
          <w:tcPr>
            <w:tcW w:w="3119" w:type="dxa"/>
            <w:gridSpan w:val="4"/>
            <w:tcBorders>
              <w:top w:val="nil"/>
              <w:left w:val="nil"/>
              <w:bottom w:val="nil"/>
              <w:right w:val="nil"/>
            </w:tcBorders>
            <w:noWrap/>
          </w:tcPr>
          <w:p w14:paraId="0D4E5E0E"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127AF689" w14:textId="77777777" w:rsidR="00FD6F91" w:rsidRPr="00847FAE" w:rsidRDefault="00FD6F91" w:rsidP="00FD6F91">
            <w:pPr>
              <w:jc w:val="center"/>
              <w:rPr>
                <w:rFonts w:cs="Calibri"/>
                <w:color w:val="000000"/>
                <w:sz w:val="18"/>
                <w:szCs w:val="18"/>
              </w:rPr>
            </w:pPr>
            <w:r w:rsidRPr="00847FAE">
              <w:rPr>
                <w:rFonts w:cs="Calibri"/>
                <w:color w:val="000000"/>
                <w:sz w:val="18"/>
                <w:szCs w:val="18"/>
              </w:rPr>
              <w:t>2,126</w:t>
            </w:r>
          </w:p>
        </w:tc>
        <w:tc>
          <w:tcPr>
            <w:tcW w:w="992" w:type="dxa"/>
            <w:tcBorders>
              <w:top w:val="nil"/>
              <w:left w:val="nil"/>
              <w:bottom w:val="nil"/>
              <w:right w:val="nil"/>
            </w:tcBorders>
            <w:noWrap/>
            <w:vAlign w:val="center"/>
          </w:tcPr>
          <w:p w14:paraId="1250A922" w14:textId="77777777" w:rsidR="00FD6F91" w:rsidRPr="00847FAE" w:rsidRDefault="00FD6F91" w:rsidP="00FD6F91">
            <w:pPr>
              <w:jc w:val="center"/>
              <w:rPr>
                <w:rFonts w:cs="Calibri"/>
                <w:color w:val="000000"/>
                <w:sz w:val="18"/>
                <w:szCs w:val="18"/>
              </w:rPr>
            </w:pPr>
            <w:r w:rsidRPr="00847FAE">
              <w:rPr>
                <w:rFonts w:cs="Calibri"/>
                <w:color w:val="000000"/>
                <w:sz w:val="18"/>
                <w:szCs w:val="18"/>
              </w:rPr>
              <w:t>2,090</w:t>
            </w:r>
          </w:p>
        </w:tc>
        <w:tc>
          <w:tcPr>
            <w:tcW w:w="992" w:type="dxa"/>
            <w:tcBorders>
              <w:top w:val="nil"/>
              <w:left w:val="nil"/>
              <w:bottom w:val="nil"/>
              <w:right w:val="nil"/>
            </w:tcBorders>
            <w:noWrap/>
            <w:vAlign w:val="center"/>
          </w:tcPr>
          <w:p w14:paraId="3B753C24" w14:textId="77777777" w:rsidR="00FD6F91" w:rsidRPr="00847FAE" w:rsidRDefault="00FD6F91" w:rsidP="00FD6F91">
            <w:pPr>
              <w:jc w:val="center"/>
              <w:rPr>
                <w:rFonts w:cs="Calibri"/>
                <w:color w:val="000000"/>
                <w:sz w:val="18"/>
                <w:szCs w:val="18"/>
              </w:rPr>
            </w:pPr>
            <w:r w:rsidRPr="00847FAE">
              <w:rPr>
                <w:rFonts w:cs="Calibri"/>
                <w:color w:val="000000"/>
                <w:sz w:val="18"/>
                <w:szCs w:val="18"/>
              </w:rPr>
              <w:t>2,385</w:t>
            </w:r>
          </w:p>
        </w:tc>
        <w:tc>
          <w:tcPr>
            <w:tcW w:w="992" w:type="dxa"/>
            <w:tcBorders>
              <w:top w:val="nil"/>
              <w:left w:val="nil"/>
              <w:bottom w:val="nil"/>
              <w:right w:val="nil"/>
            </w:tcBorders>
            <w:noWrap/>
            <w:vAlign w:val="center"/>
          </w:tcPr>
          <w:p w14:paraId="1B911329" w14:textId="77777777" w:rsidR="00FD6F91" w:rsidRPr="00847FAE" w:rsidRDefault="00FD6F91" w:rsidP="00FD6F91">
            <w:pPr>
              <w:jc w:val="center"/>
              <w:rPr>
                <w:rFonts w:cs="Calibri"/>
                <w:color w:val="000000"/>
                <w:sz w:val="18"/>
                <w:szCs w:val="18"/>
              </w:rPr>
            </w:pPr>
            <w:r w:rsidRPr="00847FAE">
              <w:rPr>
                <w:rFonts w:cs="Calibri"/>
                <w:color w:val="000000"/>
                <w:sz w:val="18"/>
                <w:szCs w:val="18"/>
              </w:rPr>
              <w:t>2,204</w:t>
            </w:r>
          </w:p>
        </w:tc>
        <w:tc>
          <w:tcPr>
            <w:tcW w:w="992" w:type="dxa"/>
            <w:tcBorders>
              <w:top w:val="nil"/>
              <w:left w:val="nil"/>
              <w:bottom w:val="nil"/>
              <w:right w:val="nil"/>
            </w:tcBorders>
            <w:noWrap/>
            <w:vAlign w:val="center"/>
          </w:tcPr>
          <w:p w14:paraId="2798DCD2" w14:textId="77777777" w:rsidR="00FD6F91" w:rsidRPr="00847FAE" w:rsidRDefault="00FD6F91" w:rsidP="00FD6F91">
            <w:pPr>
              <w:jc w:val="center"/>
              <w:rPr>
                <w:rFonts w:cs="Calibri"/>
                <w:color w:val="000000"/>
                <w:sz w:val="18"/>
                <w:szCs w:val="18"/>
              </w:rPr>
            </w:pPr>
            <w:r w:rsidRPr="00847FAE">
              <w:rPr>
                <w:rFonts w:cs="Calibri"/>
                <w:color w:val="000000"/>
                <w:sz w:val="18"/>
                <w:szCs w:val="18"/>
              </w:rPr>
              <w:t>2,620</w:t>
            </w:r>
          </w:p>
        </w:tc>
        <w:tc>
          <w:tcPr>
            <w:tcW w:w="1135" w:type="dxa"/>
            <w:tcBorders>
              <w:top w:val="nil"/>
              <w:left w:val="nil"/>
              <w:bottom w:val="nil"/>
              <w:right w:val="nil"/>
            </w:tcBorders>
            <w:noWrap/>
            <w:vAlign w:val="center"/>
          </w:tcPr>
          <w:p w14:paraId="2E5C1E5C" w14:textId="77777777" w:rsidR="00FD6F91" w:rsidRPr="00847FAE" w:rsidRDefault="00FD6F91" w:rsidP="00FD6F91">
            <w:pPr>
              <w:jc w:val="center"/>
              <w:rPr>
                <w:rFonts w:cs="Calibri"/>
                <w:color w:val="000000"/>
                <w:sz w:val="18"/>
                <w:szCs w:val="18"/>
              </w:rPr>
            </w:pPr>
            <w:r w:rsidRPr="00847FAE">
              <w:rPr>
                <w:rFonts w:cs="Calibri"/>
                <w:color w:val="000000"/>
                <w:sz w:val="18"/>
                <w:szCs w:val="18"/>
              </w:rPr>
              <w:t>18.9%</w:t>
            </w:r>
          </w:p>
        </w:tc>
      </w:tr>
      <w:tr w:rsidR="00FD6F91" w:rsidRPr="00847FAE" w14:paraId="4F2C9937"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311F5025" w14:textId="77777777" w:rsidR="00FD6F91" w:rsidRPr="00847FAE" w:rsidRDefault="00FD6F91" w:rsidP="00FD6F91">
            <w:pPr>
              <w:rPr>
                <w:rFonts w:cs="Calibri"/>
                <w:iCs/>
                <w:color w:val="000000"/>
                <w:sz w:val="18"/>
                <w:szCs w:val="18"/>
              </w:rPr>
            </w:pPr>
            <w:r w:rsidRPr="00847FAE">
              <w:rPr>
                <w:rFonts w:cs="Calibri"/>
                <w:iCs/>
                <w:color w:val="000000"/>
                <w:sz w:val="18"/>
                <w:szCs w:val="18"/>
              </w:rPr>
              <w:t>Drug offences</w:t>
            </w:r>
          </w:p>
        </w:tc>
        <w:tc>
          <w:tcPr>
            <w:tcW w:w="992" w:type="dxa"/>
            <w:tcBorders>
              <w:top w:val="nil"/>
              <w:left w:val="nil"/>
              <w:bottom w:val="nil"/>
              <w:right w:val="nil"/>
            </w:tcBorders>
            <w:shd w:val="clear" w:color="auto" w:fill="D9D9D9" w:themeFill="background1" w:themeFillShade="D9"/>
            <w:noWrap/>
            <w:vAlign w:val="center"/>
          </w:tcPr>
          <w:p w14:paraId="19526446"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08DD9A30"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3870E53A"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5E16A7FA"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26370DB8" w14:textId="77777777" w:rsidR="00FD6F91" w:rsidRPr="00847FAE" w:rsidRDefault="00FD6F91" w:rsidP="00FD6F91">
            <w:pPr>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291614E7" w14:textId="77777777" w:rsidR="00FD6F91" w:rsidRPr="00847FAE" w:rsidRDefault="00FD6F91" w:rsidP="00FD6F91">
            <w:pPr>
              <w:jc w:val="center"/>
              <w:rPr>
                <w:rFonts w:cs="Calibri"/>
                <w:iCs/>
                <w:color w:val="000000"/>
                <w:sz w:val="18"/>
                <w:szCs w:val="18"/>
              </w:rPr>
            </w:pPr>
          </w:p>
        </w:tc>
      </w:tr>
      <w:tr w:rsidR="00FD6F91" w:rsidRPr="00847FAE" w14:paraId="5CC0B8A2" w14:textId="77777777" w:rsidTr="001F1F60">
        <w:trPr>
          <w:cantSplit/>
          <w:trHeight w:val="227"/>
        </w:trPr>
        <w:tc>
          <w:tcPr>
            <w:tcW w:w="3119" w:type="dxa"/>
            <w:gridSpan w:val="4"/>
            <w:tcBorders>
              <w:top w:val="nil"/>
              <w:left w:val="nil"/>
              <w:bottom w:val="nil"/>
              <w:right w:val="nil"/>
            </w:tcBorders>
            <w:noWrap/>
            <w:hideMark/>
          </w:tcPr>
          <w:p w14:paraId="7CFEAEC4"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51838299" w14:textId="77777777" w:rsidR="00FD6F91" w:rsidRPr="00847FAE" w:rsidRDefault="00FD6F91" w:rsidP="00FD6F91">
            <w:pPr>
              <w:jc w:val="center"/>
              <w:rPr>
                <w:rFonts w:cs="Calibri"/>
                <w:color w:val="000000"/>
                <w:sz w:val="18"/>
                <w:szCs w:val="18"/>
              </w:rPr>
            </w:pPr>
            <w:r w:rsidRPr="00847FAE">
              <w:rPr>
                <w:rFonts w:cs="Calibri"/>
                <w:color w:val="000000"/>
                <w:sz w:val="18"/>
                <w:szCs w:val="18"/>
              </w:rPr>
              <w:t>885</w:t>
            </w:r>
          </w:p>
        </w:tc>
        <w:tc>
          <w:tcPr>
            <w:tcW w:w="992" w:type="dxa"/>
            <w:tcBorders>
              <w:top w:val="nil"/>
              <w:left w:val="nil"/>
              <w:bottom w:val="nil"/>
              <w:right w:val="nil"/>
            </w:tcBorders>
            <w:noWrap/>
            <w:vAlign w:val="center"/>
          </w:tcPr>
          <w:p w14:paraId="3D3608EA" w14:textId="77777777" w:rsidR="00FD6F91" w:rsidRPr="00847FAE" w:rsidRDefault="00FD6F91" w:rsidP="00FD6F91">
            <w:pPr>
              <w:jc w:val="center"/>
              <w:rPr>
                <w:rFonts w:cs="Calibri"/>
                <w:color w:val="000000"/>
                <w:sz w:val="18"/>
                <w:szCs w:val="18"/>
              </w:rPr>
            </w:pPr>
            <w:r w:rsidRPr="00847FAE">
              <w:rPr>
                <w:rFonts w:cs="Calibri"/>
                <w:color w:val="000000"/>
                <w:sz w:val="18"/>
                <w:szCs w:val="18"/>
              </w:rPr>
              <w:t>1,035</w:t>
            </w:r>
          </w:p>
        </w:tc>
        <w:tc>
          <w:tcPr>
            <w:tcW w:w="992" w:type="dxa"/>
            <w:tcBorders>
              <w:top w:val="nil"/>
              <w:left w:val="nil"/>
              <w:bottom w:val="nil"/>
              <w:right w:val="nil"/>
            </w:tcBorders>
            <w:noWrap/>
            <w:vAlign w:val="center"/>
          </w:tcPr>
          <w:p w14:paraId="5D00D0F9" w14:textId="77777777" w:rsidR="00FD6F91" w:rsidRPr="00847FAE" w:rsidRDefault="00FD6F91" w:rsidP="00FD6F91">
            <w:pPr>
              <w:jc w:val="center"/>
              <w:rPr>
                <w:rFonts w:cs="Calibri"/>
                <w:color w:val="000000"/>
                <w:sz w:val="18"/>
                <w:szCs w:val="18"/>
              </w:rPr>
            </w:pPr>
            <w:r w:rsidRPr="00847FAE">
              <w:rPr>
                <w:rFonts w:cs="Calibri"/>
                <w:color w:val="000000"/>
                <w:sz w:val="18"/>
                <w:szCs w:val="18"/>
              </w:rPr>
              <w:t>1,005</w:t>
            </w:r>
          </w:p>
        </w:tc>
        <w:tc>
          <w:tcPr>
            <w:tcW w:w="992" w:type="dxa"/>
            <w:tcBorders>
              <w:top w:val="nil"/>
              <w:left w:val="nil"/>
              <w:bottom w:val="nil"/>
              <w:right w:val="nil"/>
            </w:tcBorders>
            <w:noWrap/>
            <w:vAlign w:val="center"/>
          </w:tcPr>
          <w:p w14:paraId="035DC3BE" w14:textId="77777777" w:rsidR="00FD6F91" w:rsidRPr="00847FAE" w:rsidRDefault="00FD6F91" w:rsidP="00FD6F91">
            <w:pPr>
              <w:jc w:val="center"/>
              <w:rPr>
                <w:rFonts w:cs="Calibri"/>
                <w:color w:val="000000"/>
                <w:sz w:val="18"/>
                <w:szCs w:val="18"/>
              </w:rPr>
            </w:pPr>
            <w:r w:rsidRPr="00847FAE">
              <w:rPr>
                <w:rFonts w:cs="Calibri"/>
                <w:color w:val="000000"/>
                <w:sz w:val="18"/>
                <w:szCs w:val="18"/>
              </w:rPr>
              <w:t>1,182</w:t>
            </w:r>
          </w:p>
        </w:tc>
        <w:tc>
          <w:tcPr>
            <w:tcW w:w="992" w:type="dxa"/>
            <w:tcBorders>
              <w:top w:val="nil"/>
              <w:left w:val="nil"/>
              <w:bottom w:val="nil"/>
              <w:right w:val="nil"/>
            </w:tcBorders>
            <w:noWrap/>
            <w:vAlign w:val="center"/>
          </w:tcPr>
          <w:p w14:paraId="3F2AF6FD" w14:textId="77777777" w:rsidR="00FD6F91" w:rsidRPr="00847FAE" w:rsidRDefault="00FD6F91" w:rsidP="00FD6F91">
            <w:pPr>
              <w:jc w:val="center"/>
              <w:rPr>
                <w:rFonts w:cs="Calibri"/>
                <w:color w:val="000000"/>
                <w:sz w:val="18"/>
                <w:szCs w:val="18"/>
              </w:rPr>
            </w:pPr>
            <w:r w:rsidRPr="00847FAE">
              <w:rPr>
                <w:rFonts w:cs="Calibri"/>
                <w:color w:val="000000"/>
                <w:sz w:val="18"/>
                <w:szCs w:val="18"/>
              </w:rPr>
              <w:t>1,265</w:t>
            </w:r>
          </w:p>
        </w:tc>
        <w:tc>
          <w:tcPr>
            <w:tcW w:w="1135" w:type="dxa"/>
            <w:tcBorders>
              <w:top w:val="nil"/>
              <w:left w:val="nil"/>
              <w:bottom w:val="nil"/>
              <w:right w:val="nil"/>
            </w:tcBorders>
            <w:noWrap/>
            <w:vAlign w:val="center"/>
          </w:tcPr>
          <w:p w14:paraId="6E520CC4" w14:textId="77777777" w:rsidR="00FD6F91" w:rsidRPr="00847FAE" w:rsidRDefault="00FD6F91" w:rsidP="00FD6F91">
            <w:pPr>
              <w:jc w:val="center"/>
              <w:rPr>
                <w:rFonts w:cs="Calibri"/>
                <w:color w:val="000000"/>
                <w:sz w:val="18"/>
                <w:szCs w:val="18"/>
              </w:rPr>
            </w:pPr>
            <w:r w:rsidRPr="00847FAE">
              <w:rPr>
                <w:rFonts w:cs="Calibri"/>
                <w:color w:val="000000"/>
                <w:sz w:val="18"/>
                <w:szCs w:val="18"/>
              </w:rPr>
              <w:t>7.0%</w:t>
            </w:r>
          </w:p>
        </w:tc>
      </w:tr>
      <w:tr w:rsidR="00FD6F91" w:rsidRPr="00847FAE" w14:paraId="313A8429" w14:textId="77777777" w:rsidTr="001F1F60">
        <w:trPr>
          <w:cantSplit/>
          <w:trHeight w:val="227"/>
        </w:trPr>
        <w:tc>
          <w:tcPr>
            <w:tcW w:w="3119" w:type="dxa"/>
            <w:gridSpan w:val="4"/>
            <w:tcBorders>
              <w:top w:val="nil"/>
              <w:left w:val="nil"/>
              <w:bottom w:val="nil"/>
              <w:right w:val="nil"/>
            </w:tcBorders>
            <w:noWrap/>
          </w:tcPr>
          <w:p w14:paraId="6877FB63"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5DF3EB51" w14:textId="77777777" w:rsidR="00FD6F91" w:rsidRPr="00847FAE" w:rsidRDefault="00FD6F91" w:rsidP="00FD6F91">
            <w:pPr>
              <w:jc w:val="center"/>
              <w:rPr>
                <w:rFonts w:cs="Calibri"/>
                <w:color w:val="000000"/>
                <w:sz w:val="18"/>
                <w:szCs w:val="18"/>
              </w:rPr>
            </w:pPr>
            <w:r w:rsidRPr="00847FAE">
              <w:rPr>
                <w:rFonts w:cs="Calibri"/>
                <w:color w:val="000000"/>
                <w:sz w:val="18"/>
                <w:szCs w:val="18"/>
              </w:rPr>
              <w:t>778</w:t>
            </w:r>
          </w:p>
        </w:tc>
        <w:tc>
          <w:tcPr>
            <w:tcW w:w="992" w:type="dxa"/>
            <w:tcBorders>
              <w:top w:val="nil"/>
              <w:left w:val="nil"/>
              <w:bottom w:val="nil"/>
              <w:right w:val="nil"/>
            </w:tcBorders>
            <w:noWrap/>
            <w:vAlign w:val="center"/>
          </w:tcPr>
          <w:p w14:paraId="719760E8" w14:textId="77777777" w:rsidR="00FD6F91" w:rsidRPr="00847FAE" w:rsidRDefault="00FD6F91" w:rsidP="00FD6F91">
            <w:pPr>
              <w:jc w:val="center"/>
              <w:rPr>
                <w:rFonts w:cs="Calibri"/>
                <w:color w:val="000000"/>
                <w:sz w:val="18"/>
                <w:szCs w:val="18"/>
              </w:rPr>
            </w:pPr>
            <w:r w:rsidRPr="00847FAE">
              <w:rPr>
                <w:rFonts w:cs="Calibri"/>
                <w:color w:val="000000"/>
                <w:sz w:val="18"/>
                <w:szCs w:val="18"/>
              </w:rPr>
              <w:t>874</w:t>
            </w:r>
          </w:p>
        </w:tc>
        <w:tc>
          <w:tcPr>
            <w:tcW w:w="992" w:type="dxa"/>
            <w:tcBorders>
              <w:top w:val="nil"/>
              <w:left w:val="nil"/>
              <w:bottom w:val="nil"/>
              <w:right w:val="nil"/>
            </w:tcBorders>
            <w:noWrap/>
            <w:vAlign w:val="center"/>
          </w:tcPr>
          <w:p w14:paraId="576DA65B" w14:textId="77777777" w:rsidR="00FD6F91" w:rsidRPr="00847FAE" w:rsidRDefault="00FD6F91" w:rsidP="00FD6F91">
            <w:pPr>
              <w:jc w:val="center"/>
              <w:rPr>
                <w:rFonts w:cs="Calibri"/>
                <w:color w:val="000000"/>
                <w:sz w:val="18"/>
                <w:szCs w:val="18"/>
              </w:rPr>
            </w:pPr>
            <w:r w:rsidRPr="00847FAE">
              <w:rPr>
                <w:rFonts w:cs="Calibri"/>
                <w:color w:val="000000"/>
                <w:sz w:val="18"/>
                <w:szCs w:val="18"/>
              </w:rPr>
              <w:t>1,020</w:t>
            </w:r>
          </w:p>
        </w:tc>
        <w:tc>
          <w:tcPr>
            <w:tcW w:w="992" w:type="dxa"/>
            <w:tcBorders>
              <w:top w:val="nil"/>
              <w:left w:val="nil"/>
              <w:bottom w:val="nil"/>
              <w:right w:val="nil"/>
            </w:tcBorders>
            <w:noWrap/>
            <w:vAlign w:val="center"/>
          </w:tcPr>
          <w:p w14:paraId="2493D77D" w14:textId="77777777" w:rsidR="00FD6F91" w:rsidRPr="00847FAE" w:rsidRDefault="00FD6F91" w:rsidP="00FD6F91">
            <w:pPr>
              <w:jc w:val="center"/>
              <w:rPr>
                <w:rFonts w:cs="Calibri"/>
                <w:color w:val="000000"/>
                <w:sz w:val="18"/>
                <w:szCs w:val="18"/>
              </w:rPr>
            </w:pPr>
            <w:r w:rsidRPr="00847FAE">
              <w:rPr>
                <w:rFonts w:cs="Calibri"/>
                <w:color w:val="000000"/>
                <w:sz w:val="18"/>
                <w:szCs w:val="18"/>
              </w:rPr>
              <w:t>940</w:t>
            </w:r>
          </w:p>
        </w:tc>
        <w:tc>
          <w:tcPr>
            <w:tcW w:w="992" w:type="dxa"/>
            <w:tcBorders>
              <w:top w:val="nil"/>
              <w:left w:val="nil"/>
              <w:bottom w:val="nil"/>
              <w:right w:val="nil"/>
            </w:tcBorders>
            <w:noWrap/>
            <w:vAlign w:val="center"/>
          </w:tcPr>
          <w:p w14:paraId="56BE9580" w14:textId="77777777" w:rsidR="00FD6F91" w:rsidRPr="00847FAE" w:rsidRDefault="00FD6F91" w:rsidP="00FD6F91">
            <w:pPr>
              <w:jc w:val="center"/>
              <w:rPr>
                <w:rFonts w:cs="Calibri"/>
                <w:color w:val="000000"/>
                <w:sz w:val="18"/>
                <w:szCs w:val="18"/>
              </w:rPr>
            </w:pPr>
            <w:r w:rsidRPr="00847FAE">
              <w:rPr>
                <w:rFonts w:cs="Calibri"/>
                <w:color w:val="000000"/>
                <w:sz w:val="18"/>
                <w:szCs w:val="18"/>
              </w:rPr>
              <w:t>1,192</w:t>
            </w:r>
          </w:p>
        </w:tc>
        <w:tc>
          <w:tcPr>
            <w:tcW w:w="1135" w:type="dxa"/>
            <w:tcBorders>
              <w:top w:val="nil"/>
              <w:left w:val="nil"/>
              <w:bottom w:val="nil"/>
              <w:right w:val="nil"/>
            </w:tcBorders>
            <w:noWrap/>
            <w:vAlign w:val="center"/>
          </w:tcPr>
          <w:p w14:paraId="687A2717" w14:textId="77777777" w:rsidR="00FD6F91" w:rsidRPr="00847FAE" w:rsidRDefault="00FD6F91" w:rsidP="00FD6F91">
            <w:pPr>
              <w:jc w:val="center"/>
              <w:rPr>
                <w:rFonts w:cs="Calibri"/>
                <w:color w:val="000000"/>
                <w:sz w:val="18"/>
                <w:szCs w:val="18"/>
              </w:rPr>
            </w:pPr>
            <w:r w:rsidRPr="00847FAE">
              <w:rPr>
                <w:rFonts w:cs="Calibri"/>
                <w:color w:val="000000"/>
                <w:sz w:val="18"/>
                <w:szCs w:val="18"/>
              </w:rPr>
              <w:t>26.8%</w:t>
            </w:r>
          </w:p>
        </w:tc>
      </w:tr>
      <w:tr w:rsidR="00FD6F91" w:rsidRPr="00847FAE" w14:paraId="2F445B14"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2CECD477"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Public order and security offences</w:t>
            </w:r>
          </w:p>
        </w:tc>
        <w:tc>
          <w:tcPr>
            <w:tcW w:w="992" w:type="dxa"/>
            <w:tcBorders>
              <w:top w:val="nil"/>
              <w:left w:val="nil"/>
              <w:bottom w:val="nil"/>
              <w:right w:val="nil"/>
            </w:tcBorders>
            <w:shd w:val="clear" w:color="auto" w:fill="D9D9D9" w:themeFill="background1" w:themeFillShade="D9"/>
            <w:noWrap/>
            <w:vAlign w:val="center"/>
          </w:tcPr>
          <w:p w14:paraId="149F9C38"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A38D2A8"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00F6475C"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031C3D1D"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D6126D9" w14:textId="77777777" w:rsidR="00FD6F91" w:rsidRPr="00847FAE" w:rsidRDefault="00FD6F91" w:rsidP="00FD6F91">
            <w:pPr>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431C49B4" w14:textId="77777777" w:rsidR="00FD6F91" w:rsidRPr="00847FAE" w:rsidRDefault="00FD6F91" w:rsidP="00FD6F91">
            <w:pPr>
              <w:jc w:val="center"/>
              <w:rPr>
                <w:rFonts w:cs="Calibri"/>
                <w:iCs/>
                <w:color w:val="000000"/>
                <w:sz w:val="18"/>
                <w:szCs w:val="18"/>
              </w:rPr>
            </w:pPr>
          </w:p>
        </w:tc>
      </w:tr>
      <w:tr w:rsidR="00FD6F91" w:rsidRPr="00847FAE" w14:paraId="0A2B68D5" w14:textId="77777777" w:rsidTr="001F1F60">
        <w:trPr>
          <w:cantSplit/>
          <w:trHeight w:val="227"/>
        </w:trPr>
        <w:tc>
          <w:tcPr>
            <w:tcW w:w="3119" w:type="dxa"/>
            <w:gridSpan w:val="4"/>
            <w:tcBorders>
              <w:top w:val="nil"/>
              <w:left w:val="nil"/>
              <w:bottom w:val="nil"/>
              <w:right w:val="nil"/>
            </w:tcBorders>
            <w:noWrap/>
          </w:tcPr>
          <w:p w14:paraId="6C66DC30"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411A1A0B" w14:textId="77777777" w:rsidR="00FD6F91" w:rsidRPr="00847FAE" w:rsidRDefault="00FD6F91" w:rsidP="00FD6F91">
            <w:pPr>
              <w:jc w:val="center"/>
              <w:rPr>
                <w:rFonts w:cs="Calibri"/>
                <w:color w:val="000000"/>
                <w:sz w:val="18"/>
                <w:szCs w:val="18"/>
              </w:rPr>
            </w:pPr>
            <w:r w:rsidRPr="00847FAE">
              <w:rPr>
                <w:rFonts w:cs="Calibri"/>
                <w:color w:val="000000"/>
                <w:sz w:val="18"/>
                <w:szCs w:val="18"/>
              </w:rPr>
              <w:t>1,584</w:t>
            </w:r>
          </w:p>
        </w:tc>
        <w:tc>
          <w:tcPr>
            <w:tcW w:w="992" w:type="dxa"/>
            <w:tcBorders>
              <w:top w:val="nil"/>
              <w:left w:val="nil"/>
              <w:bottom w:val="nil"/>
              <w:right w:val="nil"/>
            </w:tcBorders>
            <w:noWrap/>
            <w:vAlign w:val="center"/>
          </w:tcPr>
          <w:p w14:paraId="2165F489" w14:textId="77777777" w:rsidR="00FD6F91" w:rsidRPr="00847FAE" w:rsidRDefault="00FD6F91" w:rsidP="00FD6F91">
            <w:pPr>
              <w:jc w:val="center"/>
              <w:rPr>
                <w:rFonts w:cs="Calibri"/>
                <w:color w:val="000000"/>
                <w:sz w:val="18"/>
                <w:szCs w:val="18"/>
              </w:rPr>
            </w:pPr>
            <w:r w:rsidRPr="00847FAE">
              <w:rPr>
                <w:rFonts w:cs="Calibri"/>
                <w:color w:val="000000"/>
                <w:sz w:val="18"/>
                <w:szCs w:val="18"/>
              </w:rPr>
              <w:t>1,500</w:t>
            </w:r>
          </w:p>
        </w:tc>
        <w:tc>
          <w:tcPr>
            <w:tcW w:w="992" w:type="dxa"/>
            <w:tcBorders>
              <w:top w:val="nil"/>
              <w:left w:val="nil"/>
              <w:bottom w:val="nil"/>
              <w:right w:val="nil"/>
            </w:tcBorders>
            <w:noWrap/>
            <w:vAlign w:val="center"/>
          </w:tcPr>
          <w:p w14:paraId="5F62EBC2" w14:textId="77777777" w:rsidR="00FD6F91" w:rsidRPr="00847FAE" w:rsidRDefault="00FD6F91" w:rsidP="00FD6F91">
            <w:pPr>
              <w:jc w:val="center"/>
              <w:rPr>
                <w:rFonts w:cs="Calibri"/>
                <w:color w:val="000000"/>
                <w:sz w:val="18"/>
                <w:szCs w:val="18"/>
              </w:rPr>
            </w:pPr>
            <w:r w:rsidRPr="00847FAE">
              <w:rPr>
                <w:rFonts w:cs="Calibri"/>
                <w:color w:val="000000"/>
                <w:sz w:val="18"/>
                <w:szCs w:val="18"/>
              </w:rPr>
              <w:t>1,577</w:t>
            </w:r>
          </w:p>
        </w:tc>
        <w:tc>
          <w:tcPr>
            <w:tcW w:w="992" w:type="dxa"/>
            <w:tcBorders>
              <w:top w:val="nil"/>
              <w:left w:val="nil"/>
              <w:bottom w:val="nil"/>
              <w:right w:val="nil"/>
            </w:tcBorders>
            <w:noWrap/>
            <w:vAlign w:val="center"/>
          </w:tcPr>
          <w:p w14:paraId="70FB4FF5" w14:textId="77777777" w:rsidR="00FD6F91" w:rsidRPr="00847FAE" w:rsidRDefault="00FD6F91" w:rsidP="00FD6F91">
            <w:pPr>
              <w:jc w:val="center"/>
              <w:rPr>
                <w:rFonts w:cs="Calibri"/>
                <w:color w:val="000000"/>
                <w:sz w:val="18"/>
                <w:szCs w:val="18"/>
              </w:rPr>
            </w:pPr>
            <w:r w:rsidRPr="00847FAE">
              <w:rPr>
                <w:rFonts w:cs="Calibri"/>
                <w:color w:val="000000"/>
                <w:sz w:val="18"/>
                <w:szCs w:val="18"/>
              </w:rPr>
              <w:t>1,561</w:t>
            </w:r>
          </w:p>
        </w:tc>
        <w:tc>
          <w:tcPr>
            <w:tcW w:w="992" w:type="dxa"/>
            <w:tcBorders>
              <w:top w:val="nil"/>
              <w:left w:val="nil"/>
              <w:bottom w:val="nil"/>
              <w:right w:val="nil"/>
            </w:tcBorders>
            <w:noWrap/>
            <w:vAlign w:val="center"/>
          </w:tcPr>
          <w:p w14:paraId="74376C14" w14:textId="77777777" w:rsidR="00FD6F91" w:rsidRPr="00847FAE" w:rsidRDefault="00FD6F91" w:rsidP="00FD6F91">
            <w:pPr>
              <w:jc w:val="center"/>
              <w:rPr>
                <w:rFonts w:cs="Calibri"/>
                <w:color w:val="000000"/>
                <w:sz w:val="18"/>
                <w:szCs w:val="18"/>
              </w:rPr>
            </w:pPr>
            <w:r w:rsidRPr="000D3B2B">
              <w:rPr>
                <w:rFonts w:cs="Calibri"/>
                <w:color w:val="000000"/>
                <w:sz w:val="18"/>
                <w:szCs w:val="18"/>
              </w:rPr>
              <w:t>1,628</w:t>
            </w:r>
          </w:p>
        </w:tc>
        <w:tc>
          <w:tcPr>
            <w:tcW w:w="1135" w:type="dxa"/>
            <w:tcBorders>
              <w:top w:val="nil"/>
              <w:left w:val="nil"/>
              <w:bottom w:val="nil"/>
              <w:right w:val="nil"/>
            </w:tcBorders>
            <w:noWrap/>
            <w:vAlign w:val="center"/>
          </w:tcPr>
          <w:p w14:paraId="0D3A21B2" w14:textId="77777777" w:rsidR="00FD6F91" w:rsidRPr="00847FAE" w:rsidRDefault="00FD6F91" w:rsidP="00FD6F91">
            <w:pPr>
              <w:jc w:val="center"/>
              <w:rPr>
                <w:rFonts w:cs="Calibri"/>
                <w:color w:val="000000"/>
                <w:sz w:val="18"/>
                <w:szCs w:val="18"/>
              </w:rPr>
            </w:pPr>
            <w:r w:rsidRPr="00847FAE">
              <w:rPr>
                <w:rFonts w:cs="Calibri"/>
                <w:color w:val="000000"/>
                <w:sz w:val="18"/>
                <w:szCs w:val="18"/>
              </w:rPr>
              <w:t>4.3%</w:t>
            </w:r>
          </w:p>
        </w:tc>
      </w:tr>
      <w:tr w:rsidR="00FD6F91" w:rsidRPr="00847FAE" w14:paraId="01BFFCB7" w14:textId="77777777" w:rsidTr="001F1F60">
        <w:trPr>
          <w:cantSplit/>
          <w:trHeight w:val="227"/>
        </w:trPr>
        <w:tc>
          <w:tcPr>
            <w:tcW w:w="3119" w:type="dxa"/>
            <w:gridSpan w:val="4"/>
            <w:tcBorders>
              <w:top w:val="nil"/>
              <w:left w:val="nil"/>
              <w:bottom w:val="nil"/>
              <w:right w:val="nil"/>
            </w:tcBorders>
            <w:noWrap/>
          </w:tcPr>
          <w:p w14:paraId="3E616B93"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3A68C915" w14:textId="77777777" w:rsidR="00FD6F91" w:rsidRPr="00847FAE" w:rsidRDefault="00FD6F91" w:rsidP="00FD6F91">
            <w:pPr>
              <w:jc w:val="center"/>
              <w:rPr>
                <w:rFonts w:cs="Calibri"/>
                <w:color w:val="000000"/>
                <w:sz w:val="18"/>
                <w:szCs w:val="18"/>
              </w:rPr>
            </w:pPr>
            <w:r w:rsidRPr="00847FAE">
              <w:rPr>
                <w:rFonts w:cs="Calibri"/>
                <w:color w:val="000000"/>
                <w:sz w:val="18"/>
                <w:szCs w:val="18"/>
              </w:rPr>
              <w:t>1,554</w:t>
            </w:r>
          </w:p>
        </w:tc>
        <w:tc>
          <w:tcPr>
            <w:tcW w:w="992" w:type="dxa"/>
            <w:tcBorders>
              <w:top w:val="nil"/>
              <w:left w:val="nil"/>
              <w:bottom w:val="nil"/>
              <w:right w:val="nil"/>
            </w:tcBorders>
            <w:noWrap/>
            <w:vAlign w:val="center"/>
          </w:tcPr>
          <w:p w14:paraId="60F70CEF" w14:textId="77777777" w:rsidR="00FD6F91" w:rsidRPr="00847FAE" w:rsidRDefault="00FD6F91" w:rsidP="00FD6F91">
            <w:pPr>
              <w:jc w:val="center"/>
              <w:rPr>
                <w:rFonts w:cs="Calibri"/>
                <w:color w:val="000000"/>
                <w:sz w:val="18"/>
                <w:szCs w:val="18"/>
              </w:rPr>
            </w:pPr>
            <w:r w:rsidRPr="00847FAE">
              <w:rPr>
                <w:rFonts w:cs="Calibri"/>
                <w:color w:val="000000"/>
                <w:sz w:val="18"/>
                <w:szCs w:val="18"/>
              </w:rPr>
              <w:t>1,475</w:t>
            </w:r>
          </w:p>
        </w:tc>
        <w:tc>
          <w:tcPr>
            <w:tcW w:w="992" w:type="dxa"/>
            <w:tcBorders>
              <w:top w:val="nil"/>
              <w:left w:val="nil"/>
              <w:bottom w:val="nil"/>
              <w:right w:val="nil"/>
            </w:tcBorders>
            <w:noWrap/>
            <w:vAlign w:val="center"/>
          </w:tcPr>
          <w:p w14:paraId="00B812A8" w14:textId="77777777" w:rsidR="00FD6F91" w:rsidRPr="00847FAE" w:rsidRDefault="00FD6F91" w:rsidP="00FD6F91">
            <w:pPr>
              <w:jc w:val="center"/>
              <w:rPr>
                <w:rFonts w:cs="Calibri"/>
                <w:color w:val="000000"/>
                <w:sz w:val="18"/>
                <w:szCs w:val="18"/>
              </w:rPr>
            </w:pPr>
            <w:r w:rsidRPr="00847FAE">
              <w:rPr>
                <w:rFonts w:cs="Calibri"/>
                <w:color w:val="000000"/>
                <w:sz w:val="18"/>
                <w:szCs w:val="18"/>
              </w:rPr>
              <w:t>1,517</w:t>
            </w:r>
          </w:p>
        </w:tc>
        <w:tc>
          <w:tcPr>
            <w:tcW w:w="992" w:type="dxa"/>
            <w:tcBorders>
              <w:top w:val="nil"/>
              <w:left w:val="nil"/>
              <w:bottom w:val="nil"/>
              <w:right w:val="nil"/>
            </w:tcBorders>
            <w:noWrap/>
            <w:vAlign w:val="center"/>
          </w:tcPr>
          <w:p w14:paraId="30B064BD" w14:textId="77777777" w:rsidR="00FD6F91" w:rsidRPr="00847FAE" w:rsidRDefault="00FD6F91" w:rsidP="00FD6F91">
            <w:pPr>
              <w:jc w:val="center"/>
              <w:rPr>
                <w:rFonts w:cs="Calibri"/>
                <w:color w:val="000000"/>
                <w:sz w:val="18"/>
                <w:szCs w:val="18"/>
              </w:rPr>
            </w:pPr>
            <w:r w:rsidRPr="00847FAE">
              <w:rPr>
                <w:rFonts w:cs="Calibri"/>
                <w:color w:val="000000"/>
                <w:sz w:val="18"/>
                <w:szCs w:val="18"/>
              </w:rPr>
              <w:t>1,476</w:t>
            </w:r>
          </w:p>
        </w:tc>
        <w:tc>
          <w:tcPr>
            <w:tcW w:w="992" w:type="dxa"/>
            <w:tcBorders>
              <w:top w:val="nil"/>
              <w:left w:val="nil"/>
              <w:bottom w:val="nil"/>
              <w:right w:val="nil"/>
            </w:tcBorders>
            <w:noWrap/>
            <w:vAlign w:val="center"/>
          </w:tcPr>
          <w:p w14:paraId="7A1578DB" w14:textId="77777777" w:rsidR="00FD6F91" w:rsidRPr="00847FAE" w:rsidRDefault="00FD6F91" w:rsidP="00FD6F91">
            <w:pPr>
              <w:jc w:val="center"/>
              <w:rPr>
                <w:rFonts w:cs="Calibri"/>
                <w:color w:val="000000"/>
                <w:sz w:val="18"/>
                <w:szCs w:val="18"/>
              </w:rPr>
            </w:pPr>
            <w:r w:rsidRPr="00847FAE">
              <w:rPr>
                <w:rFonts w:cs="Calibri"/>
                <w:color w:val="000000"/>
                <w:sz w:val="18"/>
                <w:szCs w:val="18"/>
              </w:rPr>
              <w:t>1,588</w:t>
            </w:r>
          </w:p>
        </w:tc>
        <w:tc>
          <w:tcPr>
            <w:tcW w:w="1135" w:type="dxa"/>
            <w:tcBorders>
              <w:top w:val="nil"/>
              <w:left w:val="nil"/>
              <w:bottom w:val="nil"/>
              <w:right w:val="nil"/>
            </w:tcBorders>
            <w:noWrap/>
            <w:vAlign w:val="center"/>
          </w:tcPr>
          <w:p w14:paraId="24CA58DE" w14:textId="77777777" w:rsidR="00FD6F91" w:rsidRPr="00847FAE" w:rsidRDefault="00FD6F91" w:rsidP="00FD6F91">
            <w:pPr>
              <w:jc w:val="center"/>
              <w:rPr>
                <w:rFonts w:cs="Calibri"/>
                <w:color w:val="000000"/>
                <w:sz w:val="18"/>
                <w:szCs w:val="18"/>
              </w:rPr>
            </w:pPr>
            <w:r w:rsidRPr="00847FAE">
              <w:rPr>
                <w:rFonts w:cs="Calibri"/>
                <w:color w:val="000000"/>
                <w:sz w:val="18"/>
                <w:szCs w:val="18"/>
              </w:rPr>
              <w:t>7.6%</w:t>
            </w:r>
          </w:p>
        </w:tc>
      </w:tr>
      <w:tr w:rsidR="00FD6F91" w:rsidRPr="00847FAE" w14:paraId="2514D2DD"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3D4EB792"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Traffic and other offences</w:t>
            </w:r>
          </w:p>
        </w:tc>
        <w:tc>
          <w:tcPr>
            <w:tcW w:w="992" w:type="dxa"/>
            <w:tcBorders>
              <w:top w:val="nil"/>
              <w:left w:val="nil"/>
              <w:bottom w:val="nil"/>
              <w:right w:val="nil"/>
            </w:tcBorders>
            <w:shd w:val="clear" w:color="auto" w:fill="D9D9D9" w:themeFill="background1" w:themeFillShade="D9"/>
            <w:noWrap/>
            <w:vAlign w:val="center"/>
          </w:tcPr>
          <w:p w14:paraId="0FE533A3"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6FAA54A"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38A4071D"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07B1A759"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56DC392" w14:textId="77777777" w:rsidR="00FD6F91" w:rsidRPr="00847FAE" w:rsidRDefault="00FD6F91" w:rsidP="00FD6F91">
            <w:pPr>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1EF48165" w14:textId="77777777" w:rsidR="00FD6F91" w:rsidRPr="00847FAE" w:rsidRDefault="00FD6F91" w:rsidP="00FD6F91">
            <w:pPr>
              <w:jc w:val="center"/>
              <w:rPr>
                <w:rFonts w:cs="Calibri"/>
                <w:iCs/>
                <w:color w:val="000000"/>
                <w:sz w:val="18"/>
                <w:szCs w:val="18"/>
              </w:rPr>
            </w:pPr>
          </w:p>
        </w:tc>
      </w:tr>
      <w:tr w:rsidR="00FD6F91" w:rsidRPr="00847FAE" w14:paraId="7E4F4650" w14:textId="77777777" w:rsidTr="001F1F60">
        <w:trPr>
          <w:cantSplit/>
          <w:trHeight w:val="227"/>
        </w:trPr>
        <w:tc>
          <w:tcPr>
            <w:tcW w:w="3119" w:type="dxa"/>
            <w:gridSpan w:val="4"/>
            <w:tcBorders>
              <w:top w:val="nil"/>
              <w:left w:val="nil"/>
              <w:bottom w:val="nil"/>
              <w:right w:val="nil"/>
            </w:tcBorders>
            <w:noWrap/>
          </w:tcPr>
          <w:p w14:paraId="2AEA3397"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75C9F062" w14:textId="77777777" w:rsidR="00FD6F91" w:rsidRPr="00847FAE" w:rsidRDefault="00FD6F91" w:rsidP="00FD6F91">
            <w:pPr>
              <w:jc w:val="center"/>
              <w:rPr>
                <w:rFonts w:cs="Calibri"/>
                <w:color w:val="000000"/>
                <w:sz w:val="18"/>
                <w:szCs w:val="18"/>
              </w:rPr>
            </w:pPr>
            <w:r w:rsidRPr="00847FAE">
              <w:rPr>
                <w:rFonts w:cs="Calibri"/>
                <w:color w:val="000000"/>
                <w:sz w:val="18"/>
                <w:szCs w:val="18"/>
              </w:rPr>
              <w:t>6,918</w:t>
            </w:r>
          </w:p>
        </w:tc>
        <w:tc>
          <w:tcPr>
            <w:tcW w:w="992" w:type="dxa"/>
            <w:tcBorders>
              <w:top w:val="nil"/>
              <w:left w:val="nil"/>
              <w:bottom w:val="nil"/>
              <w:right w:val="nil"/>
            </w:tcBorders>
            <w:noWrap/>
            <w:vAlign w:val="center"/>
          </w:tcPr>
          <w:p w14:paraId="5F17D935" w14:textId="77777777" w:rsidR="00FD6F91" w:rsidRPr="00847FAE" w:rsidRDefault="00FD6F91" w:rsidP="00FD6F91">
            <w:pPr>
              <w:jc w:val="center"/>
              <w:rPr>
                <w:rFonts w:cs="Calibri"/>
                <w:color w:val="000000"/>
                <w:sz w:val="18"/>
                <w:szCs w:val="18"/>
              </w:rPr>
            </w:pPr>
            <w:r w:rsidRPr="00847FAE">
              <w:rPr>
                <w:rFonts w:cs="Calibri"/>
                <w:color w:val="000000"/>
                <w:sz w:val="18"/>
                <w:szCs w:val="18"/>
              </w:rPr>
              <w:t>8,062</w:t>
            </w:r>
          </w:p>
        </w:tc>
        <w:tc>
          <w:tcPr>
            <w:tcW w:w="992" w:type="dxa"/>
            <w:tcBorders>
              <w:top w:val="nil"/>
              <w:left w:val="nil"/>
              <w:bottom w:val="nil"/>
              <w:right w:val="nil"/>
            </w:tcBorders>
            <w:noWrap/>
            <w:vAlign w:val="center"/>
          </w:tcPr>
          <w:p w14:paraId="30F4BEF7" w14:textId="77777777" w:rsidR="00FD6F91" w:rsidRPr="00847FAE" w:rsidRDefault="00FD6F91" w:rsidP="00FD6F91">
            <w:pPr>
              <w:jc w:val="center"/>
              <w:rPr>
                <w:rFonts w:cs="Calibri"/>
                <w:color w:val="000000"/>
                <w:sz w:val="18"/>
                <w:szCs w:val="18"/>
              </w:rPr>
            </w:pPr>
            <w:r w:rsidRPr="00847FAE">
              <w:rPr>
                <w:rFonts w:cs="Calibri"/>
                <w:color w:val="000000"/>
                <w:sz w:val="18"/>
                <w:szCs w:val="18"/>
              </w:rPr>
              <w:t>8,253</w:t>
            </w:r>
          </w:p>
        </w:tc>
        <w:tc>
          <w:tcPr>
            <w:tcW w:w="992" w:type="dxa"/>
            <w:tcBorders>
              <w:top w:val="nil"/>
              <w:left w:val="nil"/>
              <w:bottom w:val="nil"/>
              <w:right w:val="nil"/>
            </w:tcBorders>
            <w:noWrap/>
            <w:vAlign w:val="center"/>
          </w:tcPr>
          <w:p w14:paraId="384ED51C" w14:textId="77777777" w:rsidR="00FD6F91" w:rsidRPr="00847FAE" w:rsidRDefault="00FD6F91" w:rsidP="00FD6F91">
            <w:pPr>
              <w:jc w:val="center"/>
              <w:rPr>
                <w:rFonts w:cs="Calibri"/>
                <w:color w:val="000000"/>
                <w:sz w:val="18"/>
                <w:szCs w:val="18"/>
              </w:rPr>
            </w:pPr>
            <w:r w:rsidRPr="00847FAE">
              <w:rPr>
                <w:rFonts w:cs="Calibri"/>
                <w:color w:val="000000"/>
                <w:sz w:val="18"/>
                <w:szCs w:val="18"/>
              </w:rPr>
              <w:t>8,041</w:t>
            </w:r>
          </w:p>
        </w:tc>
        <w:tc>
          <w:tcPr>
            <w:tcW w:w="992" w:type="dxa"/>
            <w:tcBorders>
              <w:top w:val="nil"/>
              <w:left w:val="nil"/>
              <w:bottom w:val="nil"/>
              <w:right w:val="nil"/>
            </w:tcBorders>
            <w:noWrap/>
            <w:vAlign w:val="center"/>
          </w:tcPr>
          <w:p w14:paraId="435262AC" w14:textId="77777777" w:rsidR="00FD6F91" w:rsidRPr="00847FAE" w:rsidRDefault="00FD6F91" w:rsidP="00FD6F91">
            <w:pPr>
              <w:jc w:val="center"/>
              <w:rPr>
                <w:rFonts w:cs="Calibri"/>
                <w:color w:val="000000"/>
                <w:sz w:val="18"/>
                <w:szCs w:val="18"/>
              </w:rPr>
            </w:pPr>
            <w:r w:rsidRPr="00847FAE">
              <w:rPr>
                <w:rFonts w:cs="Calibri"/>
                <w:color w:val="000000"/>
                <w:sz w:val="18"/>
                <w:szCs w:val="18"/>
              </w:rPr>
              <w:t>7,616</w:t>
            </w:r>
          </w:p>
        </w:tc>
        <w:tc>
          <w:tcPr>
            <w:tcW w:w="1135" w:type="dxa"/>
            <w:tcBorders>
              <w:top w:val="nil"/>
              <w:left w:val="nil"/>
              <w:bottom w:val="nil"/>
              <w:right w:val="nil"/>
            </w:tcBorders>
            <w:noWrap/>
            <w:vAlign w:val="center"/>
          </w:tcPr>
          <w:p w14:paraId="4AA02F9C" w14:textId="77777777" w:rsidR="00FD6F91" w:rsidRPr="00847FAE" w:rsidRDefault="00FD6F91" w:rsidP="00FD6F91">
            <w:pPr>
              <w:jc w:val="center"/>
              <w:rPr>
                <w:rFonts w:cs="Calibri"/>
                <w:color w:val="000000"/>
                <w:sz w:val="18"/>
                <w:szCs w:val="18"/>
              </w:rPr>
            </w:pPr>
            <w:r w:rsidRPr="00847FAE">
              <w:rPr>
                <w:rFonts w:cs="Calibri"/>
                <w:color w:val="000000"/>
                <w:sz w:val="18"/>
                <w:szCs w:val="18"/>
              </w:rPr>
              <w:t>-5.3%</w:t>
            </w:r>
          </w:p>
        </w:tc>
      </w:tr>
      <w:tr w:rsidR="00FD6F91" w:rsidRPr="00847FAE" w14:paraId="6A2F5FAD" w14:textId="77777777" w:rsidTr="001F1F60">
        <w:trPr>
          <w:cantSplit/>
          <w:trHeight w:val="227"/>
        </w:trPr>
        <w:tc>
          <w:tcPr>
            <w:tcW w:w="3119" w:type="dxa"/>
            <w:gridSpan w:val="4"/>
            <w:tcBorders>
              <w:top w:val="nil"/>
              <w:left w:val="nil"/>
              <w:bottom w:val="nil"/>
              <w:right w:val="nil"/>
            </w:tcBorders>
            <w:noWrap/>
          </w:tcPr>
          <w:p w14:paraId="424978AD"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17A76A61" w14:textId="77777777" w:rsidR="00FD6F91" w:rsidRPr="00847FAE" w:rsidRDefault="00FD6F91" w:rsidP="00FD6F91">
            <w:pPr>
              <w:jc w:val="center"/>
              <w:rPr>
                <w:rFonts w:cs="Calibri"/>
                <w:color w:val="000000"/>
                <w:sz w:val="18"/>
                <w:szCs w:val="18"/>
              </w:rPr>
            </w:pPr>
            <w:r w:rsidRPr="00847FAE">
              <w:rPr>
                <w:rFonts w:cs="Calibri"/>
                <w:color w:val="000000"/>
                <w:sz w:val="18"/>
                <w:szCs w:val="18"/>
              </w:rPr>
              <w:t>6,504</w:t>
            </w:r>
          </w:p>
        </w:tc>
        <w:tc>
          <w:tcPr>
            <w:tcW w:w="992" w:type="dxa"/>
            <w:tcBorders>
              <w:top w:val="nil"/>
              <w:left w:val="nil"/>
              <w:bottom w:val="nil"/>
              <w:right w:val="nil"/>
            </w:tcBorders>
            <w:noWrap/>
            <w:vAlign w:val="center"/>
          </w:tcPr>
          <w:p w14:paraId="0CA8C370" w14:textId="77777777" w:rsidR="00FD6F91" w:rsidRPr="00847FAE" w:rsidRDefault="00FD6F91" w:rsidP="00FD6F91">
            <w:pPr>
              <w:jc w:val="center"/>
              <w:rPr>
                <w:rFonts w:cs="Calibri"/>
                <w:color w:val="000000"/>
                <w:sz w:val="18"/>
                <w:szCs w:val="18"/>
              </w:rPr>
            </w:pPr>
            <w:r w:rsidRPr="00847FAE">
              <w:rPr>
                <w:rFonts w:cs="Calibri"/>
                <w:color w:val="000000"/>
                <w:sz w:val="18"/>
                <w:szCs w:val="18"/>
              </w:rPr>
              <w:t>7,478</w:t>
            </w:r>
          </w:p>
        </w:tc>
        <w:tc>
          <w:tcPr>
            <w:tcW w:w="992" w:type="dxa"/>
            <w:tcBorders>
              <w:top w:val="nil"/>
              <w:left w:val="nil"/>
              <w:bottom w:val="nil"/>
              <w:right w:val="nil"/>
            </w:tcBorders>
            <w:noWrap/>
            <w:vAlign w:val="center"/>
          </w:tcPr>
          <w:p w14:paraId="415E5C01" w14:textId="77777777" w:rsidR="00FD6F91" w:rsidRPr="00847FAE" w:rsidRDefault="00FD6F91" w:rsidP="00FD6F91">
            <w:pPr>
              <w:jc w:val="center"/>
              <w:rPr>
                <w:rFonts w:cs="Calibri"/>
                <w:color w:val="000000"/>
                <w:sz w:val="18"/>
                <w:szCs w:val="18"/>
              </w:rPr>
            </w:pPr>
            <w:r w:rsidRPr="00847FAE">
              <w:rPr>
                <w:rFonts w:cs="Calibri"/>
                <w:color w:val="000000"/>
                <w:sz w:val="18"/>
                <w:szCs w:val="18"/>
              </w:rPr>
              <w:t>7,903</w:t>
            </w:r>
          </w:p>
        </w:tc>
        <w:tc>
          <w:tcPr>
            <w:tcW w:w="992" w:type="dxa"/>
            <w:tcBorders>
              <w:top w:val="nil"/>
              <w:left w:val="nil"/>
              <w:bottom w:val="nil"/>
              <w:right w:val="nil"/>
            </w:tcBorders>
            <w:noWrap/>
            <w:vAlign w:val="center"/>
          </w:tcPr>
          <w:p w14:paraId="5BFC74AB" w14:textId="77777777" w:rsidR="00FD6F91" w:rsidRPr="00847FAE" w:rsidRDefault="00FD6F91" w:rsidP="00FD6F91">
            <w:pPr>
              <w:jc w:val="center"/>
              <w:rPr>
                <w:rFonts w:cs="Calibri"/>
                <w:color w:val="000000"/>
                <w:sz w:val="18"/>
                <w:szCs w:val="18"/>
              </w:rPr>
            </w:pPr>
            <w:r w:rsidRPr="00847FAE">
              <w:rPr>
                <w:rFonts w:cs="Calibri"/>
                <w:color w:val="000000"/>
                <w:sz w:val="18"/>
                <w:szCs w:val="18"/>
              </w:rPr>
              <w:t>7,752</w:t>
            </w:r>
          </w:p>
        </w:tc>
        <w:tc>
          <w:tcPr>
            <w:tcW w:w="992" w:type="dxa"/>
            <w:tcBorders>
              <w:top w:val="nil"/>
              <w:left w:val="nil"/>
              <w:bottom w:val="nil"/>
              <w:right w:val="nil"/>
            </w:tcBorders>
            <w:noWrap/>
            <w:vAlign w:val="center"/>
          </w:tcPr>
          <w:p w14:paraId="7F14A9F2" w14:textId="77777777" w:rsidR="00FD6F91" w:rsidRPr="00847FAE" w:rsidRDefault="00FD6F91" w:rsidP="00FD6F91">
            <w:pPr>
              <w:jc w:val="center"/>
              <w:rPr>
                <w:rFonts w:cs="Calibri"/>
                <w:color w:val="000000"/>
                <w:sz w:val="18"/>
                <w:szCs w:val="18"/>
              </w:rPr>
            </w:pPr>
            <w:r w:rsidRPr="00847FAE">
              <w:rPr>
                <w:rFonts w:cs="Calibri"/>
                <w:color w:val="000000"/>
                <w:sz w:val="18"/>
                <w:szCs w:val="18"/>
              </w:rPr>
              <w:t>8,072</w:t>
            </w:r>
          </w:p>
        </w:tc>
        <w:tc>
          <w:tcPr>
            <w:tcW w:w="1135" w:type="dxa"/>
            <w:tcBorders>
              <w:top w:val="nil"/>
              <w:left w:val="nil"/>
              <w:bottom w:val="nil"/>
              <w:right w:val="nil"/>
            </w:tcBorders>
            <w:noWrap/>
            <w:vAlign w:val="center"/>
          </w:tcPr>
          <w:p w14:paraId="56C8A359" w14:textId="77777777" w:rsidR="00FD6F91" w:rsidRPr="00847FAE" w:rsidRDefault="00FD6F91" w:rsidP="00FD6F91">
            <w:pPr>
              <w:jc w:val="center"/>
              <w:rPr>
                <w:rFonts w:cs="Calibri"/>
                <w:color w:val="000000"/>
                <w:sz w:val="18"/>
                <w:szCs w:val="18"/>
              </w:rPr>
            </w:pPr>
            <w:r w:rsidRPr="00847FAE">
              <w:rPr>
                <w:rFonts w:cs="Calibri"/>
                <w:color w:val="000000"/>
                <w:sz w:val="18"/>
                <w:szCs w:val="18"/>
              </w:rPr>
              <w:t>4.1%</w:t>
            </w:r>
          </w:p>
        </w:tc>
      </w:tr>
      <w:tr w:rsidR="00FD6F91" w:rsidRPr="00847FAE" w14:paraId="62ECE32F"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36766197"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Justice procedure offences</w:t>
            </w:r>
          </w:p>
        </w:tc>
        <w:tc>
          <w:tcPr>
            <w:tcW w:w="992" w:type="dxa"/>
            <w:tcBorders>
              <w:top w:val="nil"/>
              <w:left w:val="nil"/>
              <w:bottom w:val="nil"/>
              <w:right w:val="nil"/>
            </w:tcBorders>
            <w:shd w:val="clear" w:color="auto" w:fill="D9D9D9" w:themeFill="background1" w:themeFillShade="D9"/>
            <w:noWrap/>
            <w:vAlign w:val="center"/>
          </w:tcPr>
          <w:p w14:paraId="768AAD5A"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1294B2F"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8361CB8"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7EF8A617"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2408CC19" w14:textId="77777777" w:rsidR="00FD6F91" w:rsidRPr="00847FAE" w:rsidRDefault="00FD6F91" w:rsidP="00FD6F91">
            <w:pPr>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008AABC9" w14:textId="77777777" w:rsidR="00FD6F91" w:rsidRPr="00847FAE" w:rsidRDefault="00FD6F91" w:rsidP="00FD6F91">
            <w:pPr>
              <w:jc w:val="center"/>
              <w:rPr>
                <w:rFonts w:cs="Calibri"/>
                <w:iCs/>
                <w:color w:val="000000"/>
                <w:sz w:val="18"/>
                <w:szCs w:val="18"/>
              </w:rPr>
            </w:pPr>
          </w:p>
        </w:tc>
      </w:tr>
      <w:tr w:rsidR="00FD6F91" w:rsidRPr="00847FAE" w14:paraId="4C5C81BF" w14:textId="77777777" w:rsidTr="001F1F60">
        <w:trPr>
          <w:cantSplit/>
          <w:trHeight w:val="227"/>
        </w:trPr>
        <w:tc>
          <w:tcPr>
            <w:tcW w:w="3119" w:type="dxa"/>
            <w:gridSpan w:val="4"/>
            <w:tcBorders>
              <w:top w:val="nil"/>
              <w:left w:val="nil"/>
              <w:bottom w:val="nil"/>
              <w:right w:val="nil"/>
            </w:tcBorders>
            <w:noWrap/>
          </w:tcPr>
          <w:p w14:paraId="34D45F83"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5260F6EF" w14:textId="77777777" w:rsidR="00FD6F91" w:rsidRPr="00847FAE" w:rsidRDefault="00FD6F91" w:rsidP="00FD6F91">
            <w:pPr>
              <w:jc w:val="center"/>
              <w:rPr>
                <w:rFonts w:cs="Calibri"/>
                <w:color w:val="000000"/>
                <w:sz w:val="18"/>
                <w:szCs w:val="18"/>
              </w:rPr>
            </w:pPr>
            <w:r w:rsidRPr="00847FAE">
              <w:rPr>
                <w:rFonts w:cs="Calibri"/>
                <w:color w:val="000000"/>
                <w:sz w:val="18"/>
                <w:szCs w:val="18"/>
              </w:rPr>
              <w:t>1,309</w:t>
            </w:r>
          </w:p>
        </w:tc>
        <w:tc>
          <w:tcPr>
            <w:tcW w:w="992" w:type="dxa"/>
            <w:tcBorders>
              <w:top w:val="nil"/>
              <w:left w:val="nil"/>
              <w:bottom w:val="nil"/>
              <w:right w:val="nil"/>
            </w:tcBorders>
            <w:noWrap/>
            <w:vAlign w:val="center"/>
          </w:tcPr>
          <w:p w14:paraId="6CEE2090" w14:textId="77777777" w:rsidR="00FD6F91" w:rsidRPr="00847FAE" w:rsidRDefault="00FD6F91" w:rsidP="00FD6F91">
            <w:pPr>
              <w:jc w:val="center"/>
              <w:rPr>
                <w:rFonts w:cs="Calibri"/>
                <w:color w:val="000000"/>
                <w:sz w:val="18"/>
                <w:szCs w:val="18"/>
              </w:rPr>
            </w:pPr>
            <w:r w:rsidRPr="00847FAE">
              <w:rPr>
                <w:rFonts w:cs="Calibri"/>
                <w:color w:val="000000"/>
                <w:sz w:val="18"/>
                <w:szCs w:val="18"/>
              </w:rPr>
              <w:t>1,291</w:t>
            </w:r>
          </w:p>
        </w:tc>
        <w:tc>
          <w:tcPr>
            <w:tcW w:w="992" w:type="dxa"/>
            <w:tcBorders>
              <w:top w:val="nil"/>
              <w:left w:val="nil"/>
              <w:bottom w:val="nil"/>
              <w:right w:val="nil"/>
            </w:tcBorders>
            <w:noWrap/>
            <w:vAlign w:val="center"/>
          </w:tcPr>
          <w:p w14:paraId="06642A2E" w14:textId="77777777" w:rsidR="00FD6F91" w:rsidRPr="00847FAE" w:rsidRDefault="00FD6F91" w:rsidP="00FD6F91">
            <w:pPr>
              <w:jc w:val="center"/>
              <w:rPr>
                <w:rFonts w:cs="Calibri"/>
                <w:color w:val="000000"/>
                <w:sz w:val="18"/>
                <w:szCs w:val="18"/>
              </w:rPr>
            </w:pPr>
            <w:r w:rsidRPr="00847FAE">
              <w:rPr>
                <w:rFonts w:cs="Calibri"/>
                <w:color w:val="000000"/>
                <w:sz w:val="18"/>
                <w:szCs w:val="18"/>
              </w:rPr>
              <w:t>1,576</w:t>
            </w:r>
          </w:p>
        </w:tc>
        <w:tc>
          <w:tcPr>
            <w:tcW w:w="992" w:type="dxa"/>
            <w:tcBorders>
              <w:top w:val="nil"/>
              <w:left w:val="nil"/>
              <w:bottom w:val="nil"/>
              <w:right w:val="nil"/>
            </w:tcBorders>
            <w:noWrap/>
            <w:vAlign w:val="center"/>
          </w:tcPr>
          <w:p w14:paraId="4BB2CF8C" w14:textId="77777777" w:rsidR="00FD6F91" w:rsidRPr="00847FAE" w:rsidRDefault="00FD6F91" w:rsidP="00FD6F91">
            <w:pPr>
              <w:jc w:val="center"/>
              <w:rPr>
                <w:rFonts w:cs="Calibri"/>
                <w:color w:val="000000"/>
                <w:sz w:val="18"/>
                <w:szCs w:val="18"/>
              </w:rPr>
            </w:pPr>
            <w:r w:rsidRPr="00847FAE">
              <w:rPr>
                <w:rFonts w:cs="Calibri"/>
                <w:color w:val="000000"/>
                <w:sz w:val="18"/>
                <w:szCs w:val="18"/>
              </w:rPr>
              <w:t>1,717</w:t>
            </w:r>
          </w:p>
        </w:tc>
        <w:tc>
          <w:tcPr>
            <w:tcW w:w="992" w:type="dxa"/>
            <w:tcBorders>
              <w:top w:val="nil"/>
              <w:left w:val="nil"/>
              <w:bottom w:val="nil"/>
              <w:right w:val="nil"/>
            </w:tcBorders>
            <w:noWrap/>
            <w:vAlign w:val="center"/>
          </w:tcPr>
          <w:p w14:paraId="25D1077A" w14:textId="77777777" w:rsidR="00FD6F91" w:rsidRPr="00847FAE" w:rsidRDefault="00FD6F91" w:rsidP="00FD6F91">
            <w:pPr>
              <w:jc w:val="center"/>
              <w:rPr>
                <w:rFonts w:cs="Calibri"/>
                <w:color w:val="000000"/>
                <w:sz w:val="18"/>
                <w:szCs w:val="18"/>
              </w:rPr>
            </w:pPr>
            <w:r w:rsidRPr="000D3B2B">
              <w:rPr>
                <w:rFonts w:cs="Calibri"/>
                <w:color w:val="000000"/>
                <w:sz w:val="18"/>
                <w:szCs w:val="18"/>
              </w:rPr>
              <w:t>1,656</w:t>
            </w:r>
          </w:p>
        </w:tc>
        <w:tc>
          <w:tcPr>
            <w:tcW w:w="1135" w:type="dxa"/>
            <w:tcBorders>
              <w:top w:val="nil"/>
              <w:left w:val="nil"/>
              <w:bottom w:val="nil"/>
              <w:right w:val="nil"/>
            </w:tcBorders>
            <w:noWrap/>
            <w:vAlign w:val="center"/>
          </w:tcPr>
          <w:p w14:paraId="5F189016" w14:textId="77777777" w:rsidR="00FD6F91" w:rsidRPr="00847FAE" w:rsidRDefault="00FD6F91" w:rsidP="00FD6F91">
            <w:pPr>
              <w:jc w:val="center"/>
              <w:rPr>
                <w:rFonts w:cs="Calibri"/>
                <w:color w:val="000000"/>
                <w:sz w:val="18"/>
                <w:szCs w:val="18"/>
              </w:rPr>
            </w:pPr>
            <w:r w:rsidRPr="00847FAE">
              <w:rPr>
                <w:rFonts w:cs="Calibri"/>
                <w:color w:val="000000"/>
                <w:sz w:val="18"/>
                <w:szCs w:val="18"/>
              </w:rPr>
              <w:t>-3.6%</w:t>
            </w:r>
          </w:p>
        </w:tc>
      </w:tr>
      <w:tr w:rsidR="00FD6F91" w:rsidRPr="00847FAE" w14:paraId="5B5C513C" w14:textId="77777777" w:rsidTr="001F1F60">
        <w:trPr>
          <w:cantSplit/>
          <w:trHeight w:val="227"/>
        </w:trPr>
        <w:tc>
          <w:tcPr>
            <w:tcW w:w="3119" w:type="dxa"/>
            <w:gridSpan w:val="4"/>
            <w:tcBorders>
              <w:top w:val="nil"/>
              <w:left w:val="nil"/>
              <w:bottom w:val="nil"/>
              <w:right w:val="nil"/>
            </w:tcBorders>
            <w:noWrap/>
          </w:tcPr>
          <w:p w14:paraId="13EA497E"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1E1216BB" w14:textId="77777777" w:rsidR="00FD6F91" w:rsidRPr="00847FAE" w:rsidRDefault="00FD6F91" w:rsidP="00FD6F91">
            <w:pPr>
              <w:jc w:val="center"/>
              <w:rPr>
                <w:rFonts w:cs="Calibri"/>
                <w:color w:val="000000"/>
                <w:sz w:val="18"/>
                <w:szCs w:val="18"/>
              </w:rPr>
            </w:pPr>
            <w:r w:rsidRPr="00847FAE">
              <w:rPr>
                <w:rFonts w:cs="Calibri"/>
                <w:color w:val="000000"/>
                <w:sz w:val="18"/>
                <w:szCs w:val="18"/>
              </w:rPr>
              <w:t>1,228</w:t>
            </w:r>
          </w:p>
        </w:tc>
        <w:tc>
          <w:tcPr>
            <w:tcW w:w="992" w:type="dxa"/>
            <w:tcBorders>
              <w:top w:val="nil"/>
              <w:left w:val="nil"/>
              <w:bottom w:val="nil"/>
              <w:right w:val="nil"/>
            </w:tcBorders>
            <w:noWrap/>
            <w:vAlign w:val="center"/>
          </w:tcPr>
          <w:p w14:paraId="36FEC100" w14:textId="77777777" w:rsidR="00FD6F91" w:rsidRPr="00847FAE" w:rsidRDefault="00FD6F91" w:rsidP="00FD6F91">
            <w:pPr>
              <w:jc w:val="center"/>
              <w:rPr>
                <w:rFonts w:cs="Calibri"/>
                <w:color w:val="000000"/>
                <w:sz w:val="18"/>
                <w:szCs w:val="18"/>
              </w:rPr>
            </w:pPr>
            <w:r w:rsidRPr="00847FAE">
              <w:rPr>
                <w:rFonts w:cs="Calibri"/>
                <w:color w:val="000000"/>
                <w:sz w:val="18"/>
                <w:szCs w:val="18"/>
              </w:rPr>
              <w:t>1,216</w:t>
            </w:r>
          </w:p>
        </w:tc>
        <w:tc>
          <w:tcPr>
            <w:tcW w:w="992" w:type="dxa"/>
            <w:tcBorders>
              <w:top w:val="nil"/>
              <w:left w:val="nil"/>
              <w:bottom w:val="nil"/>
              <w:right w:val="nil"/>
            </w:tcBorders>
            <w:noWrap/>
            <w:vAlign w:val="center"/>
          </w:tcPr>
          <w:p w14:paraId="663EF843" w14:textId="77777777" w:rsidR="00FD6F91" w:rsidRPr="00847FAE" w:rsidRDefault="00FD6F91" w:rsidP="00FD6F91">
            <w:pPr>
              <w:jc w:val="center"/>
              <w:rPr>
                <w:rFonts w:cs="Calibri"/>
                <w:color w:val="000000"/>
                <w:sz w:val="18"/>
                <w:szCs w:val="18"/>
              </w:rPr>
            </w:pPr>
            <w:r w:rsidRPr="00847FAE">
              <w:rPr>
                <w:rFonts w:cs="Calibri"/>
                <w:color w:val="000000"/>
                <w:sz w:val="18"/>
                <w:szCs w:val="18"/>
              </w:rPr>
              <w:t>1,401</w:t>
            </w:r>
          </w:p>
        </w:tc>
        <w:tc>
          <w:tcPr>
            <w:tcW w:w="992" w:type="dxa"/>
            <w:tcBorders>
              <w:top w:val="nil"/>
              <w:left w:val="nil"/>
              <w:bottom w:val="nil"/>
              <w:right w:val="nil"/>
            </w:tcBorders>
            <w:noWrap/>
            <w:vAlign w:val="center"/>
          </w:tcPr>
          <w:p w14:paraId="18C70553" w14:textId="77777777" w:rsidR="00FD6F91" w:rsidRPr="00847FAE" w:rsidRDefault="00FD6F91" w:rsidP="00FD6F91">
            <w:pPr>
              <w:jc w:val="center"/>
              <w:rPr>
                <w:rFonts w:cs="Calibri"/>
                <w:color w:val="000000"/>
                <w:sz w:val="18"/>
                <w:szCs w:val="18"/>
              </w:rPr>
            </w:pPr>
            <w:r w:rsidRPr="00847FAE">
              <w:rPr>
                <w:rFonts w:cs="Calibri"/>
                <w:color w:val="000000"/>
                <w:sz w:val="18"/>
                <w:szCs w:val="18"/>
              </w:rPr>
              <w:t>1,582</w:t>
            </w:r>
          </w:p>
        </w:tc>
        <w:tc>
          <w:tcPr>
            <w:tcW w:w="992" w:type="dxa"/>
            <w:tcBorders>
              <w:top w:val="nil"/>
              <w:left w:val="nil"/>
              <w:bottom w:val="nil"/>
              <w:right w:val="nil"/>
            </w:tcBorders>
            <w:noWrap/>
            <w:vAlign w:val="center"/>
          </w:tcPr>
          <w:p w14:paraId="2623F29B" w14:textId="77777777" w:rsidR="00FD6F91" w:rsidRPr="00847FAE" w:rsidRDefault="00FD6F91" w:rsidP="00FD6F91">
            <w:pPr>
              <w:jc w:val="center"/>
              <w:rPr>
                <w:rFonts w:cs="Calibri"/>
                <w:color w:val="000000"/>
                <w:sz w:val="18"/>
                <w:szCs w:val="18"/>
              </w:rPr>
            </w:pPr>
            <w:r w:rsidRPr="00847FAE">
              <w:rPr>
                <w:rFonts w:cs="Calibri"/>
                <w:color w:val="000000"/>
                <w:sz w:val="18"/>
                <w:szCs w:val="18"/>
              </w:rPr>
              <w:t>1,690</w:t>
            </w:r>
          </w:p>
        </w:tc>
        <w:tc>
          <w:tcPr>
            <w:tcW w:w="1135" w:type="dxa"/>
            <w:tcBorders>
              <w:top w:val="nil"/>
              <w:left w:val="nil"/>
              <w:bottom w:val="nil"/>
              <w:right w:val="nil"/>
            </w:tcBorders>
            <w:noWrap/>
            <w:vAlign w:val="center"/>
          </w:tcPr>
          <w:p w14:paraId="4C1EF9A7" w14:textId="77777777" w:rsidR="00FD6F91" w:rsidRPr="00847FAE" w:rsidRDefault="00FD6F91" w:rsidP="00FD6F91">
            <w:pPr>
              <w:jc w:val="center"/>
              <w:rPr>
                <w:rFonts w:cs="Calibri"/>
                <w:color w:val="000000"/>
                <w:sz w:val="18"/>
                <w:szCs w:val="18"/>
              </w:rPr>
            </w:pPr>
            <w:r w:rsidRPr="00847FAE">
              <w:rPr>
                <w:rFonts w:cs="Calibri"/>
                <w:color w:val="000000"/>
                <w:sz w:val="18"/>
                <w:szCs w:val="18"/>
              </w:rPr>
              <w:t>6.8%</w:t>
            </w:r>
          </w:p>
        </w:tc>
      </w:tr>
      <w:tr w:rsidR="00FD6F91" w:rsidRPr="00847FAE" w14:paraId="56C510B4"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7FA55544"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Other offences</w:t>
            </w:r>
          </w:p>
        </w:tc>
        <w:tc>
          <w:tcPr>
            <w:tcW w:w="992" w:type="dxa"/>
            <w:tcBorders>
              <w:top w:val="nil"/>
              <w:left w:val="nil"/>
              <w:bottom w:val="nil"/>
              <w:right w:val="nil"/>
            </w:tcBorders>
            <w:shd w:val="clear" w:color="auto" w:fill="D9D9D9" w:themeFill="background1" w:themeFillShade="D9"/>
            <w:noWrap/>
            <w:vAlign w:val="center"/>
          </w:tcPr>
          <w:p w14:paraId="04C5162E"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17F09B96"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048D77CD"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239B0B0" w14:textId="77777777" w:rsidR="00FD6F91" w:rsidRPr="00847FAE" w:rsidRDefault="00FD6F91" w:rsidP="00FD6F91">
            <w:pPr>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3A3C3923" w14:textId="77777777" w:rsidR="00FD6F91" w:rsidRPr="00847FAE" w:rsidRDefault="00FD6F91" w:rsidP="00FD6F91">
            <w:pPr>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3368CE74" w14:textId="77777777" w:rsidR="00FD6F91" w:rsidRPr="00847FAE" w:rsidRDefault="00FD6F91" w:rsidP="00FD6F91">
            <w:pPr>
              <w:jc w:val="center"/>
              <w:rPr>
                <w:rFonts w:cs="Calibri"/>
                <w:iCs/>
                <w:color w:val="000000"/>
                <w:sz w:val="18"/>
                <w:szCs w:val="18"/>
              </w:rPr>
            </w:pPr>
          </w:p>
        </w:tc>
      </w:tr>
      <w:tr w:rsidR="00FD6F91" w:rsidRPr="00847FAE" w14:paraId="54DF7016" w14:textId="77777777" w:rsidTr="001F1F60">
        <w:trPr>
          <w:cantSplit/>
          <w:trHeight w:val="227"/>
        </w:trPr>
        <w:tc>
          <w:tcPr>
            <w:tcW w:w="3119" w:type="dxa"/>
            <w:gridSpan w:val="4"/>
            <w:tcBorders>
              <w:top w:val="nil"/>
              <w:left w:val="nil"/>
              <w:bottom w:val="nil"/>
              <w:right w:val="nil"/>
            </w:tcBorders>
            <w:noWrap/>
          </w:tcPr>
          <w:p w14:paraId="611EBE0D"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736DF1CE" w14:textId="77777777" w:rsidR="00FD6F91" w:rsidRPr="00847FAE" w:rsidRDefault="00FD6F91" w:rsidP="00FD6F91">
            <w:pPr>
              <w:jc w:val="center"/>
              <w:rPr>
                <w:sz w:val="18"/>
              </w:rPr>
            </w:pPr>
            <w:r w:rsidRPr="00847FAE">
              <w:rPr>
                <w:sz w:val="18"/>
              </w:rPr>
              <w:t>156</w:t>
            </w:r>
          </w:p>
        </w:tc>
        <w:tc>
          <w:tcPr>
            <w:tcW w:w="992" w:type="dxa"/>
            <w:tcBorders>
              <w:top w:val="nil"/>
              <w:left w:val="nil"/>
              <w:bottom w:val="nil"/>
              <w:right w:val="nil"/>
            </w:tcBorders>
            <w:noWrap/>
            <w:vAlign w:val="center"/>
          </w:tcPr>
          <w:p w14:paraId="5BE25A0E" w14:textId="77777777" w:rsidR="00FD6F91" w:rsidRPr="00847FAE" w:rsidRDefault="00FD6F91" w:rsidP="00FD6F91">
            <w:pPr>
              <w:jc w:val="center"/>
              <w:rPr>
                <w:sz w:val="18"/>
              </w:rPr>
            </w:pPr>
            <w:r w:rsidRPr="00847FAE">
              <w:rPr>
                <w:sz w:val="18"/>
              </w:rPr>
              <w:t>148</w:t>
            </w:r>
          </w:p>
        </w:tc>
        <w:tc>
          <w:tcPr>
            <w:tcW w:w="992" w:type="dxa"/>
            <w:tcBorders>
              <w:top w:val="nil"/>
              <w:left w:val="nil"/>
              <w:bottom w:val="nil"/>
              <w:right w:val="nil"/>
            </w:tcBorders>
            <w:noWrap/>
            <w:vAlign w:val="center"/>
          </w:tcPr>
          <w:p w14:paraId="15A5AC6C" w14:textId="77777777" w:rsidR="00FD6F91" w:rsidRPr="00847FAE" w:rsidRDefault="00FD6F91" w:rsidP="00FD6F91">
            <w:pPr>
              <w:jc w:val="center"/>
              <w:rPr>
                <w:sz w:val="18"/>
              </w:rPr>
            </w:pPr>
            <w:r w:rsidRPr="00847FAE">
              <w:rPr>
                <w:sz w:val="18"/>
              </w:rPr>
              <w:t>126</w:t>
            </w:r>
          </w:p>
        </w:tc>
        <w:tc>
          <w:tcPr>
            <w:tcW w:w="992" w:type="dxa"/>
            <w:tcBorders>
              <w:top w:val="nil"/>
              <w:left w:val="nil"/>
              <w:bottom w:val="nil"/>
              <w:right w:val="nil"/>
            </w:tcBorders>
            <w:noWrap/>
            <w:vAlign w:val="center"/>
          </w:tcPr>
          <w:p w14:paraId="0FD45CD7" w14:textId="77777777" w:rsidR="00FD6F91" w:rsidRPr="00847FAE" w:rsidRDefault="00FD6F91" w:rsidP="00FD6F91">
            <w:pPr>
              <w:jc w:val="center"/>
              <w:rPr>
                <w:sz w:val="18"/>
              </w:rPr>
            </w:pPr>
            <w:r w:rsidRPr="00847FAE">
              <w:rPr>
                <w:sz w:val="18"/>
              </w:rPr>
              <w:t>152</w:t>
            </w:r>
          </w:p>
        </w:tc>
        <w:tc>
          <w:tcPr>
            <w:tcW w:w="992" w:type="dxa"/>
            <w:tcBorders>
              <w:top w:val="nil"/>
              <w:left w:val="nil"/>
              <w:bottom w:val="nil"/>
              <w:right w:val="nil"/>
            </w:tcBorders>
            <w:noWrap/>
            <w:vAlign w:val="center"/>
          </w:tcPr>
          <w:p w14:paraId="60FA6105" w14:textId="77777777" w:rsidR="00FD6F91" w:rsidRPr="00847FAE" w:rsidRDefault="00FD6F91" w:rsidP="00FD6F91">
            <w:pPr>
              <w:jc w:val="center"/>
              <w:rPr>
                <w:sz w:val="18"/>
              </w:rPr>
            </w:pPr>
            <w:r w:rsidRPr="00847FAE">
              <w:rPr>
                <w:sz w:val="18"/>
              </w:rPr>
              <w:t>171</w:t>
            </w:r>
          </w:p>
        </w:tc>
        <w:tc>
          <w:tcPr>
            <w:tcW w:w="1135" w:type="dxa"/>
            <w:tcBorders>
              <w:top w:val="nil"/>
              <w:left w:val="nil"/>
              <w:bottom w:val="nil"/>
              <w:right w:val="nil"/>
            </w:tcBorders>
            <w:noWrap/>
            <w:vAlign w:val="center"/>
          </w:tcPr>
          <w:p w14:paraId="0068F083" w14:textId="77777777" w:rsidR="00FD6F91" w:rsidRPr="00847FAE" w:rsidRDefault="00FD6F91" w:rsidP="00FD6F91">
            <w:pPr>
              <w:jc w:val="center"/>
              <w:rPr>
                <w:sz w:val="18"/>
              </w:rPr>
            </w:pPr>
            <w:r w:rsidRPr="00847FAE">
              <w:rPr>
                <w:sz w:val="18"/>
              </w:rPr>
              <w:t>12.5%</w:t>
            </w:r>
          </w:p>
        </w:tc>
      </w:tr>
      <w:tr w:rsidR="00FD6F91" w:rsidRPr="00847FAE" w14:paraId="660DE295" w14:textId="77777777" w:rsidTr="001F1F60">
        <w:trPr>
          <w:cantSplit/>
          <w:trHeight w:val="227"/>
        </w:trPr>
        <w:tc>
          <w:tcPr>
            <w:tcW w:w="3119" w:type="dxa"/>
            <w:gridSpan w:val="4"/>
            <w:tcBorders>
              <w:top w:val="nil"/>
              <w:left w:val="nil"/>
              <w:bottom w:val="nil"/>
              <w:right w:val="nil"/>
            </w:tcBorders>
            <w:noWrap/>
          </w:tcPr>
          <w:p w14:paraId="1ADBD310"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7E3CD138" w14:textId="77777777" w:rsidR="00FD6F91" w:rsidRPr="00847FAE" w:rsidRDefault="00FD6F91" w:rsidP="00FD6F91">
            <w:pPr>
              <w:jc w:val="center"/>
              <w:rPr>
                <w:sz w:val="18"/>
              </w:rPr>
            </w:pPr>
            <w:r w:rsidRPr="00847FAE">
              <w:rPr>
                <w:sz w:val="18"/>
              </w:rPr>
              <w:t>145</w:t>
            </w:r>
          </w:p>
        </w:tc>
        <w:tc>
          <w:tcPr>
            <w:tcW w:w="992" w:type="dxa"/>
            <w:tcBorders>
              <w:top w:val="nil"/>
              <w:left w:val="nil"/>
              <w:bottom w:val="nil"/>
              <w:right w:val="nil"/>
            </w:tcBorders>
            <w:noWrap/>
            <w:vAlign w:val="center"/>
          </w:tcPr>
          <w:p w14:paraId="7E334B53" w14:textId="77777777" w:rsidR="00FD6F91" w:rsidRPr="00847FAE" w:rsidRDefault="00FD6F91" w:rsidP="00FD6F91">
            <w:pPr>
              <w:jc w:val="center"/>
              <w:rPr>
                <w:sz w:val="18"/>
              </w:rPr>
            </w:pPr>
            <w:r w:rsidRPr="00847FAE">
              <w:rPr>
                <w:sz w:val="18"/>
              </w:rPr>
              <w:t>125</w:t>
            </w:r>
          </w:p>
        </w:tc>
        <w:tc>
          <w:tcPr>
            <w:tcW w:w="992" w:type="dxa"/>
            <w:tcBorders>
              <w:top w:val="nil"/>
              <w:left w:val="nil"/>
              <w:bottom w:val="nil"/>
              <w:right w:val="nil"/>
            </w:tcBorders>
            <w:noWrap/>
            <w:vAlign w:val="center"/>
          </w:tcPr>
          <w:p w14:paraId="10DDA445" w14:textId="77777777" w:rsidR="00FD6F91" w:rsidRPr="00847FAE" w:rsidRDefault="00FD6F91" w:rsidP="00FD6F91">
            <w:pPr>
              <w:jc w:val="center"/>
              <w:rPr>
                <w:sz w:val="18"/>
              </w:rPr>
            </w:pPr>
            <w:r w:rsidRPr="00847FAE">
              <w:rPr>
                <w:sz w:val="18"/>
              </w:rPr>
              <w:t>123</w:t>
            </w:r>
          </w:p>
        </w:tc>
        <w:tc>
          <w:tcPr>
            <w:tcW w:w="992" w:type="dxa"/>
            <w:tcBorders>
              <w:top w:val="nil"/>
              <w:left w:val="nil"/>
              <w:bottom w:val="nil"/>
              <w:right w:val="nil"/>
            </w:tcBorders>
            <w:noWrap/>
            <w:vAlign w:val="center"/>
          </w:tcPr>
          <w:p w14:paraId="21F39AF3" w14:textId="77777777" w:rsidR="00FD6F91" w:rsidRPr="00847FAE" w:rsidRDefault="00FD6F91" w:rsidP="00FD6F91">
            <w:pPr>
              <w:jc w:val="center"/>
              <w:rPr>
                <w:sz w:val="18"/>
              </w:rPr>
            </w:pPr>
            <w:r w:rsidRPr="00847FAE">
              <w:rPr>
                <w:sz w:val="18"/>
              </w:rPr>
              <w:t>126</w:t>
            </w:r>
          </w:p>
        </w:tc>
        <w:tc>
          <w:tcPr>
            <w:tcW w:w="992" w:type="dxa"/>
            <w:tcBorders>
              <w:top w:val="nil"/>
              <w:left w:val="nil"/>
              <w:bottom w:val="nil"/>
              <w:right w:val="nil"/>
            </w:tcBorders>
            <w:noWrap/>
            <w:vAlign w:val="center"/>
          </w:tcPr>
          <w:p w14:paraId="198C1261" w14:textId="77777777" w:rsidR="00FD6F91" w:rsidRPr="00847FAE" w:rsidRDefault="00FD6F91" w:rsidP="00FD6F91">
            <w:pPr>
              <w:jc w:val="center"/>
              <w:rPr>
                <w:sz w:val="18"/>
              </w:rPr>
            </w:pPr>
            <w:r w:rsidRPr="00847FAE">
              <w:rPr>
                <w:sz w:val="18"/>
              </w:rPr>
              <w:t>157</w:t>
            </w:r>
          </w:p>
        </w:tc>
        <w:tc>
          <w:tcPr>
            <w:tcW w:w="1135" w:type="dxa"/>
            <w:tcBorders>
              <w:top w:val="nil"/>
              <w:left w:val="nil"/>
              <w:bottom w:val="nil"/>
              <w:right w:val="nil"/>
            </w:tcBorders>
            <w:noWrap/>
            <w:vAlign w:val="center"/>
          </w:tcPr>
          <w:p w14:paraId="2DA9CC43" w14:textId="77777777" w:rsidR="00FD6F91" w:rsidRPr="00847FAE" w:rsidRDefault="00FD6F91" w:rsidP="00FD6F91">
            <w:pPr>
              <w:jc w:val="center"/>
              <w:rPr>
                <w:sz w:val="18"/>
              </w:rPr>
            </w:pPr>
            <w:r w:rsidRPr="00847FAE">
              <w:rPr>
                <w:sz w:val="18"/>
              </w:rPr>
              <w:t>24.6%</w:t>
            </w:r>
          </w:p>
        </w:tc>
      </w:tr>
      <w:tr w:rsidR="00FD6F91" w:rsidRPr="00847FAE" w14:paraId="61653B59" w14:textId="77777777" w:rsidTr="001F1F60">
        <w:trPr>
          <w:cantSplit/>
          <w:trHeight w:val="227"/>
        </w:trPr>
        <w:tc>
          <w:tcPr>
            <w:tcW w:w="2127" w:type="dxa"/>
            <w:gridSpan w:val="3"/>
            <w:tcBorders>
              <w:top w:val="single" w:sz="4" w:space="0" w:color="auto"/>
              <w:left w:val="nil"/>
              <w:bottom w:val="single" w:sz="4" w:space="0" w:color="auto"/>
              <w:right w:val="nil"/>
            </w:tcBorders>
            <w:noWrap/>
            <w:vAlign w:val="center"/>
          </w:tcPr>
          <w:p w14:paraId="3DBA4978" w14:textId="77777777" w:rsidR="00FD6F91" w:rsidRPr="00847FAE" w:rsidRDefault="00FD6F91" w:rsidP="00FD6F91">
            <w:pPr>
              <w:widowControl w:val="0"/>
              <w:rPr>
                <w:rFonts w:cs="Calibri"/>
                <w:iCs/>
                <w:color w:val="000000"/>
                <w:sz w:val="18"/>
                <w:szCs w:val="18"/>
              </w:rPr>
            </w:pPr>
            <w:r w:rsidRPr="00847FAE">
              <w:rPr>
                <w:rFonts w:cs="Calibri"/>
                <w:color w:val="000000"/>
                <w:sz w:val="18"/>
                <w:szCs w:val="18"/>
              </w:rPr>
              <w:t xml:space="preserve">YOUTH JUSTICE </w:t>
            </w:r>
          </w:p>
        </w:tc>
        <w:tc>
          <w:tcPr>
            <w:tcW w:w="992" w:type="dxa"/>
            <w:tcBorders>
              <w:top w:val="single" w:sz="4" w:space="0" w:color="auto"/>
              <w:left w:val="nil"/>
              <w:bottom w:val="single" w:sz="4" w:space="0" w:color="auto"/>
              <w:right w:val="nil"/>
            </w:tcBorders>
            <w:noWrap/>
          </w:tcPr>
          <w:p w14:paraId="2EA1442E" w14:textId="77777777" w:rsidR="00FD6F91" w:rsidRPr="00847FAE" w:rsidRDefault="00FD6F91" w:rsidP="00FD6F91">
            <w:pPr>
              <w:widowControl w:val="0"/>
              <w:rPr>
                <w:rFonts w:cs="Calibri"/>
                <w:iCs/>
                <w:color w:val="000000"/>
                <w:sz w:val="18"/>
                <w:szCs w:val="18"/>
              </w:rPr>
            </w:pPr>
          </w:p>
        </w:tc>
        <w:tc>
          <w:tcPr>
            <w:tcW w:w="992" w:type="dxa"/>
            <w:tcBorders>
              <w:top w:val="single" w:sz="4" w:space="0" w:color="auto"/>
              <w:left w:val="nil"/>
              <w:bottom w:val="single" w:sz="4" w:space="0" w:color="auto"/>
              <w:right w:val="nil"/>
            </w:tcBorders>
            <w:noWrap/>
          </w:tcPr>
          <w:p w14:paraId="7BC16C67" w14:textId="77777777" w:rsidR="00FD6F91" w:rsidRPr="00847FAE" w:rsidRDefault="00FD6F91" w:rsidP="00FD6F91">
            <w:pPr>
              <w:widowControl w:val="0"/>
              <w:jc w:val="right"/>
              <w:rPr>
                <w:sz w:val="18"/>
                <w:szCs w:val="18"/>
              </w:rPr>
            </w:pPr>
          </w:p>
        </w:tc>
        <w:tc>
          <w:tcPr>
            <w:tcW w:w="992" w:type="dxa"/>
            <w:tcBorders>
              <w:top w:val="single" w:sz="4" w:space="0" w:color="auto"/>
              <w:left w:val="nil"/>
              <w:bottom w:val="single" w:sz="4" w:space="0" w:color="auto"/>
              <w:right w:val="nil"/>
            </w:tcBorders>
            <w:noWrap/>
          </w:tcPr>
          <w:p w14:paraId="4668A780" w14:textId="77777777" w:rsidR="00FD6F91" w:rsidRPr="00847FAE" w:rsidRDefault="00FD6F91" w:rsidP="00FD6F91">
            <w:pPr>
              <w:widowControl w:val="0"/>
              <w:jc w:val="right"/>
              <w:rPr>
                <w:sz w:val="18"/>
                <w:szCs w:val="18"/>
              </w:rPr>
            </w:pPr>
          </w:p>
        </w:tc>
        <w:tc>
          <w:tcPr>
            <w:tcW w:w="992" w:type="dxa"/>
            <w:tcBorders>
              <w:top w:val="single" w:sz="4" w:space="0" w:color="auto"/>
              <w:left w:val="nil"/>
              <w:bottom w:val="single" w:sz="4" w:space="0" w:color="auto"/>
              <w:right w:val="nil"/>
            </w:tcBorders>
            <w:noWrap/>
          </w:tcPr>
          <w:p w14:paraId="37EEAB8C" w14:textId="77777777" w:rsidR="00FD6F91" w:rsidRPr="00847FAE" w:rsidRDefault="00FD6F91" w:rsidP="00FD6F91">
            <w:pPr>
              <w:widowControl w:val="0"/>
              <w:jc w:val="right"/>
              <w:rPr>
                <w:sz w:val="18"/>
                <w:szCs w:val="18"/>
              </w:rPr>
            </w:pPr>
          </w:p>
        </w:tc>
        <w:tc>
          <w:tcPr>
            <w:tcW w:w="992" w:type="dxa"/>
            <w:tcBorders>
              <w:top w:val="single" w:sz="4" w:space="0" w:color="auto"/>
              <w:left w:val="nil"/>
              <w:bottom w:val="single" w:sz="4" w:space="0" w:color="auto"/>
              <w:right w:val="nil"/>
            </w:tcBorders>
            <w:noWrap/>
          </w:tcPr>
          <w:p w14:paraId="5A37EFBA" w14:textId="77777777" w:rsidR="00FD6F91" w:rsidRPr="00847FAE" w:rsidRDefault="00FD6F91" w:rsidP="00FD6F91">
            <w:pPr>
              <w:widowControl w:val="0"/>
              <w:jc w:val="right"/>
              <w:rPr>
                <w:sz w:val="18"/>
                <w:szCs w:val="18"/>
              </w:rPr>
            </w:pPr>
          </w:p>
        </w:tc>
        <w:tc>
          <w:tcPr>
            <w:tcW w:w="992" w:type="dxa"/>
            <w:tcBorders>
              <w:top w:val="single" w:sz="4" w:space="0" w:color="auto"/>
              <w:left w:val="nil"/>
              <w:bottom w:val="single" w:sz="4" w:space="0" w:color="auto"/>
              <w:right w:val="nil"/>
            </w:tcBorders>
            <w:noWrap/>
          </w:tcPr>
          <w:p w14:paraId="2EF4928E" w14:textId="77777777" w:rsidR="00FD6F91" w:rsidRPr="00847FAE" w:rsidRDefault="00FD6F91" w:rsidP="00FD6F91">
            <w:pPr>
              <w:widowControl w:val="0"/>
              <w:jc w:val="right"/>
              <w:rPr>
                <w:sz w:val="18"/>
                <w:szCs w:val="18"/>
              </w:rPr>
            </w:pPr>
          </w:p>
        </w:tc>
        <w:tc>
          <w:tcPr>
            <w:tcW w:w="1135" w:type="dxa"/>
            <w:tcBorders>
              <w:top w:val="single" w:sz="4" w:space="0" w:color="auto"/>
              <w:left w:val="nil"/>
              <w:bottom w:val="single" w:sz="4" w:space="0" w:color="auto"/>
              <w:right w:val="nil"/>
            </w:tcBorders>
            <w:noWrap/>
          </w:tcPr>
          <w:p w14:paraId="77A71F35" w14:textId="77777777" w:rsidR="00FD6F91" w:rsidRPr="00847FAE" w:rsidRDefault="00FD6F91" w:rsidP="00FD6F91">
            <w:pPr>
              <w:widowControl w:val="0"/>
              <w:jc w:val="center"/>
              <w:rPr>
                <w:sz w:val="18"/>
                <w:szCs w:val="18"/>
              </w:rPr>
            </w:pPr>
          </w:p>
        </w:tc>
      </w:tr>
      <w:tr w:rsidR="00FD6F91" w:rsidRPr="00847FAE" w14:paraId="0A8534A1" w14:textId="77777777" w:rsidTr="001F1F60">
        <w:trPr>
          <w:cantSplit/>
          <w:trHeight w:val="227"/>
        </w:trPr>
        <w:tc>
          <w:tcPr>
            <w:tcW w:w="3119" w:type="dxa"/>
            <w:gridSpan w:val="4"/>
            <w:tcBorders>
              <w:top w:val="single" w:sz="4" w:space="0" w:color="auto"/>
              <w:left w:val="nil"/>
              <w:bottom w:val="nil"/>
              <w:right w:val="nil"/>
            </w:tcBorders>
            <w:shd w:val="clear" w:color="auto" w:fill="D9D9D9" w:themeFill="background1" w:themeFillShade="D9"/>
            <w:noWrap/>
          </w:tcPr>
          <w:p w14:paraId="03A2B25B"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Crimes against the person</w:t>
            </w:r>
          </w:p>
        </w:tc>
        <w:tc>
          <w:tcPr>
            <w:tcW w:w="992" w:type="dxa"/>
            <w:tcBorders>
              <w:top w:val="single" w:sz="4" w:space="0" w:color="auto"/>
              <w:left w:val="nil"/>
              <w:bottom w:val="nil"/>
              <w:right w:val="nil"/>
            </w:tcBorders>
            <w:shd w:val="clear" w:color="auto" w:fill="D9D9D9" w:themeFill="background1" w:themeFillShade="D9"/>
            <w:noWrap/>
            <w:vAlign w:val="bottom"/>
          </w:tcPr>
          <w:p w14:paraId="13A10B8D" w14:textId="77777777" w:rsidR="00FD6F91" w:rsidRPr="00847FAE" w:rsidRDefault="00FD6F91" w:rsidP="00FD6F91">
            <w:pPr>
              <w:jc w:val="right"/>
              <w:rPr>
                <w:rFonts w:cs="Calibri"/>
                <w:iCs/>
                <w:color w:val="000000"/>
                <w:sz w:val="18"/>
              </w:rPr>
            </w:pPr>
          </w:p>
        </w:tc>
        <w:tc>
          <w:tcPr>
            <w:tcW w:w="992" w:type="dxa"/>
            <w:tcBorders>
              <w:top w:val="single" w:sz="4" w:space="0" w:color="auto"/>
              <w:left w:val="nil"/>
              <w:bottom w:val="nil"/>
              <w:right w:val="nil"/>
            </w:tcBorders>
            <w:shd w:val="clear" w:color="auto" w:fill="D9D9D9" w:themeFill="background1" w:themeFillShade="D9"/>
            <w:noWrap/>
            <w:vAlign w:val="bottom"/>
          </w:tcPr>
          <w:p w14:paraId="2444E66F" w14:textId="77777777" w:rsidR="00FD6F91" w:rsidRPr="00847FAE" w:rsidRDefault="00FD6F91" w:rsidP="00FD6F91">
            <w:pPr>
              <w:jc w:val="right"/>
              <w:rPr>
                <w:rFonts w:cs="Calibri"/>
                <w:iCs/>
                <w:color w:val="000000"/>
                <w:sz w:val="18"/>
              </w:rPr>
            </w:pPr>
          </w:p>
        </w:tc>
        <w:tc>
          <w:tcPr>
            <w:tcW w:w="992" w:type="dxa"/>
            <w:tcBorders>
              <w:top w:val="single" w:sz="4" w:space="0" w:color="auto"/>
              <w:left w:val="nil"/>
              <w:bottom w:val="nil"/>
              <w:right w:val="nil"/>
            </w:tcBorders>
            <w:shd w:val="clear" w:color="auto" w:fill="D9D9D9" w:themeFill="background1" w:themeFillShade="D9"/>
            <w:noWrap/>
            <w:vAlign w:val="bottom"/>
          </w:tcPr>
          <w:p w14:paraId="0248EB5F" w14:textId="77777777" w:rsidR="00FD6F91" w:rsidRPr="00847FAE" w:rsidRDefault="00FD6F91" w:rsidP="00FD6F91">
            <w:pPr>
              <w:jc w:val="right"/>
              <w:rPr>
                <w:rFonts w:cs="Calibri"/>
                <w:iCs/>
                <w:color w:val="000000"/>
                <w:sz w:val="18"/>
              </w:rPr>
            </w:pPr>
          </w:p>
        </w:tc>
        <w:tc>
          <w:tcPr>
            <w:tcW w:w="992" w:type="dxa"/>
            <w:tcBorders>
              <w:top w:val="single" w:sz="4" w:space="0" w:color="auto"/>
              <w:left w:val="nil"/>
              <w:bottom w:val="nil"/>
              <w:right w:val="nil"/>
            </w:tcBorders>
            <w:shd w:val="clear" w:color="auto" w:fill="D9D9D9" w:themeFill="background1" w:themeFillShade="D9"/>
            <w:noWrap/>
            <w:vAlign w:val="bottom"/>
          </w:tcPr>
          <w:p w14:paraId="427A5415" w14:textId="77777777" w:rsidR="00FD6F91" w:rsidRPr="00847FAE" w:rsidRDefault="00FD6F91" w:rsidP="00FD6F91">
            <w:pPr>
              <w:jc w:val="right"/>
              <w:rPr>
                <w:rFonts w:cs="Calibri"/>
                <w:iCs/>
                <w:color w:val="000000"/>
                <w:sz w:val="18"/>
              </w:rPr>
            </w:pPr>
          </w:p>
        </w:tc>
        <w:tc>
          <w:tcPr>
            <w:tcW w:w="992" w:type="dxa"/>
            <w:tcBorders>
              <w:top w:val="single" w:sz="4" w:space="0" w:color="auto"/>
              <w:left w:val="nil"/>
              <w:bottom w:val="nil"/>
              <w:right w:val="nil"/>
            </w:tcBorders>
            <w:shd w:val="clear" w:color="auto" w:fill="D9D9D9" w:themeFill="background1" w:themeFillShade="D9"/>
            <w:noWrap/>
            <w:vAlign w:val="bottom"/>
          </w:tcPr>
          <w:p w14:paraId="69F888CA" w14:textId="77777777" w:rsidR="00FD6F91" w:rsidRPr="00847FAE" w:rsidRDefault="00FD6F91" w:rsidP="00FD6F91">
            <w:pPr>
              <w:jc w:val="right"/>
              <w:rPr>
                <w:rFonts w:cs="Calibri"/>
                <w:iCs/>
                <w:color w:val="000000"/>
                <w:sz w:val="18"/>
              </w:rPr>
            </w:pPr>
          </w:p>
        </w:tc>
        <w:tc>
          <w:tcPr>
            <w:tcW w:w="1135" w:type="dxa"/>
            <w:tcBorders>
              <w:top w:val="single" w:sz="4" w:space="0" w:color="auto"/>
              <w:left w:val="nil"/>
              <w:bottom w:val="nil"/>
              <w:right w:val="nil"/>
            </w:tcBorders>
            <w:shd w:val="clear" w:color="auto" w:fill="D9D9D9" w:themeFill="background1" w:themeFillShade="D9"/>
            <w:noWrap/>
            <w:vAlign w:val="bottom"/>
          </w:tcPr>
          <w:p w14:paraId="7EA49215" w14:textId="77777777" w:rsidR="00FD6F91" w:rsidRPr="00847FAE" w:rsidRDefault="00FD6F91" w:rsidP="00FD6F91">
            <w:pPr>
              <w:jc w:val="center"/>
              <w:rPr>
                <w:rFonts w:cs="Calibri"/>
                <w:iCs/>
                <w:color w:val="000000"/>
                <w:sz w:val="18"/>
              </w:rPr>
            </w:pPr>
          </w:p>
        </w:tc>
      </w:tr>
      <w:tr w:rsidR="00FD6F91" w:rsidRPr="00847FAE" w14:paraId="3A7FB15E" w14:textId="77777777" w:rsidTr="001F1F60">
        <w:trPr>
          <w:cantSplit/>
          <w:trHeight w:val="227"/>
        </w:trPr>
        <w:tc>
          <w:tcPr>
            <w:tcW w:w="3119" w:type="dxa"/>
            <w:gridSpan w:val="4"/>
            <w:tcBorders>
              <w:top w:val="nil"/>
              <w:left w:val="nil"/>
              <w:bottom w:val="nil"/>
              <w:right w:val="nil"/>
            </w:tcBorders>
            <w:noWrap/>
          </w:tcPr>
          <w:p w14:paraId="3340C7DA"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573FB4FC" w14:textId="77777777" w:rsidR="00FD6F91" w:rsidRPr="00847FAE" w:rsidRDefault="00FD6F91" w:rsidP="00FD6F91">
            <w:pPr>
              <w:jc w:val="center"/>
              <w:rPr>
                <w:rFonts w:cs="Calibri"/>
                <w:color w:val="000000"/>
                <w:sz w:val="18"/>
                <w:szCs w:val="18"/>
              </w:rPr>
            </w:pPr>
            <w:r w:rsidRPr="00847FAE">
              <w:rPr>
                <w:rFonts w:cs="Calibri"/>
                <w:color w:val="000000"/>
                <w:sz w:val="18"/>
                <w:szCs w:val="18"/>
              </w:rPr>
              <w:t>302</w:t>
            </w:r>
          </w:p>
        </w:tc>
        <w:tc>
          <w:tcPr>
            <w:tcW w:w="992" w:type="dxa"/>
            <w:tcBorders>
              <w:top w:val="nil"/>
              <w:left w:val="nil"/>
              <w:bottom w:val="nil"/>
              <w:right w:val="nil"/>
            </w:tcBorders>
            <w:noWrap/>
            <w:vAlign w:val="center"/>
          </w:tcPr>
          <w:p w14:paraId="420F09A1" w14:textId="77777777" w:rsidR="00FD6F91" w:rsidRPr="00847FAE" w:rsidRDefault="00FD6F91" w:rsidP="00FD6F91">
            <w:pPr>
              <w:jc w:val="center"/>
              <w:rPr>
                <w:rFonts w:cs="Calibri"/>
                <w:color w:val="000000"/>
                <w:sz w:val="18"/>
                <w:szCs w:val="18"/>
              </w:rPr>
            </w:pPr>
            <w:r w:rsidRPr="00847FAE">
              <w:rPr>
                <w:rFonts w:cs="Calibri"/>
                <w:color w:val="000000"/>
                <w:sz w:val="18"/>
                <w:szCs w:val="18"/>
              </w:rPr>
              <w:t>275</w:t>
            </w:r>
          </w:p>
        </w:tc>
        <w:tc>
          <w:tcPr>
            <w:tcW w:w="992" w:type="dxa"/>
            <w:tcBorders>
              <w:top w:val="nil"/>
              <w:left w:val="nil"/>
              <w:bottom w:val="nil"/>
              <w:right w:val="nil"/>
            </w:tcBorders>
            <w:noWrap/>
            <w:vAlign w:val="center"/>
          </w:tcPr>
          <w:p w14:paraId="55F13669" w14:textId="77777777" w:rsidR="00FD6F91" w:rsidRPr="00847FAE" w:rsidRDefault="00FD6F91" w:rsidP="00FD6F91">
            <w:pPr>
              <w:jc w:val="center"/>
              <w:rPr>
                <w:rFonts w:cs="Calibri"/>
                <w:color w:val="000000"/>
                <w:sz w:val="18"/>
                <w:szCs w:val="18"/>
              </w:rPr>
            </w:pPr>
            <w:r w:rsidRPr="00847FAE">
              <w:rPr>
                <w:rFonts w:cs="Calibri"/>
                <w:color w:val="000000"/>
                <w:sz w:val="18"/>
                <w:szCs w:val="18"/>
              </w:rPr>
              <w:t>270</w:t>
            </w:r>
          </w:p>
        </w:tc>
        <w:tc>
          <w:tcPr>
            <w:tcW w:w="992" w:type="dxa"/>
            <w:tcBorders>
              <w:top w:val="nil"/>
              <w:left w:val="nil"/>
              <w:bottom w:val="nil"/>
              <w:right w:val="nil"/>
            </w:tcBorders>
            <w:noWrap/>
            <w:vAlign w:val="center"/>
          </w:tcPr>
          <w:p w14:paraId="21C13A94" w14:textId="77777777" w:rsidR="00FD6F91" w:rsidRPr="00847FAE" w:rsidRDefault="00FD6F91" w:rsidP="00FD6F91">
            <w:pPr>
              <w:jc w:val="center"/>
              <w:rPr>
                <w:rFonts w:cs="Calibri"/>
                <w:color w:val="000000"/>
                <w:sz w:val="18"/>
                <w:szCs w:val="18"/>
              </w:rPr>
            </w:pPr>
            <w:r w:rsidRPr="00847FAE">
              <w:rPr>
                <w:rFonts w:cs="Calibri"/>
                <w:color w:val="000000"/>
                <w:sz w:val="18"/>
                <w:szCs w:val="18"/>
              </w:rPr>
              <w:t>301</w:t>
            </w:r>
          </w:p>
        </w:tc>
        <w:tc>
          <w:tcPr>
            <w:tcW w:w="992" w:type="dxa"/>
            <w:tcBorders>
              <w:top w:val="nil"/>
              <w:left w:val="nil"/>
              <w:bottom w:val="nil"/>
              <w:right w:val="nil"/>
            </w:tcBorders>
            <w:noWrap/>
            <w:vAlign w:val="center"/>
          </w:tcPr>
          <w:p w14:paraId="0CF110D7" w14:textId="77777777" w:rsidR="00FD6F91" w:rsidRPr="00847FAE" w:rsidRDefault="00FD6F91" w:rsidP="00FD6F91">
            <w:pPr>
              <w:jc w:val="center"/>
              <w:rPr>
                <w:rFonts w:cs="Calibri"/>
                <w:color w:val="000000"/>
                <w:sz w:val="18"/>
                <w:szCs w:val="18"/>
              </w:rPr>
            </w:pPr>
            <w:r w:rsidRPr="00847FAE">
              <w:rPr>
                <w:rFonts w:cs="Calibri"/>
                <w:color w:val="000000"/>
                <w:sz w:val="18"/>
                <w:szCs w:val="18"/>
              </w:rPr>
              <w:t>362</w:t>
            </w:r>
          </w:p>
        </w:tc>
        <w:tc>
          <w:tcPr>
            <w:tcW w:w="1135" w:type="dxa"/>
            <w:tcBorders>
              <w:top w:val="nil"/>
              <w:left w:val="nil"/>
              <w:bottom w:val="nil"/>
              <w:right w:val="nil"/>
            </w:tcBorders>
            <w:noWrap/>
            <w:vAlign w:val="center"/>
          </w:tcPr>
          <w:p w14:paraId="171FD01D" w14:textId="77777777" w:rsidR="00FD6F91" w:rsidRPr="00847FAE" w:rsidRDefault="00FD6F91" w:rsidP="00FD6F91">
            <w:pPr>
              <w:jc w:val="center"/>
              <w:rPr>
                <w:rFonts w:cs="Calibri"/>
                <w:color w:val="000000"/>
                <w:sz w:val="18"/>
                <w:szCs w:val="18"/>
              </w:rPr>
            </w:pPr>
            <w:r w:rsidRPr="00847FAE">
              <w:rPr>
                <w:rFonts w:cs="Calibri"/>
                <w:color w:val="000000"/>
                <w:sz w:val="18"/>
                <w:szCs w:val="18"/>
              </w:rPr>
              <w:t>20.3%</w:t>
            </w:r>
          </w:p>
        </w:tc>
      </w:tr>
      <w:tr w:rsidR="00FD6F91" w:rsidRPr="00847FAE" w14:paraId="1D653EB2" w14:textId="77777777" w:rsidTr="001F1F60">
        <w:trPr>
          <w:cantSplit/>
          <w:trHeight w:val="227"/>
        </w:trPr>
        <w:tc>
          <w:tcPr>
            <w:tcW w:w="3119" w:type="dxa"/>
            <w:gridSpan w:val="4"/>
            <w:tcBorders>
              <w:top w:val="nil"/>
              <w:left w:val="nil"/>
              <w:bottom w:val="nil"/>
              <w:right w:val="nil"/>
            </w:tcBorders>
            <w:noWrap/>
          </w:tcPr>
          <w:p w14:paraId="4FC42BE7"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33D52512" w14:textId="77777777" w:rsidR="00FD6F91" w:rsidRPr="00847FAE" w:rsidRDefault="00FD6F91" w:rsidP="00FD6F91">
            <w:pPr>
              <w:jc w:val="center"/>
              <w:rPr>
                <w:rFonts w:cs="Calibri"/>
                <w:color w:val="000000"/>
                <w:sz w:val="18"/>
                <w:szCs w:val="18"/>
              </w:rPr>
            </w:pPr>
            <w:r w:rsidRPr="00847FAE">
              <w:rPr>
                <w:rFonts w:cs="Calibri"/>
                <w:color w:val="000000"/>
                <w:sz w:val="18"/>
                <w:szCs w:val="18"/>
              </w:rPr>
              <w:t>292</w:t>
            </w:r>
          </w:p>
        </w:tc>
        <w:tc>
          <w:tcPr>
            <w:tcW w:w="992" w:type="dxa"/>
            <w:tcBorders>
              <w:top w:val="nil"/>
              <w:left w:val="nil"/>
              <w:bottom w:val="nil"/>
              <w:right w:val="nil"/>
            </w:tcBorders>
            <w:noWrap/>
            <w:vAlign w:val="center"/>
          </w:tcPr>
          <w:p w14:paraId="12FBE973" w14:textId="77777777" w:rsidR="00FD6F91" w:rsidRPr="00847FAE" w:rsidRDefault="00FD6F91" w:rsidP="00FD6F91">
            <w:pPr>
              <w:jc w:val="center"/>
              <w:rPr>
                <w:rFonts w:cs="Calibri"/>
                <w:color w:val="000000"/>
                <w:sz w:val="18"/>
                <w:szCs w:val="18"/>
              </w:rPr>
            </w:pPr>
            <w:r w:rsidRPr="00847FAE">
              <w:rPr>
                <w:rFonts w:cs="Calibri"/>
                <w:color w:val="000000"/>
                <w:sz w:val="18"/>
                <w:szCs w:val="18"/>
              </w:rPr>
              <w:t>278</w:t>
            </w:r>
          </w:p>
        </w:tc>
        <w:tc>
          <w:tcPr>
            <w:tcW w:w="992" w:type="dxa"/>
            <w:tcBorders>
              <w:top w:val="nil"/>
              <w:left w:val="nil"/>
              <w:bottom w:val="nil"/>
              <w:right w:val="nil"/>
            </w:tcBorders>
            <w:noWrap/>
            <w:vAlign w:val="center"/>
          </w:tcPr>
          <w:p w14:paraId="6537A64F" w14:textId="77777777" w:rsidR="00FD6F91" w:rsidRPr="00847FAE" w:rsidRDefault="00FD6F91" w:rsidP="00FD6F91">
            <w:pPr>
              <w:jc w:val="center"/>
              <w:rPr>
                <w:rFonts w:cs="Calibri"/>
                <w:color w:val="000000"/>
                <w:sz w:val="18"/>
                <w:szCs w:val="18"/>
              </w:rPr>
            </w:pPr>
            <w:r w:rsidRPr="00847FAE">
              <w:rPr>
                <w:rFonts w:cs="Calibri"/>
                <w:color w:val="000000"/>
                <w:sz w:val="18"/>
                <w:szCs w:val="18"/>
              </w:rPr>
              <w:t>256</w:t>
            </w:r>
          </w:p>
        </w:tc>
        <w:tc>
          <w:tcPr>
            <w:tcW w:w="992" w:type="dxa"/>
            <w:tcBorders>
              <w:top w:val="nil"/>
              <w:left w:val="nil"/>
              <w:bottom w:val="nil"/>
              <w:right w:val="nil"/>
            </w:tcBorders>
            <w:noWrap/>
            <w:vAlign w:val="center"/>
          </w:tcPr>
          <w:p w14:paraId="22F4141F" w14:textId="77777777" w:rsidR="00FD6F91" w:rsidRPr="00847FAE" w:rsidRDefault="00FD6F91" w:rsidP="00FD6F91">
            <w:pPr>
              <w:jc w:val="center"/>
              <w:rPr>
                <w:rFonts w:cs="Calibri"/>
                <w:color w:val="000000"/>
                <w:sz w:val="18"/>
                <w:szCs w:val="18"/>
              </w:rPr>
            </w:pPr>
            <w:r w:rsidRPr="00847FAE">
              <w:rPr>
                <w:rFonts w:cs="Calibri"/>
                <w:color w:val="000000"/>
                <w:sz w:val="18"/>
                <w:szCs w:val="18"/>
              </w:rPr>
              <w:t>268</w:t>
            </w:r>
          </w:p>
        </w:tc>
        <w:tc>
          <w:tcPr>
            <w:tcW w:w="992" w:type="dxa"/>
            <w:tcBorders>
              <w:top w:val="nil"/>
              <w:left w:val="nil"/>
              <w:bottom w:val="nil"/>
              <w:right w:val="nil"/>
            </w:tcBorders>
            <w:noWrap/>
            <w:vAlign w:val="center"/>
          </w:tcPr>
          <w:p w14:paraId="08B4A090" w14:textId="77777777" w:rsidR="00FD6F91" w:rsidRPr="00847FAE" w:rsidRDefault="00FD6F91" w:rsidP="00FD6F91">
            <w:pPr>
              <w:jc w:val="center"/>
              <w:rPr>
                <w:rFonts w:cs="Calibri"/>
                <w:color w:val="000000"/>
                <w:sz w:val="18"/>
                <w:szCs w:val="18"/>
              </w:rPr>
            </w:pPr>
            <w:r w:rsidRPr="00847FAE">
              <w:rPr>
                <w:rFonts w:cs="Calibri"/>
                <w:color w:val="000000"/>
                <w:sz w:val="18"/>
                <w:szCs w:val="18"/>
              </w:rPr>
              <w:t>339</w:t>
            </w:r>
          </w:p>
        </w:tc>
        <w:tc>
          <w:tcPr>
            <w:tcW w:w="1135" w:type="dxa"/>
            <w:tcBorders>
              <w:top w:val="nil"/>
              <w:left w:val="nil"/>
              <w:bottom w:val="nil"/>
              <w:right w:val="nil"/>
            </w:tcBorders>
            <w:noWrap/>
            <w:vAlign w:val="center"/>
          </w:tcPr>
          <w:p w14:paraId="148069BD" w14:textId="77777777" w:rsidR="00FD6F91" w:rsidRPr="00847FAE" w:rsidRDefault="00FD6F91" w:rsidP="00FD6F91">
            <w:pPr>
              <w:jc w:val="center"/>
              <w:rPr>
                <w:rFonts w:cs="Calibri"/>
                <w:color w:val="000000"/>
                <w:sz w:val="18"/>
                <w:szCs w:val="18"/>
              </w:rPr>
            </w:pPr>
            <w:r w:rsidRPr="00847FAE">
              <w:rPr>
                <w:rFonts w:cs="Calibri"/>
                <w:color w:val="000000"/>
                <w:sz w:val="18"/>
                <w:szCs w:val="18"/>
              </w:rPr>
              <w:t>26.5%</w:t>
            </w:r>
          </w:p>
        </w:tc>
      </w:tr>
      <w:tr w:rsidR="00FD6F91" w:rsidRPr="00847FAE" w14:paraId="4206FFF1"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5022EDA2"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Property and deception offences</w:t>
            </w:r>
          </w:p>
        </w:tc>
        <w:tc>
          <w:tcPr>
            <w:tcW w:w="992" w:type="dxa"/>
            <w:tcBorders>
              <w:top w:val="nil"/>
              <w:left w:val="nil"/>
              <w:bottom w:val="nil"/>
              <w:right w:val="nil"/>
            </w:tcBorders>
            <w:shd w:val="clear" w:color="auto" w:fill="D9D9D9" w:themeFill="background1" w:themeFillShade="D9"/>
            <w:noWrap/>
            <w:vAlign w:val="bottom"/>
          </w:tcPr>
          <w:p w14:paraId="670337D1"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01813036"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54232E94"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64BECEFD"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0717A272" w14:textId="77777777" w:rsidR="00FD6F91" w:rsidRPr="00847FAE" w:rsidRDefault="00FD6F91" w:rsidP="00FD6F91">
            <w:pPr>
              <w:jc w:val="right"/>
              <w:rPr>
                <w:rFonts w:cs="Calibri"/>
                <w:iCs/>
                <w:color w:val="000000"/>
                <w:sz w:val="18"/>
              </w:rPr>
            </w:pPr>
          </w:p>
        </w:tc>
        <w:tc>
          <w:tcPr>
            <w:tcW w:w="1135" w:type="dxa"/>
            <w:tcBorders>
              <w:top w:val="nil"/>
              <w:left w:val="nil"/>
              <w:bottom w:val="nil"/>
              <w:right w:val="nil"/>
            </w:tcBorders>
            <w:shd w:val="clear" w:color="auto" w:fill="D9D9D9" w:themeFill="background1" w:themeFillShade="D9"/>
            <w:noWrap/>
            <w:vAlign w:val="bottom"/>
          </w:tcPr>
          <w:p w14:paraId="30BF9D6C" w14:textId="77777777" w:rsidR="00FD6F91" w:rsidRPr="00847FAE" w:rsidRDefault="00FD6F91" w:rsidP="00FD6F91">
            <w:pPr>
              <w:jc w:val="center"/>
              <w:rPr>
                <w:rFonts w:cs="Calibri"/>
                <w:iCs/>
                <w:color w:val="000000"/>
                <w:sz w:val="18"/>
              </w:rPr>
            </w:pPr>
          </w:p>
        </w:tc>
      </w:tr>
      <w:tr w:rsidR="00FD6F91" w:rsidRPr="00847FAE" w14:paraId="6E0B1D8C" w14:textId="77777777" w:rsidTr="001F1F60">
        <w:trPr>
          <w:cantSplit/>
          <w:trHeight w:val="227"/>
        </w:trPr>
        <w:tc>
          <w:tcPr>
            <w:tcW w:w="3119" w:type="dxa"/>
            <w:gridSpan w:val="4"/>
            <w:tcBorders>
              <w:top w:val="nil"/>
              <w:left w:val="nil"/>
              <w:bottom w:val="nil"/>
              <w:right w:val="nil"/>
            </w:tcBorders>
            <w:noWrap/>
          </w:tcPr>
          <w:p w14:paraId="219593E0"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0256AB41" w14:textId="77777777" w:rsidR="00FD6F91" w:rsidRPr="00847FAE" w:rsidRDefault="00FD6F91" w:rsidP="00FD6F91">
            <w:pPr>
              <w:jc w:val="center"/>
              <w:rPr>
                <w:rFonts w:cs="Calibri"/>
                <w:color w:val="000000"/>
                <w:sz w:val="18"/>
                <w:szCs w:val="18"/>
              </w:rPr>
            </w:pPr>
            <w:r w:rsidRPr="00847FAE">
              <w:rPr>
                <w:rFonts w:cs="Calibri"/>
                <w:color w:val="000000"/>
                <w:sz w:val="18"/>
                <w:szCs w:val="18"/>
              </w:rPr>
              <w:t>520</w:t>
            </w:r>
          </w:p>
        </w:tc>
        <w:tc>
          <w:tcPr>
            <w:tcW w:w="992" w:type="dxa"/>
            <w:tcBorders>
              <w:top w:val="nil"/>
              <w:left w:val="nil"/>
              <w:bottom w:val="nil"/>
              <w:right w:val="nil"/>
            </w:tcBorders>
            <w:noWrap/>
            <w:vAlign w:val="center"/>
          </w:tcPr>
          <w:p w14:paraId="51F49CE7" w14:textId="77777777" w:rsidR="00FD6F91" w:rsidRPr="00847FAE" w:rsidRDefault="00FD6F91" w:rsidP="00FD6F91">
            <w:pPr>
              <w:jc w:val="center"/>
              <w:rPr>
                <w:rFonts w:cs="Calibri"/>
                <w:color w:val="000000"/>
                <w:sz w:val="18"/>
                <w:szCs w:val="18"/>
              </w:rPr>
            </w:pPr>
            <w:r w:rsidRPr="00847FAE">
              <w:rPr>
                <w:rFonts w:cs="Calibri"/>
                <w:color w:val="000000"/>
                <w:sz w:val="18"/>
                <w:szCs w:val="18"/>
              </w:rPr>
              <w:t>467</w:t>
            </w:r>
          </w:p>
        </w:tc>
        <w:tc>
          <w:tcPr>
            <w:tcW w:w="992" w:type="dxa"/>
            <w:tcBorders>
              <w:top w:val="nil"/>
              <w:left w:val="nil"/>
              <w:bottom w:val="nil"/>
              <w:right w:val="nil"/>
            </w:tcBorders>
            <w:noWrap/>
            <w:vAlign w:val="center"/>
          </w:tcPr>
          <w:p w14:paraId="30341DEB" w14:textId="77777777" w:rsidR="00FD6F91" w:rsidRPr="00847FAE" w:rsidRDefault="00FD6F91" w:rsidP="00FD6F91">
            <w:pPr>
              <w:jc w:val="center"/>
              <w:rPr>
                <w:rFonts w:cs="Calibri"/>
                <w:color w:val="000000"/>
                <w:sz w:val="18"/>
                <w:szCs w:val="18"/>
              </w:rPr>
            </w:pPr>
            <w:r w:rsidRPr="00847FAE">
              <w:rPr>
                <w:rFonts w:cs="Calibri"/>
                <w:color w:val="000000"/>
                <w:sz w:val="18"/>
                <w:szCs w:val="18"/>
              </w:rPr>
              <w:t>408</w:t>
            </w:r>
          </w:p>
        </w:tc>
        <w:tc>
          <w:tcPr>
            <w:tcW w:w="992" w:type="dxa"/>
            <w:tcBorders>
              <w:top w:val="nil"/>
              <w:left w:val="nil"/>
              <w:bottom w:val="nil"/>
              <w:right w:val="nil"/>
            </w:tcBorders>
            <w:noWrap/>
            <w:vAlign w:val="center"/>
          </w:tcPr>
          <w:p w14:paraId="5A6C7C3D" w14:textId="77777777" w:rsidR="00FD6F91" w:rsidRPr="00847FAE" w:rsidRDefault="00FD6F91" w:rsidP="00FD6F91">
            <w:pPr>
              <w:jc w:val="center"/>
              <w:rPr>
                <w:rFonts w:cs="Calibri"/>
                <w:color w:val="000000"/>
                <w:sz w:val="18"/>
                <w:szCs w:val="18"/>
              </w:rPr>
            </w:pPr>
            <w:r w:rsidRPr="00847FAE">
              <w:rPr>
                <w:rFonts w:cs="Calibri"/>
                <w:color w:val="000000"/>
                <w:sz w:val="18"/>
                <w:szCs w:val="18"/>
              </w:rPr>
              <w:t>528</w:t>
            </w:r>
          </w:p>
        </w:tc>
        <w:tc>
          <w:tcPr>
            <w:tcW w:w="992" w:type="dxa"/>
            <w:tcBorders>
              <w:top w:val="nil"/>
              <w:left w:val="nil"/>
              <w:bottom w:val="nil"/>
              <w:right w:val="nil"/>
            </w:tcBorders>
            <w:noWrap/>
            <w:vAlign w:val="center"/>
          </w:tcPr>
          <w:p w14:paraId="0EE70F06" w14:textId="77777777" w:rsidR="00FD6F91" w:rsidRPr="00847FAE" w:rsidRDefault="00FD6F91" w:rsidP="00FD6F91">
            <w:pPr>
              <w:jc w:val="center"/>
              <w:rPr>
                <w:rFonts w:cs="Calibri"/>
                <w:color w:val="000000"/>
                <w:sz w:val="18"/>
                <w:szCs w:val="18"/>
              </w:rPr>
            </w:pPr>
            <w:r w:rsidRPr="00847FAE">
              <w:rPr>
                <w:rFonts w:cs="Calibri"/>
                <w:color w:val="000000"/>
                <w:sz w:val="18"/>
                <w:szCs w:val="18"/>
              </w:rPr>
              <w:t>572</w:t>
            </w:r>
          </w:p>
        </w:tc>
        <w:tc>
          <w:tcPr>
            <w:tcW w:w="1135" w:type="dxa"/>
            <w:tcBorders>
              <w:top w:val="nil"/>
              <w:left w:val="nil"/>
              <w:bottom w:val="nil"/>
              <w:right w:val="nil"/>
            </w:tcBorders>
            <w:noWrap/>
            <w:vAlign w:val="center"/>
          </w:tcPr>
          <w:p w14:paraId="51380B02" w14:textId="77777777" w:rsidR="00FD6F91" w:rsidRPr="00847FAE" w:rsidRDefault="00FD6F91" w:rsidP="00FD6F91">
            <w:pPr>
              <w:jc w:val="center"/>
              <w:rPr>
                <w:rFonts w:cs="Calibri"/>
                <w:color w:val="000000"/>
                <w:sz w:val="18"/>
                <w:szCs w:val="18"/>
              </w:rPr>
            </w:pPr>
            <w:r w:rsidRPr="00847FAE">
              <w:rPr>
                <w:rFonts w:cs="Calibri"/>
                <w:color w:val="000000"/>
                <w:sz w:val="18"/>
                <w:szCs w:val="18"/>
              </w:rPr>
              <w:t>8.3%</w:t>
            </w:r>
          </w:p>
        </w:tc>
      </w:tr>
      <w:tr w:rsidR="00FD6F91" w:rsidRPr="00847FAE" w14:paraId="75697066" w14:textId="77777777" w:rsidTr="001F1F60">
        <w:trPr>
          <w:cantSplit/>
          <w:trHeight w:val="227"/>
        </w:trPr>
        <w:tc>
          <w:tcPr>
            <w:tcW w:w="3119" w:type="dxa"/>
            <w:gridSpan w:val="4"/>
            <w:tcBorders>
              <w:top w:val="nil"/>
              <w:left w:val="nil"/>
              <w:bottom w:val="nil"/>
              <w:right w:val="nil"/>
            </w:tcBorders>
            <w:noWrap/>
          </w:tcPr>
          <w:p w14:paraId="3B796B30"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3C11D67F" w14:textId="77777777" w:rsidR="00FD6F91" w:rsidRPr="00847FAE" w:rsidRDefault="00FD6F91" w:rsidP="00FD6F91">
            <w:pPr>
              <w:jc w:val="center"/>
              <w:rPr>
                <w:rFonts w:cs="Calibri"/>
                <w:color w:val="000000"/>
                <w:sz w:val="18"/>
                <w:szCs w:val="18"/>
              </w:rPr>
            </w:pPr>
            <w:r w:rsidRPr="00847FAE">
              <w:rPr>
                <w:rFonts w:cs="Calibri"/>
                <w:color w:val="000000"/>
                <w:sz w:val="18"/>
                <w:szCs w:val="18"/>
              </w:rPr>
              <w:t>556</w:t>
            </w:r>
          </w:p>
        </w:tc>
        <w:tc>
          <w:tcPr>
            <w:tcW w:w="992" w:type="dxa"/>
            <w:tcBorders>
              <w:top w:val="nil"/>
              <w:left w:val="nil"/>
              <w:bottom w:val="nil"/>
              <w:right w:val="nil"/>
            </w:tcBorders>
            <w:noWrap/>
            <w:vAlign w:val="center"/>
          </w:tcPr>
          <w:p w14:paraId="135E999C" w14:textId="77777777" w:rsidR="00FD6F91" w:rsidRPr="00847FAE" w:rsidRDefault="00FD6F91" w:rsidP="00FD6F91">
            <w:pPr>
              <w:jc w:val="center"/>
              <w:rPr>
                <w:rFonts w:cs="Calibri"/>
                <w:color w:val="000000"/>
                <w:sz w:val="18"/>
                <w:szCs w:val="18"/>
              </w:rPr>
            </w:pPr>
            <w:r w:rsidRPr="00847FAE">
              <w:rPr>
                <w:rFonts w:cs="Calibri"/>
                <w:color w:val="000000"/>
                <w:sz w:val="18"/>
                <w:szCs w:val="18"/>
              </w:rPr>
              <w:t>458</w:t>
            </w:r>
          </w:p>
        </w:tc>
        <w:tc>
          <w:tcPr>
            <w:tcW w:w="992" w:type="dxa"/>
            <w:tcBorders>
              <w:top w:val="nil"/>
              <w:left w:val="nil"/>
              <w:bottom w:val="nil"/>
              <w:right w:val="nil"/>
            </w:tcBorders>
            <w:noWrap/>
            <w:vAlign w:val="center"/>
          </w:tcPr>
          <w:p w14:paraId="2F37B67C" w14:textId="77777777" w:rsidR="00FD6F91" w:rsidRPr="00847FAE" w:rsidRDefault="00FD6F91" w:rsidP="00FD6F91">
            <w:pPr>
              <w:jc w:val="center"/>
              <w:rPr>
                <w:rFonts w:cs="Calibri"/>
                <w:color w:val="000000"/>
                <w:sz w:val="18"/>
                <w:szCs w:val="18"/>
              </w:rPr>
            </w:pPr>
            <w:r w:rsidRPr="00847FAE">
              <w:rPr>
                <w:rFonts w:cs="Calibri"/>
                <w:color w:val="000000"/>
                <w:sz w:val="18"/>
                <w:szCs w:val="18"/>
              </w:rPr>
              <w:t>442</w:t>
            </w:r>
          </w:p>
        </w:tc>
        <w:tc>
          <w:tcPr>
            <w:tcW w:w="992" w:type="dxa"/>
            <w:tcBorders>
              <w:top w:val="nil"/>
              <w:left w:val="nil"/>
              <w:bottom w:val="nil"/>
              <w:right w:val="nil"/>
            </w:tcBorders>
            <w:noWrap/>
            <w:vAlign w:val="center"/>
          </w:tcPr>
          <w:p w14:paraId="07609176" w14:textId="77777777" w:rsidR="00FD6F91" w:rsidRPr="00847FAE" w:rsidRDefault="00FD6F91" w:rsidP="00FD6F91">
            <w:pPr>
              <w:jc w:val="center"/>
              <w:rPr>
                <w:rFonts w:cs="Calibri"/>
                <w:color w:val="000000"/>
                <w:sz w:val="18"/>
                <w:szCs w:val="18"/>
              </w:rPr>
            </w:pPr>
            <w:r w:rsidRPr="00847FAE">
              <w:rPr>
                <w:rFonts w:cs="Calibri"/>
                <w:color w:val="000000"/>
                <w:sz w:val="18"/>
                <w:szCs w:val="18"/>
              </w:rPr>
              <w:t>449</w:t>
            </w:r>
          </w:p>
        </w:tc>
        <w:tc>
          <w:tcPr>
            <w:tcW w:w="992" w:type="dxa"/>
            <w:tcBorders>
              <w:top w:val="nil"/>
              <w:left w:val="nil"/>
              <w:bottom w:val="nil"/>
              <w:right w:val="nil"/>
            </w:tcBorders>
            <w:noWrap/>
            <w:vAlign w:val="center"/>
          </w:tcPr>
          <w:p w14:paraId="1EB90A40" w14:textId="77777777" w:rsidR="00FD6F91" w:rsidRPr="00847FAE" w:rsidRDefault="00FD6F91" w:rsidP="00FD6F91">
            <w:pPr>
              <w:jc w:val="center"/>
              <w:rPr>
                <w:rFonts w:cs="Calibri"/>
                <w:color w:val="000000"/>
                <w:sz w:val="18"/>
                <w:szCs w:val="18"/>
              </w:rPr>
            </w:pPr>
            <w:r w:rsidRPr="00847FAE">
              <w:rPr>
                <w:rFonts w:cs="Calibri"/>
                <w:color w:val="000000"/>
                <w:sz w:val="18"/>
                <w:szCs w:val="18"/>
              </w:rPr>
              <w:t>577</w:t>
            </w:r>
          </w:p>
        </w:tc>
        <w:tc>
          <w:tcPr>
            <w:tcW w:w="1135" w:type="dxa"/>
            <w:tcBorders>
              <w:top w:val="nil"/>
              <w:left w:val="nil"/>
              <w:bottom w:val="nil"/>
              <w:right w:val="nil"/>
            </w:tcBorders>
            <w:noWrap/>
            <w:vAlign w:val="center"/>
          </w:tcPr>
          <w:p w14:paraId="3BCAFD6F" w14:textId="77777777" w:rsidR="00FD6F91" w:rsidRPr="00847FAE" w:rsidRDefault="00FD6F91" w:rsidP="00FD6F91">
            <w:pPr>
              <w:jc w:val="center"/>
              <w:rPr>
                <w:rFonts w:cs="Calibri"/>
                <w:color w:val="000000"/>
                <w:sz w:val="18"/>
                <w:szCs w:val="18"/>
              </w:rPr>
            </w:pPr>
            <w:r w:rsidRPr="00847FAE">
              <w:rPr>
                <w:rFonts w:cs="Calibri"/>
                <w:color w:val="000000"/>
                <w:sz w:val="18"/>
                <w:szCs w:val="18"/>
              </w:rPr>
              <w:t>28.5%</w:t>
            </w:r>
          </w:p>
        </w:tc>
      </w:tr>
      <w:tr w:rsidR="00FD6F91" w:rsidRPr="00847FAE" w14:paraId="3AB77983"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6909FA87" w14:textId="77777777" w:rsidR="00FD6F91" w:rsidRPr="00847FAE" w:rsidRDefault="00FD6F91" w:rsidP="00FD6F91">
            <w:pPr>
              <w:rPr>
                <w:rFonts w:cs="Calibri"/>
                <w:iCs/>
                <w:color w:val="000000"/>
                <w:sz w:val="18"/>
                <w:szCs w:val="18"/>
              </w:rPr>
            </w:pPr>
            <w:r w:rsidRPr="00847FAE">
              <w:rPr>
                <w:rFonts w:cs="Calibri"/>
                <w:iCs/>
                <w:color w:val="000000"/>
                <w:sz w:val="18"/>
                <w:szCs w:val="18"/>
              </w:rPr>
              <w:t>Drug offences</w:t>
            </w:r>
          </w:p>
        </w:tc>
        <w:tc>
          <w:tcPr>
            <w:tcW w:w="992" w:type="dxa"/>
            <w:tcBorders>
              <w:top w:val="nil"/>
              <w:left w:val="nil"/>
              <w:bottom w:val="nil"/>
              <w:right w:val="nil"/>
            </w:tcBorders>
            <w:shd w:val="clear" w:color="auto" w:fill="D9D9D9" w:themeFill="background1" w:themeFillShade="D9"/>
            <w:noWrap/>
            <w:vAlign w:val="bottom"/>
          </w:tcPr>
          <w:p w14:paraId="3EDD0873"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409A03D6"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6F91FD55"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4EB0A8DA"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6A4AA083" w14:textId="77777777" w:rsidR="00FD6F91" w:rsidRPr="00847FAE" w:rsidRDefault="00FD6F91" w:rsidP="00FD6F91">
            <w:pPr>
              <w:jc w:val="right"/>
              <w:rPr>
                <w:rFonts w:cs="Calibri"/>
                <w:iCs/>
                <w:color w:val="000000"/>
                <w:sz w:val="18"/>
              </w:rPr>
            </w:pPr>
          </w:p>
        </w:tc>
        <w:tc>
          <w:tcPr>
            <w:tcW w:w="1135" w:type="dxa"/>
            <w:tcBorders>
              <w:top w:val="nil"/>
              <w:left w:val="nil"/>
              <w:bottom w:val="nil"/>
              <w:right w:val="nil"/>
            </w:tcBorders>
            <w:shd w:val="clear" w:color="auto" w:fill="D9D9D9" w:themeFill="background1" w:themeFillShade="D9"/>
            <w:noWrap/>
            <w:vAlign w:val="bottom"/>
          </w:tcPr>
          <w:p w14:paraId="4BFCC251" w14:textId="77777777" w:rsidR="00FD6F91" w:rsidRPr="00847FAE" w:rsidRDefault="00FD6F91" w:rsidP="00FD6F91">
            <w:pPr>
              <w:jc w:val="center"/>
              <w:rPr>
                <w:rFonts w:cs="Calibri"/>
                <w:iCs/>
                <w:color w:val="000000"/>
                <w:sz w:val="18"/>
              </w:rPr>
            </w:pPr>
          </w:p>
        </w:tc>
      </w:tr>
      <w:tr w:rsidR="00FD6F91" w:rsidRPr="00847FAE" w14:paraId="35951420" w14:textId="77777777" w:rsidTr="001F1F60">
        <w:trPr>
          <w:cantSplit/>
          <w:trHeight w:val="227"/>
        </w:trPr>
        <w:tc>
          <w:tcPr>
            <w:tcW w:w="3119" w:type="dxa"/>
            <w:gridSpan w:val="4"/>
            <w:tcBorders>
              <w:top w:val="nil"/>
              <w:left w:val="nil"/>
              <w:bottom w:val="nil"/>
              <w:right w:val="nil"/>
            </w:tcBorders>
            <w:noWrap/>
          </w:tcPr>
          <w:p w14:paraId="2BBD797F"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1EEACDFD" w14:textId="77777777" w:rsidR="00FD6F91" w:rsidRPr="00847FAE" w:rsidRDefault="00FD6F91" w:rsidP="00FD6F91">
            <w:pPr>
              <w:jc w:val="center"/>
              <w:rPr>
                <w:rFonts w:cs="Calibri"/>
                <w:color w:val="000000"/>
                <w:sz w:val="18"/>
                <w:szCs w:val="18"/>
              </w:rPr>
            </w:pPr>
            <w:r w:rsidRPr="00847FAE">
              <w:rPr>
                <w:rFonts w:cs="Calibri"/>
                <w:color w:val="000000"/>
                <w:sz w:val="18"/>
                <w:szCs w:val="18"/>
              </w:rPr>
              <w:t>28</w:t>
            </w:r>
          </w:p>
        </w:tc>
        <w:tc>
          <w:tcPr>
            <w:tcW w:w="992" w:type="dxa"/>
            <w:tcBorders>
              <w:top w:val="nil"/>
              <w:left w:val="nil"/>
              <w:bottom w:val="nil"/>
              <w:right w:val="nil"/>
            </w:tcBorders>
            <w:noWrap/>
            <w:vAlign w:val="center"/>
          </w:tcPr>
          <w:p w14:paraId="30ED1603" w14:textId="77777777" w:rsidR="00FD6F91" w:rsidRPr="00847FAE" w:rsidRDefault="00FD6F91" w:rsidP="00FD6F91">
            <w:pPr>
              <w:jc w:val="center"/>
              <w:rPr>
                <w:rFonts w:cs="Calibri"/>
                <w:color w:val="000000"/>
                <w:sz w:val="18"/>
                <w:szCs w:val="18"/>
              </w:rPr>
            </w:pPr>
            <w:r w:rsidRPr="00847FAE">
              <w:rPr>
                <w:rFonts w:cs="Calibri"/>
                <w:color w:val="000000"/>
                <w:sz w:val="18"/>
                <w:szCs w:val="18"/>
              </w:rPr>
              <w:t>31</w:t>
            </w:r>
          </w:p>
        </w:tc>
        <w:tc>
          <w:tcPr>
            <w:tcW w:w="992" w:type="dxa"/>
            <w:tcBorders>
              <w:top w:val="nil"/>
              <w:left w:val="nil"/>
              <w:bottom w:val="nil"/>
              <w:right w:val="nil"/>
            </w:tcBorders>
            <w:noWrap/>
            <w:vAlign w:val="center"/>
          </w:tcPr>
          <w:p w14:paraId="12724649" w14:textId="77777777" w:rsidR="00FD6F91" w:rsidRPr="00847FAE" w:rsidRDefault="00FD6F91" w:rsidP="00FD6F91">
            <w:pPr>
              <w:jc w:val="center"/>
              <w:rPr>
                <w:rFonts w:cs="Calibri"/>
                <w:color w:val="000000"/>
                <w:sz w:val="18"/>
                <w:szCs w:val="18"/>
              </w:rPr>
            </w:pPr>
            <w:r w:rsidRPr="00847FAE">
              <w:rPr>
                <w:rFonts w:cs="Calibri"/>
                <w:color w:val="000000"/>
                <w:sz w:val="18"/>
                <w:szCs w:val="18"/>
              </w:rPr>
              <w:t>43</w:t>
            </w:r>
          </w:p>
        </w:tc>
        <w:tc>
          <w:tcPr>
            <w:tcW w:w="992" w:type="dxa"/>
            <w:tcBorders>
              <w:top w:val="nil"/>
              <w:left w:val="nil"/>
              <w:bottom w:val="nil"/>
              <w:right w:val="nil"/>
            </w:tcBorders>
            <w:noWrap/>
            <w:vAlign w:val="center"/>
          </w:tcPr>
          <w:p w14:paraId="44FF2627" w14:textId="77777777" w:rsidR="00FD6F91" w:rsidRPr="00847FAE" w:rsidRDefault="00FD6F91" w:rsidP="00FD6F91">
            <w:pPr>
              <w:jc w:val="center"/>
              <w:rPr>
                <w:rFonts w:cs="Calibri"/>
                <w:color w:val="000000"/>
                <w:sz w:val="18"/>
                <w:szCs w:val="18"/>
              </w:rPr>
            </w:pPr>
            <w:r w:rsidRPr="00847FAE">
              <w:rPr>
                <w:rFonts w:cs="Calibri"/>
                <w:color w:val="000000"/>
                <w:sz w:val="18"/>
                <w:szCs w:val="18"/>
              </w:rPr>
              <w:t>51</w:t>
            </w:r>
          </w:p>
        </w:tc>
        <w:tc>
          <w:tcPr>
            <w:tcW w:w="992" w:type="dxa"/>
            <w:tcBorders>
              <w:top w:val="nil"/>
              <w:left w:val="nil"/>
              <w:bottom w:val="nil"/>
              <w:right w:val="nil"/>
            </w:tcBorders>
            <w:noWrap/>
            <w:vAlign w:val="center"/>
          </w:tcPr>
          <w:p w14:paraId="0B677286" w14:textId="77777777" w:rsidR="00FD6F91" w:rsidRPr="00847FAE" w:rsidRDefault="00FD6F91" w:rsidP="00FD6F91">
            <w:pPr>
              <w:jc w:val="center"/>
              <w:rPr>
                <w:rFonts w:cs="Calibri"/>
                <w:color w:val="000000"/>
                <w:sz w:val="18"/>
                <w:szCs w:val="18"/>
              </w:rPr>
            </w:pPr>
            <w:r w:rsidRPr="00847FAE">
              <w:rPr>
                <w:rFonts w:cs="Calibri"/>
                <w:color w:val="000000"/>
                <w:sz w:val="18"/>
                <w:szCs w:val="18"/>
              </w:rPr>
              <w:t>54</w:t>
            </w:r>
          </w:p>
        </w:tc>
        <w:tc>
          <w:tcPr>
            <w:tcW w:w="1135" w:type="dxa"/>
            <w:tcBorders>
              <w:top w:val="nil"/>
              <w:left w:val="nil"/>
              <w:bottom w:val="nil"/>
              <w:right w:val="nil"/>
            </w:tcBorders>
            <w:noWrap/>
            <w:vAlign w:val="center"/>
          </w:tcPr>
          <w:p w14:paraId="1AA135AE" w14:textId="77777777" w:rsidR="00FD6F91" w:rsidRPr="00847FAE" w:rsidRDefault="00FD6F91" w:rsidP="00FD6F91">
            <w:pPr>
              <w:jc w:val="center"/>
              <w:rPr>
                <w:rFonts w:cs="Calibri"/>
                <w:color w:val="000000"/>
                <w:sz w:val="18"/>
                <w:szCs w:val="18"/>
              </w:rPr>
            </w:pPr>
            <w:r w:rsidRPr="00847FAE">
              <w:rPr>
                <w:rFonts w:cs="Calibri"/>
                <w:color w:val="000000"/>
                <w:sz w:val="18"/>
                <w:szCs w:val="18"/>
              </w:rPr>
              <w:t>5.9%</w:t>
            </w:r>
          </w:p>
        </w:tc>
      </w:tr>
      <w:tr w:rsidR="00FD6F91" w:rsidRPr="00847FAE" w14:paraId="27AE1C8E" w14:textId="77777777" w:rsidTr="001F1F60">
        <w:trPr>
          <w:cantSplit/>
          <w:trHeight w:val="227"/>
        </w:trPr>
        <w:tc>
          <w:tcPr>
            <w:tcW w:w="3119" w:type="dxa"/>
            <w:gridSpan w:val="4"/>
            <w:tcBorders>
              <w:top w:val="nil"/>
              <w:left w:val="nil"/>
              <w:bottom w:val="nil"/>
              <w:right w:val="nil"/>
            </w:tcBorders>
            <w:noWrap/>
          </w:tcPr>
          <w:p w14:paraId="3331E724"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1C7D2FEA" w14:textId="77777777" w:rsidR="00FD6F91" w:rsidRPr="00847FAE" w:rsidRDefault="00FD6F91" w:rsidP="00FD6F91">
            <w:pPr>
              <w:jc w:val="center"/>
              <w:rPr>
                <w:rFonts w:cs="Calibri"/>
                <w:color w:val="000000"/>
                <w:sz w:val="18"/>
                <w:szCs w:val="18"/>
              </w:rPr>
            </w:pPr>
            <w:r w:rsidRPr="00847FAE">
              <w:rPr>
                <w:rFonts w:cs="Calibri"/>
                <w:color w:val="000000"/>
                <w:sz w:val="18"/>
                <w:szCs w:val="18"/>
              </w:rPr>
              <w:t>27</w:t>
            </w:r>
          </w:p>
        </w:tc>
        <w:tc>
          <w:tcPr>
            <w:tcW w:w="992" w:type="dxa"/>
            <w:tcBorders>
              <w:top w:val="nil"/>
              <w:left w:val="nil"/>
              <w:bottom w:val="nil"/>
              <w:right w:val="nil"/>
            </w:tcBorders>
            <w:noWrap/>
            <w:vAlign w:val="center"/>
          </w:tcPr>
          <w:p w14:paraId="09A3E3B3" w14:textId="77777777" w:rsidR="00FD6F91" w:rsidRPr="00847FAE" w:rsidRDefault="00FD6F91" w:rsidP="00FD6F91">
            <w:pPr>
              <w:jc w:val="center"/>
              <w:rPr>
                <w:rFonts w:cs="Calibri"/>
                <w:color w:val="000000"/>
                <w:sz w:val="18"/>
                <w:szCs w:val="18"/>
              </w:rPr>
            </w:pPr>
            <w:r w:rsidRPr="00847FAE">
              <w:rPr>
                <w:rFonts w:cs="Calibri"/>
                <w:color w:val="000000"/>
                <w:sz w:val="18"/>
                <w:szCs w:val="18"/>
              </w:rPr>
              <w:t>28</w:t>
            </w:r>
          </w:p>
        </w:tc>
        <w:tc>
          <w:tcPr>
            <w:tcW w:w="992" w:type="dxa"/>
            <w:tcBorders>
              <w:top w:val="nil"/>
              <w:left w:val="nil"/>
              <w:bottom w:val="nil"/>
              <w:right w:val="nil"/>
            </w:tcBorders>
            <w:noWrap/>
            <w:vAlign w:val="center"/>
          </w:tcPr>
          <w:p w14:paraId="6F630CA3" w14:textId="77777777" w:rsidR="00FD6F91" w:rsidRPr="00847FAE" w:rsidRDefault="00FD6F91" w:rsidP="00FD6F91">
            <w:pPr>
              <w:jc w:val="center"/>
              <w:rPr>
                <w:rFonts w:cs="Calibri"/>
                <w:color w:val="000000"/>
                <w:sz w:val="18"/>
                <w:szCs w:val="18"/>
              </w:rPr>
            </w:pPr>
            <w:r w:rsidRPr="00847FAE">
              <w:rPr>
                <w:rFonts w:cs="Calibri"/>
                <w:color w:val="000000"/>
                <w:sz w:val="18"/>
                <w:szCs w:val="18"/>
              </w:rPr>
              <w:t>42</w:t>
            </w:r>
          </w:p>
        </w:tc>
        <w:tc>
          <w:tcPr>
            <w:tcW w:w="992" w:type="dxa"/>
            <w:tcBorders>
              <w:top w:val="nil"/>
              <w:left w:val="nil"/>
              <w:bottom w:val="nil"/>
              <w:right w:val="nil"/>
            </w:tcBorders>
            <w:noWrap/>
            <w:vAlign w:val="center"/>
          </w:tcPr>
          <w:p w14:paraId="45E8B569" w14:textId="77777777" w:rsidR="00FD6F91" w:rsidRPr="00847FAE" w:rsidRDefault="00FD6F91" w:rsidP="00FD6F91">
            <w:pPr>
              <w:jc w:val="center"/>
              <w:rPr>
                <w:rFonts w:cs="Calibri"/>
                <w:color w:val="000000"/>
                <w:sz w:val="18"/>
                <w:szCs w:val="18"/>
              </w:rPr>
            </w:pPr>
            <w:r w:rsidRPr="00847FAE">
              <w:rPr>
                <w:rFonts w:cs="Calibri"/>
                <w:color w:val="000000"/>
                <w:sz w:val="18"/>
                <w:szCs w:val="18"/>
              </w:rPr>
              <w:t>39</w:t>
            </w:r>
          </w:p>
        </w:tc>
        <w:tc>
          <w:tcPr>
            <w:tcW w:w="992" w:type="dxa"/>
            <w:tcBorders>
              <w:top w:val="nil"/>
              <w:left w:val="nil"/>
              <w:bottom w:val="nil"/>
              <w:right w:val="nil"/>
            </w:tcBorders>
            <w:noWrap/>
            <w:vAlign w:val="center"/>
          </w:tcPr>
          <w:p w14:paraId="0B846214" w14:textId="77777777" w:rsidR="00FD6F91" w:rsidRPr="00847FAE" w:rsidRDefault="00FD6F91" w:rsidP="00FD6F91">
            <w:pPr>
              <w:jc w:val="center"/>
              <w:rPr>
                <w:rFonts w:cs="Calibri"/>
                <w:color w:val="000000"/>
                <w:sz w:val="18"/>
                <w:szCs w:val="18"/>
              </w:rPr>
            </w:pPr>
            <w:r w:rsidRPr="00847FAE">
              <w:rPr>
                <w:rFonts w:cs="Calibri"/>
                <w:color w:val="000000"/>
                <w:sz w:val="18"/>
                <w:szCs w:val="18"/>
              </w:rPr>
              <w:t>54</w:t>
            </w:r>
          </w:p>
        </w:tc>
        <w:tc>
          <w:tcPr>
            <w:tcW w:w="1135" w:type="dxa"/>
            <w:tcBorders>
              <w:top w:val="nil"/>
              <w:left w:val="nil"/>
              <w:bottom w:val="nil"/>
              <w:right w:val="nil"/>
            </w:tcBorders>
            <w:noWrap/>
            <w:vAlign w:val="center"/>
          </w:tcPr>
          <w:p w14:paraId="70B34013" w14:textId="77777777" w:rsidR="00FD6F91" w:rsidRPr="00847FAE" w:rsidRDefault="00FD6F91" w:rsidP="00FD6F91">
            <w:pPr>
              <w:jc w:val="center"/>
              <w:rPr>
                <w:rFonts w:cs="Calibri"/>
                <w:color w:val="000000"/>
                <w:sz w:val="18"/>
                <w:szCs w:val="18"/>
              </w:rPr>
            </w:pPr>
            <w:r w:rsidRPr="00847FAE">
              <w:rPr>
                <w:rFonts w:cs="Calibri"/>
                <w:color w:val="000000"/>
                <w:sz w:val="18"/>
                <w:szCs w:val="18"/>
              </w:rPr>
              <w:t>38.5%</w:t>
            </w:r>
          </w:p>
        </w:tc>
      </w:tr>
      <w:tr w:rsidR="00FD6F91" w:rsidRPr="00847FAE" w14:paraId="6121B7EB"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5D8A2C9B"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lastRenderedPageBreak/>
              <w:t>Public order and security offences</w:t>
            </w:r>
          </w:p>
        </w:tc>
        <w:tc>
          <w:tcPr>
            <w:tcW w:w="992" w:type="dxa"/>
            <w:tcBorders>
              <w:top w:val="nil"/>
              <w:left w:val="nil"/>
              <w:bottom w:val="nil"/>
              <w:right w:val="nil"/>
            </w:tcBorders>
            <w:shd w:val="clear" w:color="auto" w:fill="D9D9D9" w:themeFill="background1" w:themeFillShade="D9"/>
            <w:noWrap/>
            <w:vAlign w:val="bottom"/>
          </w:tcPr>
          <w:p w14:paraId="18DE18EB"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1B6EA459"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7EA3ADEA"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6853E410"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756135F7" w14:textId="77777777" w:rsidR="00FD6F91" w:rsidRPr="00847FAE" w:rsidRDefault="00FD6F91" w:rsidP="00FD6F91">
            <w:pPr>
              <w:jc w:val="right"/>
              <w:rPr>
                <w:rFonts w:cs="Calibri"/>
                <w:iCs/>
                <w:color w:val="000000"/>
                <w:sz w:val="18"/>
              </w:rPr>
            </w:pPr>
          </w:p>
        </w:tc>
        <w:tc>
          <w:tcPr>
            <w:tcW w:w="1135" w:type="dxa"/>
            <w:tcBorders>
              <w:top w:val="nil"/>
              <w:left w:val="nil"/>
              <w:bottom w:val="nil"/>
              <w:right w:val="nil"/>
            </w:tcBorders>
            <w:shd w:val="clear" w:color="auto" w:fill="D9D9D9" w:themeFill="background1" w:themeFillShade="D9"/>
            <w:noWrap/>
            <w:vAlign w:val="bottom"/>
          </w:tcPr>
          <w:p w14:paraId="2D60441C" w14:textId="77777777" w:rsidR="00FD6F91" w:rsidRPr="00847FAE" w:rsidRDefault="00FD6F91" w:rsidP="00FD6F91">
            <w:pPr>
              <w:jc w:val="center"/>
              <w:rPr>
                <w:rFonts w:cs="Calibri"/>
                <w:iCs/>
                <w:color w:val="000000"/>
                <w:sz w:val="18"/>
              </w:rPr>
            </w:pPr>
          </w:p>
        </w:tc>
      </w:tr>
      <w:tr w:rsidR="00FD6F91" w:rsidRPr="00847FAE" w14:paraId="31ADEFEE" w14:textId="77777777" w:rsidTr="001F1F60">
        <w:trPr>
          <w:cantSplit/>
          <w:trHeight w:val="227"/>
        </w:trPr>
        <w:tc>
          <w:tcPr>
            <w:tcW w:w="3119" w:type="dxa"/>
            <w:gridSpan w:val="4"/>
            <w:tcBorders>
              <w:top w:val="nil"/>
              <w:left w:val="nil"/>
              <w:bottom w:val="nil"/>
              <w:right w:val="nil"/>
            </w:tcBorders>
            <w:noWrap/>
          </w:tcPr>
          <w:p w14:paraId="659992BA"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4F9EDA09" w14:textId="77777777" w:rsidR="00FD6F91" w:rsidRPr="00847FAE" w:rsidRDefault="00FD6F91" w:rsidP="00FD6F91">
            <w:pPr>
              <w:jc w:val="center"/>
              <w:rPr>
                <w:rFonts w:cs="Calibri"/>
                <w:color w:val="000000"/>
                <w:sz w:val="18"/>
                <w:szCs w:val="18"/>
              </w:rPr>
            </w:pPr>
            <w:r w:rsidRPr="00847FAE">
              <w:rPr>
                <w:rFonts w:cs="Calibri"/>
                <w:color w:val="000000"/>
                <w:sz w:val="18"/>
                <w:szCs w:val="18"/>
              </w:rPr>
              <w:t>171</w:t>
            </w:r>
          </w:p>
        </w:tc>
        <w:tc>
          <w:tcPr>
            <w:tcW w:w="992" w:type="dxa"/>
            <w:tcBorders>
              <w:top w:val="nil"/>
              <w:left w:val="nil"/>
              <w:bottom w:val="nil"/>
              <w:right w:val="nil"/>
            </w:tcBorders>
            <w:noWrap/>
            <w:vAlign w:val="center"/>
          </w:tcPr>
          <w:p w14:paraId="1C1F7DC3" w14:textId="77777777" w:rsidR="00FD6F91" w:rsidRPr="00847FAE" w:rsidRDefault="00FD6F91" w:rsidP="00FD6F91">
            <w:pPr>
              <w:jc w:val="center"/>
              <w:rPr>
                <w:rFonts w:cs="Calibri"/>
                <w:color w:val="000000"/>
                <w:sz w:val="18"/>
                <w:szCs w:val="18"/>
              </w:rPr>
            </w:pPr>
            <w:r w:rsidRPr="00847FAE">
              <w:rPr>
                <w:rFonts w:cs="Calibri"/>
                <w:color w:val="000000"/>
                <w:sz w:val="18"/>
                <w:szCs w:val="18"/>
              </w:rPr>
              <w:t>202</w:t>
            </w:r>
          </w:p>
        </w:tc>
        <w:tc>
          <w:tcPr>
            <w:tcW w:w="992" w:type="dxa"/>
            <w:tcBorders>
              <w:top w:val="nil"/>
              <w:left w:val="nil"/>
              <w:bottom w:val="nil"/>
              <w:right w:val="nil"/>
            </w:tcBorders>
            <w:noWrap/>
            <w:vAlign w:val="center"/>
          </w:tcPr>
          <w:p w14:paraId="7F286A4B" w14:textId="77777777" w:rsidR="00FD6F91" w:rsidRPr="00847FAE" w:rsidRDefault="00FD6F91" w:rsidP="00FD6F91">
            <w:pPr>
              <w:jc w:val="center"/>
              <w:rPr>
                <w:rFonts w:cs="Calibri"/>
                <w:color w:val="000000"/>
                <w:sz w:val="18"/>
                <w:szCs w:val="18"/>
              </w:rPr>
            </w:pPr>
            <w:r w:rsidRPr="00847FAE">
              <w:rPr>
                <w:rFonts w:cs="Calibri"/>
                <w:color w:val="000000"/>
                <w:sz w:val="18"/>
                <w:szCs w:val="18"/>
              </w:rPr>
              <w:t>160</w:t>
            </w:r>
          </w:p>
        </w:tc>
        <w:tc>
          <w:tcPr>
            <w:tcW w:w="992" w:type="dxa"/>
            <w:tcBorders>
              <w:top w:val="nil"/>
              <w:left w:val="nil"/>
              <w:bottom w:val="nil"/>
              <w:right w:val="nil"/>
            </w:tcBorders>
            <w:noWrap/>
            <w:vAlign w:val="center"/>
          </w:tcPr>
          <w:p w14:paraId="4C82B1E3" w14:textId="77777777" w:rsidR="00FD6F91" w:rsidRPr="00847FAE" w:rsidRDefault="00FD6F91" w:rsidP="00FD6F91">
            <w:pPr>
              <w:jc w:val="center"/>
              <w:rPr>
                <w:rFonts w:cs="Calibri"/>
                <w:color w:val="000000"/>
                <w:sz w:val="18"/>
                <w:szCs w:val="18"/>
              </w:rPr>
            </w:pPr>
            <w:r w:rsidRPr="00847FAE">
              <w:rPr>
                <w:rFonts w:cs="Calibri"/>
                <w:color w:val="000000"/>
                <w:sz w:val="18"/>
                <w:szCs w:val="18"/>
              </w:rPr>
              <w:t>165</w:t>
            </w:r>
          </w:p>
        </w:tc>
        <w:tc>
          <w:tcPr>
            <w:tcW w:w="992" w:type="dxa"/>
            <w:tcBorders>
              <w:top w:val="nil"/>
              <w:left w:val="nil"/>
              <w:bottom w:val="nil"/>
              <w:right w:val="nil"/>
            </w:tcBorders>
            <w:noWrap/>
            <w:vAlign w:val="center"/>
          </w:tcPr>
          <w:p w14:paraId="4CEF2802" w14:textId="77777777" w:rsidR="00FD6F91" w:rsidRPr="00847FAE" w:rsidRDefault="00FD6F91" w:rsidP="00FD6F91">
            <w:pPr>
              <w:jc w:val="center"/>
              <w:rPr>
                <w:rFonts w:cs="Calibri"/>
                <w:color w:val="000000"/>
                <w:sz w:val="18"/>
                <w:szCs w:val="18"/>
              </w:rPr>
            </w:pPr>
            <w:r w:rsidRPr="00847FAE">
              <w:rPr>
                <w:rFonts w:cs="Calibri"/>
                <w:color w:val="000000"/>
                <w:sz w:val="18"/>
                <w:szCs w:val="18"/>
              </w:rPr>
              <w:t>215</w:t>
            </w:r>
          </w:p>
        </w:tc>
        <w:tc>
          <w:tcPr>
            <w:tcW w:w="1135" w:type="dxa"/>
            <w:tcBorders>
              <w:top w:val="nil"/>
              <w:left w:val="nil"/>
              <w:bottom w:val="nil"/>
              <w:right w:val="nil"/>
            </w:tcBorders>
            <w:noWrap/>
            <w:vAlign w:val="center"/>
          </w:tcPr>
          <w:p w14:paraId="0DDEA6B4" w14:textId="77777777" w:rsidR="00FD6F91" w:rsidRPr="00847FAE" w:rsidRDefault="00FD6F91" w:rsidP="00FD6F91">
            <w:pPr>
              <w:jc w:val="center"/>
              <w:rPr>
                <w:rFonts w:cs="Calibri"/>
                <w:color w:val="000000"/>
                <w:sz w:val="18"/>
                <w:szCs w:val="18"/>
              </w:rPr>
            </w:pPr>
            <w:r w:rsidRPr="00847FAE">
              <w:rPr>
                <w:rFonts w:cs="Calibri"/>
                <w:color w:val="000000"/>
                <w:sz w:val="18"/>
                <w:szCs w:val="18"/>
              </w:rPr>
              <w:t>30.3%</w:t>
            </w:r>
          </w:p>
        </w:tc>
      </w:tr>
      <w:tr w:rsidR="00FD6F91" w:rsidRPr="00847FAE" w14:paraId="782C86E9" w14:textId="77777777" w:rsidTr="001F1F60">
        <w:trPr>
          <w:cantSplit/>
          <w:trHeight w:val="227"/>
        </w:trPr>
        <w:tc>
          <w:tcPr>
            <w:tcW w:w="3119" w:type="dxa"/>
            <w:gridSpan w:val="4"/>
            <w:tcBorders>
              <w:top w:val="nil"/>
              <w:left w:val="nil"/>
              <w:bottom w:val="nil"/>
              <w:right w:val="nil"/>
            </w:tcBorders>
            <w:noWrap/>
          </w:tcPr>
          <w:p w14:paraId="78DA3B33"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671E0724" w14:textId="77777777" w:rsidR="00FD6F91" w:rsidRPr="00847FAE" w:rsidRDefault="00FD6F91" w:rsidP="00FD6F91">
            <w:pPr>
              <w:jc w:val="center"/>
              <w:rPr>
                <w:rFonts w:cs="Calibri"/>
                <w:color w:val="000000"/>
                <w:sz w:val="18"/>
                <w:szCs w:val="18"/>
              </w:rPr>
            </w:pPr>
            <w:r w:rsidRPr="00847FAE">
              <w:rPr>
                <w:rFonts w:cs="Calibri"/>
                <w:color w:val="000000"/>
                <w:sz w:val="18"/>
                <w:szCs w:val="18"/>
              </w:rPr>
              <w:t>171</w:t>
            </w:r>
          </w:p>
        </w:tc>
        <w:tc>
          <w:tcPr>
            <w:tcW w:w="992" w:type="dxa"/>
            <w:tcBorders>
              <w:top w:val="nil"/>
              <w:left w:val="nil"/>
              <w:bottom w:val="nil"/>
              <w:right w:val="nil"/>
            </w:tcBorders>
            <w:noWrap/>
            <w:vAlign w:val="center"/>
          </w:tcPr>
          <w:p w14:paraId="0604D469" w14:textId="77777777" w:rsidR="00FD6F91" w:rsidRPr="00847FAE" w:rsidRDefault="00FD6F91" w:rsidP="00FD6F91">
            <w:pPr>
              <w:jc w:val="center"/>
              <w:rPr>
                <w:rFonts w:cs="Calibri"/>
                <w:color w:val="000000"/>
                <w:sz w:val="18"/>
                <w:szCs w:val="18"/>
              </w:rPr>
            </w:pPr>
            <w:r w:rsidRPr="00847FAE">
              <w:rPr>
                <w:rFonts w:cs="Calibri"/>
                <w:color w:val="000000"/>
                <w:sz w:val="18"/>
                <w:szCs w:val="18"/>
              </w:rPr>
              <w:t>190</w:t>
            </w:r>
          </w:p>
        </w:tc>
        <w:tc>
          <w:tcPr>
            <w:tcW w:w="992" w:type="dxa"/>
            <w:tcBorders>
              <w:top w:val="nil"/>
              <w:left w:val="nil"/>
              <w:bottom w:val="nil"/>
              <w:right w:val="nil"/>
            </w:tcBorders>
            <w:noWrap/>
            <w:vAlign w:val="center"/>
          </w:tcPr>
          <w:p w14:paraId="02557BF1" w14:textId="77777777" w:rsidR="00FD6F91" w:rsidRPr="00847FAE" w:rsidRDefault="00FD6F91" w:rsidP="00FD6F91">
            <w:pPr>
              <w:jc w:val="center"/>
              <w:rPr>
                <w:rFonts w:cs="Calibri"/>
                <w:color w:val="000000"/>
                <w:sz w:val="18"/>
                <w:szCs w:val="18"/>
              </w:rPr>
            </w:pPr>
            <w:r w:rsidRPr="00847FAE">
              <w:rPr>
                <w:rFonts w:cs="Calibri"/>
                <w:color w:val="000000"/>
                <w:sz w:val="18"/>
                <w:szCs w:val="18"/>
              </w:rPr>
              <w:t>171</w:t>
            </w:r>
          </w:p>
        </w:tc>
        <w:tc>
          <w:tcPr>
            <w:tcW w:w="992" w:type="dxa"/>
            <w:tcBorders>
              <w:top w:val="nil"/>
              <w:left w:val="nil"/>
              <w:bottom w:val="nil"/>
              <w:right w:val="nil"/>
            </w:tcBorders>
            <w:noWrap/>
            <w:vAlign w:val="center"/>
          </w:tcPr>
          <w:p w14:paraId="24807E15" w14:textId="77777777" w:rsidR="00FD6F91" w:rsidRPr="00847FAE" w:rsidRDefault="00FD6F91" w:rsidP="00FD6F91">
            <w:pPr>
              <w:jc w:val="center"/>
              <w:rPr>
                <w:rFonts w:cs="Calibri"/>
                <w:color w:val="000000"/>
                <w:sz w:val="18"/>
                <w:szCs w:val="18"/>
              </w:rPr>
            </w:pPr>
            <w:r w:rsidRPr="00847FAE">
              <w:rPr>
                <w:rFonts w:cs="Calibri"/>
                <w:color w:val="000000"/>
                <w:sz w:val="18"/>
                <w:szCs w:val="18"/>
              </w:rPr>
              <w:t>147</w:t>
            </w:r>
          </w:p>
        </w:tc>
        <w:tc>
          <w:tcPr>
            <w:tcW w:w="992" w:type="dxa"/>
            <w:tcBorders>
              <w:top w:val="nil"/>
              <w:left w:val="nil"/>
              <w:bottom w:val="nil"/>
              <w:right w:val="nil"/>
            </w:tcBorders>
            <w:noWrap/>
            <w:vAlign w:val="center"/>
          </w:tcPr>
          <w:p w14:paraId="7071A194" w14:textId="77777777" w:rsidR="00FD6F91" w:rsidRPr="00847FAE" w:rsidRDefault="00FD6F91" w:rsidP="00FD6F91">
            <w:pPr>
              <w:jc w:val="center"/>
              <w:rPr>
                <w:rFonts w:cs="Calibri"/>
                <w:color w:val="000000"/>
                <w:sz w:val="18"/>
                <w:szCs w:val="18"/>
              </w:rPr>
            </w:pPr>
            <w:r w:rsidRPr="00847FAE">
              <w:rPr>
                <w:rFonts w:cs="Calibri"/>
                <w:color w:val="000000"/>
                <w:sz w:val="18"/>
                <w:szCs w:val="18"/>
              </w:rPr>
              <w:t>206</w:t>
            </w:r>
          </w:p>
        </w:tc>
        <w:tc>
          <w:tcPr>
            <w:tcW w:w="1135" w:type="dxa"/>
            <w:tcBorders>
              <w:top w:val="nil"/>
              <w:left w:val="nil"/>
              <w:bottom w:val="nil"/>
              <w:right w:val="nil"/>
            </w:tcBorders>
            <w:noWrap/>
            <w:vAlign w:val="center"/>
          </w:tcPr>
          <w:p w14:paraId="52509337" w14:textId="77777777" w:rsidR="00FD6F91" w:rsidRPr="00847FAE" w:rsidRDefault="00FD6F91" w:rsidP="00FD6F91">
            <w:pPr>
              <w:jc w:val="center"/>
              <w:rPr>
                <w:rFonts w:cs="Calibri"/>
                <w:color w:val="000000"/>
                <w:sz w:val="18"/>
                <w:szCs w:val="18"/>
              </w:rPr>
            </w:pPr>
            <w:r w:rsidRPr="00847FAE">
              <w:rPr>
                <w:rFonts w:cs="Calibri"/>
                <w:color w:val="000000"/>
                <w:sz w:val="18"/>
                <w:szCs w:val="18"/>
              </w:rPr>
              <w:t>40.1%</w:t>
            </w:r>
          </w:p>
        </w:tc>
      </w:tr>
      <w:tr w:rsidR="00FD6F91" w:rsidRPr="00847FAE" w14:paraId="4F6428F8"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5F4081FE"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Traffic and other offences</w:t>
            </w:r>
          </w:p>
        </w:tc>
        <w:tc>
          <w:tcPr>
            <w:tcW w:w="992" w:type="dxa"/>
            <w:tcBorders>
              <w:top w:val="nil"/>
              <w:left w:val="nil"/>
              <w:bottom w:val="nil"/>
              <w:right w:val="nil"/>
            </w:tcBorders>
            <w:shd w:val="clear" w:color="auto" w:fill="D9D9D9" w:themeFill="background1" w:themeFillShade="D9"/>
            <w:noWrap/>
            <w:vAlign w:val="bottom"/>
          </w:tcPr>
          <w:p w14:paraId="48C7D619"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356D5B58"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3F5605C7"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62286FB8"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4452CA2C" w14:textId="77777777" w:rsidR="00FD6F91" w:rsidRPr="00847FAE" w:rsidRDefault="00FD6F91" w:rsidP="00FD6F91">
            <w:pPr>
              <w:jc w:val="right"/>
              <w:rPr>
                <w:rFonts w:cs="Calibri"/>
                <w:iCs/>
                <w:color w:val="000000"/>
                <w:sz w:val="18"/>
              </w:rPr>
            </w:pPr>
          </w:p>
        </w:tc>
        <w:tc>
          <w:tcPr>
            <w:tcW w:w="1135" w:type="dxa"/>
            <w:tcBorders>
              <w:top w:val="nil"/>
              <w:left w:val="nil"/>
              <w:bottom w:val="nil"/>
              <w:right w:val="nil"/>
            </w:tcBorders>
            <w:shd w:val="clear" w:color="auto" w:fill="D9D9D9" w:themeFill="background1" w:themeFillShade="D9"/>
            <w:noWrap/>
            <w:vAlign w:val="bottom"/>
          </w:tcPr>
          <w:p w14:paraId="3722DC24" w14:textId="77777777" w:rsidR="00FD6F91" w:rsidRPr="00847FAE" w:rsidRDefault="00FD6F91" w:rsidP="00FD6F91">
            <w:pPr>
              <w:jc w:val="center"/>
              <w:rPr>
                <w:rFonts w:cs="Calibri"/>
                <w:iCs/>
                <w:color w:val="000000"/>
                <w:sz w:val="18"/>
              </w:rPr>
            </w:pPr>
          </w:p>
        </w:tc>
      </w:tr>
      <w:tr w:rsidR="00FD6F91" w:rsidRPr="00847FAE" w14:paraId="4783B379" w14:textId="77777777" w:rsidTr="001F1F60">
        <w:trPr>
          <w:cantSplit/>
          <w:trHeight w:val="227"/>
        </w:trPr>
        <w:tc>
          <w:tcPr>
            <w:tcW w:w="3119" w:type="dxa"/>
            <w:gridSpan w:val="4"/>
            <w:tcBorders>
              <w:top w:val="nil"/>
              <w:left w:val="nil"/>
              <w:bottom w:val="nil"/>
              <w:right w:val="nil"/>
            </w:tcBorders>
            <w:noWrap/>
          </w:tcPr>
          <w:p w14:paraId="50848E68"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0857FD3B" w14:textId="77777777" w:rsidR="00FD6F91" w:rsidRPr="00847FAE" w:rsidRDefault="00FD6F91" w:rsidP="00FD6F91">
            <w:pPr>
              <w:jc w:val="center"/>
              <w:rPr>
                <w:rFonts w:cs="Calibri"/>
                <w:color w:val="000000"/>
                <w:sz w:val="18"/>
                <w:szCs w:val="18"/>
              </w:rPr>
            </w:pPr>
            <w:r w:rsidRPr="00847FAE">
              <w:rPr>
                <w:rFonts w:cs="Calibri"/>
                <w:color w:val="000000"/>
                <w:sz w:val="18"/>
                <w:szCs w:val="18"/>
              </w:rPr>
              <w:t>211</w:t>
            </w:r>
          </w:p>
        </w:tc>
        <w:tc>
          <w:tcPr>
            <w:tcW w:w="992" w:type="dxa"/>
            <w:tcBorders>
              <w:top w:val="nil"/>
              <w:left w:val="nil"/>
              <w:bottom w:val="nil"/>
              <w:right w:val="nil"/>
            </w:tcBorders>
            <w:noWrap/>
            <w:vAlign w:val="center"/>
          </w:tcPr>
          <w:p w14:paraId="329A84EB" w14:textId="77777777" w:rsidR="00FD6F91" w:rsidRPr="00847FAE" w:rsidRDefault="00FD6F91" w:rsidP="00FD6F91">
            <w:pPr>
              <w:jc w:val="center"/>
              <w:rPr>
                <w:rFonts w:cs="Calibri"/>
                <w:color w:val="000000"/>
                <w:sz w:val="18"/>
                <w:szCs w:val="18"/>
              </w:rPr>
            </w:pPr>
            <w:r w:rsidRPr="00847FAE">
              <w:rPr>
                <w:rFonts w:cs="Calibri"/>
                <w:color w:val="000000"/>
                <w:sz w:val="18"/>
                <w:szCs w:val="18"/>
              </w:rPr>
              <w:t>201</w:t>
            </w:r>
          </w:p>
        </w:tc>
        <w:tc>
          <w:tcPr>
            <w:tcW w:w="992" w:type="dxa"/>
            <w:tcBorders>
              <w:top w:val="nil"/>
              <w:left w:val="nil"/>
              <w:bottom w:val="nil"/>
              <w:right w:val="nil"/>
            </w:tcBorders>
            <w:noWrap/>
            <w:vAlign w:val="center"/>
          </w:tcPr>
          <w:p w14:paraId="6CEA05F5" w14:textId="77777777" w:rsidR="00FD6F91" w:rsidRPr="00847FAE" w:rsidRDefault="00FD6F91" w:rsidP="00FD6F91">
            <w:pPr>
              <w:jc w:val="center"/>
              <w:rPr>
                <w:rFonts w:cs="Calibri"/>
                <w:color w:val="000000"/>
                <w:sz w:val="18"/>
                <w:szCs w:val="18"/>
              </w:rPr>
            </w:pPr>
            <w:r w:rsidRPr="00847FAE">
              <w:rPr>
                <w:rFonts w:cs="Calibri"/>
                <w:color w:val="000000"/>
                <w:sz w:val="18"/>
                <w:szCs w:val="18"/>
              </w:rPr>
              <w:t>175</w:t>
            </w:r>
          </w:p>
        </w:tc>
        <w:tc>
          <w:tcPr>
            <w:tcW w:w="992" w:type="dxa"/>
            <w:tcBorders>
              <w:top w:val="nil"/>
              <w:left w:val="nil"/>
              <w:bottom w:val="nil"/>
              <w:right w:val="nil"/>
            </w:tcBorders>
            <w:noWrap/>
            <w:vAlign w:val="center"/>
          </w:tcPr>
          <w:p w14:paraId="68F378FE" w14:textId="77777777" w:rsidR="00FD6F91" w:rsidRPr="00847FAE" w:rsidRDefault="00FD6F91" w:rsidP="00FD6F91">
            <w:pPr>
              <w:jc w:val="center"/>
              <w:rPr>
                <w:rFonts w:cs="Calibri"/>
                <w:color w:val="000000"/>
                <w:sz w:val="18"/>
                <w:szCs w:val="18"/>
              </w:rPr>
            </w:pPr>
            <w:r w:rsidRPr="00847FAE">
              <w:rPr>
                <w:rFonts w:cs="Calibri"/>
                <w:color w:val="000000"/>
                <w:sz w:val="18"/>
                <w:szCs w:val="18"/>
              </w:rPr>
              <w:t>159</w:t>
            </w:r>
          </w:p>
        </w:tc>
        <w:tc>
          <w:tcPr>
            <w:tcW w:w="992" w:type="dxa"/>
            <w:tcBorders>
              <w:top w:val="nil"/>
              <w:left w:val="nil"/>
              <w:bottom w:val="nil"/>
              <w:right w:val="nil"/>
            </w:tcBorders>
            <w:noWrap/>
            <w:vAlign w:val="center"/>
          </w:tcPr>
          <w:p w14:paraId="5F75A52D" w14:textId="77777777" w:rsidR="00FD6F91" w:rsidRPr="00847FAE" w:rsidRDefault="00FD6F91" w:rsidP="00FD6F91">
            <w:pPr>
              <w:jc w:val="center"/>
              <w:rPr>
                <w:rFonts w:cs="Calibri"/>
                <w:color w:val="000000"/>
                <w:sz w:val="18"/>
                <w:szCs w:val="18"/>
              </w:rPr>
            </w:pPr>
            <w:r w:rsidRPr="00847FAE">
              <w:rPr>
                <w:rFonts w:cs="Calibri"/>
                <w:color w:val="000000"/>
                <w:sz w:val="18"/>
                <w:szCs w:val="18"/>
              </w:rPr>
              <w:t>112</w:t>
            </w:r>
          </w:p>
        </w:tc>
        <w:tc>
          <w:tcPr>
            <w:tcW w:w="1135" w:type="dxa"/>
            <w:tcBorders>
              <w:top w:val="nil"/>
              <w:left w:val="nil"/>
              <w:bottom w:val="nil"/>
              <w:right w:val="nil"/>
            </w:tcBorders>
            <w:noWrap/>
            <w:vAlign w:val="center"/>
          </w:tcPr>
          <w:p w14:paraId="3F4EA7AF" w14:textId="77777777" w:rsidR="00FD6F91" w:rsidRPr="00847FAE" w:rsidRDefault="00FD6F91" w:rsidP="00FD6F91">
            <w:pPr>
              <w:jc w:val="center"/>
              <w:rPr>
                <w:rFonts w:cs="Calibri"/>
                <w:color w:val="000000"/>
                <w:sz w:val="18"/>
                <w:szCs w:val="18"/>
              </w:rPr>
            </w:pPr>
            <w:r w:rsidRPr="00847FAE">
              <w:rPr>
                <w:rFonts w:cs="Calibri"/>
                <w:color w:val="000000"/>
                <w:sz w:val="18"/>
                <w:szCs w:val="18"/>
              </w:rPr>
              <w:t>-29.6%</w:t>
            </w:r>
          </w:p>
        </w:tc>
      </w:tr>
      <w:tr w:rsidR="00FD6F91" w:rsidRPr="00847FAE" w14:paraId="41AF9558" w14:textId="77777777" w:rsidTr="001F1F60">
        <w:trPr>
          <w:cantSplit/>
          <w:trHeight w:val="227"/>
        </w:trPr>
        <w:tc>
          <w:tcPr>
            <w:tcW w:w="3119" w:type="dxa"/>
            <w:gridSpan w:val="4"/>
            <w:tcBorders>
              <w:top w:val="nil"/>
              <w:left w:val="nil"/>
              <w:bottom w:val="nil"/>
              <w:right w:val="nil"/>
            </w:tcBorders>
            <w:noWrap/>
          </w:tcPr>
          <w:p w14:paraId="22890D10"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7EC6EC0F" w14:textId="77777777" w:rsidR="00FD6F91" w:rsidRPr="00847FAE" w:rsidRDefault="00FD6F91" w:rsidP="00FD6F91">
            <w:pPr>
              <w:jc w:val="center"/>
              <w:rPr>
                <w:rFonts w:cs="Calibri"/>
                <w:color w:val="000000"/>
                <w:sz w:val="18"/>
                <w:szCs w:val="18"/>
              </w:rPr>
            </w:pPr>
            <w:r w:rsidRPr="00847FAE">
              <w:rPr>
                <w:rFonts w:cs="Calibri"/>
                <w:color w:val="000000"/>
                <w:sz w:val="18"/>
                <w:szCs w:val="18"/>
              </w:rPr>
              <w:t>212</w:t>
            </w:r>
          </w:p>
        </w:tc>
        <w:tc>
          <w:tcPr>
            <w:tcW w:w="992" w:type="dxa"/>
            <w:tcBorders>
              <w:top w:val="nil"/>
              <w:left w:val="nil"/>
              <w:bottom w:val="nil"/>
              <w:right w:val="nil"/>
            </w:tcBorders>
            <w:noWrap/>
            <w:vAlign w:val="center"/>
          </w:tcPr>
          <w:p w14:paraId="305B0611" w14:textId="77777777" w:rsidR="00FD6F91" w:rsidRPr="00847FAE" w:rsidRDefault="00FD6F91" w:rsidP="00FD6F91">
            <w:pPr>
              <w:jc w:val="center"/>
              <w:rPr>
                <w:rFonts w:cs="Calibri"/>
                <w:color w:val="000000"/>
                <w:sz w:val="18"/>
                <w:szCs w:val="18"/>
              </w:rPr>
            </w:pPr>
            <w:r w:rsidRPr="00847FAE">
              <w:rPr>
                <w:rFonts w:cs="Calibri"/>
                <w:color w:val="000000"/>
                <w:sz w:val="18"/>
                <w:szCs w:val="18"/>
              </w:rPr>
              <w:t>206</w:t>
            </w:r>
          </w:p>
        </w:tc>
        <w:tc>
          <w:tcPr>
            <w:tcW w:w="992" w:type="dxa"/>
            <w:tcBorders>
              <w:top w:val="nil"/>
              <w:left w:val="nil"/>
              <w:bottom w:val="nil"/>
              <w:right w:val="nil"/>
            </w:tcBorders>
            <w:noWrap/>
            <w:vAlign w:val="center"/>
          </w:tcPr>
          <w:p w14:paraId="2F049584" w14:textId="77777777" w:rsidR="00FD6F91" w:rsidRPr="00847FAE" w:rsidRDefault="00FD6F91" w:rsidP="00FD6F91">
            <w:pPr>
              <w:jc w:val="center"/>
              <w:rPr>
                <w:rFonts w:cs="Calibri"/>
                <w:color w:val="000000"/>
                <w:sz w:val="18"/>
                <w:szCs w:val="18"/>
              </w:rPr>
            </w:pPr>
            <w:r w:rsidRPr="00847FAE">
              <w:rPr>
                <w:rFonts w:cs="Calibri"/>
                <w:color w:val="000000"/>
                <w:sz w:val="18"/>
                <w:szCs w:val="18"/>
              </w:rPr>
              <w:t>191</w:t>
            </w:r>
          </w:p>
        </w:tc>
        <w:tc>
          <w:tcPr>
            <w:tcW w:w="992" w:type="dxa"/>
            <w:tcBorders>
              <w:top w:val="nil"/>
              <w:left w:val="nil"/>
              <w:bottom w:val="nil"/>
              <w:right w:val="nil"/>
            </w:tcBorders>
            <w:noWrap/>
            <w:vAlign w:val="center"/>
          </w:tcPr>
          <w:p w14:paraId="5DE8AC89" w14:textId="77777777" w:rsidR="00FD6F91" w:rsidRPr="00847FAE" w:rsidRDefault="00FD6F91" w:rsidP="00FD6F91">
            <w:pPr>
              <w:jc w:val="center"/>
              <w:rPr>
                <w:rFonts w:cs="Calibri"/>
                <w:color w:val="000000"/>
                <w:sz w:val="18"/>
                <w:szCs w:val="18"/>
              </w:rPr>
            </w:pPr>
            <w:r w:rsidRPr="00847FAE">
              <w:rPr>
                <w:rFonts w:cs="Calibri"/>
                <w:color w:val="000000"/>
                <w:sz w:val="18"/>
                <w:szCs w:val="18"/>
              </w:rPr>
              <w:t>160</w:t>
            </w:r>
          </w:p>
        </w:tc>
        <w:tc>
          <w:tcPr>
            <w:tcW w:w="992" w:type="dxa"/>
            <w:tcBorders>
              <w:top w:val="nil"/>
              <w:left w:val="nil"/>
              <w:bottom w:val="nil"/>
              <w:right w:val="nil"/>
            </w:tcBorders>
            <w:noWrap/>
            <w:vAlign w:val="center"/>
          </w:tcPr>
          <w:p w14:paraId="422FFDD4" w14:textId="77777777" w:rsidR="00FD6F91" w:rsidRPr="00847FAE" w:rsidRDefault="00FD6F91" w:rsidP="00FD6F91">
            <w:pPr>
              <w:jc w:val="center"/>
              <w:rPr>
                <w:rFonts w:cs="Calibri"/>
                <w:color w:val="000000"/>
                <w:sz w:val="18"/>
                <w:szCs w:val="18"/>
              </w:rPr>
            </w:pPr>
            <w:r w:rsidRPr="00847FAE">
              <w:rPr>
                <w:rFonts w:cs="Calibri"/>
                <w:color w:val="000000"/>
                <w:sz w:val="18"/>
                <w:szCs w:val="18"/>
              </w:rPr>
              <w:t>124</w:t>
            </w:r>
          </w:p>
        </w:tc>
        <w:tc>
          <w:tcPr>
            <w:tcW w:w="1135" w:type="dxa"/>
            <w:tcBorders>
              <w:top w:val="nil"/>
              <w:left w:val="nil"/>
              <w:bottom w:val="nil"/>
              <w:right w:val="nil"/>
            </w:tcBorders>
            <w:noWrap/>
            <w:vAlign w:val="center"/>
          </w:tcPr>
          <w:p w14:paraId="462983BC" w14:textId="77777777" w:rsidR="00FD6F91" w:rsidRPr="00847FAE" w:rsidRDefault="00FD6F91" w:rsidP="00FD6F91">
            <w:pPr>
              <w:jc w:val="center"/>
              <w:rPr>
                <w:rFonts w:cs="Calibri"/>
                <w:color w:val="000000"/>
                <w:sz w:val="18"/>
                <w:szCs w:val="18"/>
              </w:rPr>
            </w:pPr>
            <w:r w:rsidRPr="00847FAE">
              <w:rPr>
                <w:rFonts w:cs="Calibri"/>
                <w:color w:val="000000"/>
                <w:sz w:val="18"/>
                <w:szCs w:val="18"/>
              </w:rPr>
              <w:t>-22.5%</w:t>
            </w:r>
          </w:p>
        </w:tc>
      </w:tr>
      <w:tr w:rsidR="00FD6F91" w:rsidRPr="00847FAE" w14:paraId="6282A455"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080126D7"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Justice procedure offences</w:t>
            </w:r>
          </w:p>
        </w:tc>
        <w:tc>
          <w:tcPr>
            <w:tcW w:w="992" w:type="dxa"/>
            <w:tcBorders>
              <w:top w:val="nil"/>
              <w:left w:val="nil"/>
              <w:bottom w:val="nil"/>
              <w:right w:val="nil"/>
            </w:tcBorders>
            <w:shd w:val="clear" w:color="auto" w:fill="D9D9D9" w:themeFill="background1" w:themeFillShade="D9"/>
            <w:noWrap/>
            <w:vAlign w:val="bottom"/>
          </w:tcPr>
          <w:p w14:paraId="2F3BBFBA"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22371033"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35752EE6"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6B94F423"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4C66C099" w14:textId="77777777" w:rsidR="00FD6F91" w:rsidRPr="00847FAE" w:rsidRDefault="00FD6F91" w:rsidP="00FD6F91">
            <w:pPr>
              <w:jc w:val="right"/>
              <w:rPr>
                <w:rFonts w:cs="Calibri"/>
                <w:iCs/>
                <w:color w:val="000000"/>
                <w:sz w:val="18"/>
              </w:rPr>
            </w:pPr>
          </w:p>
        </w:tc>
        <w:tc>
          <w:tcPr>
            <w:tcW w:w="1135" w:type="dxa"/>
            <w:tcBorders>
              <w:top w:val="nil"/>
              <w:left w:val="nil"/>
              <w:bottom w:val="nil"/>
              <w:right w:val="nil"/>
            </w:tcBorders>
            <w:shd w:val="clear" w:color="auto" w:fill="D9D9D9" w:themeFill="background1" w:themeFillShade="D9"/>
            <w:noWrap/>
            <w:vAlign w:val="bottom"/>
          </w:tcPr>
          <w:p w14:paraId="1CF79E5A" w14:textId="77777777" w:rsidR="00FD6F91" w:rsidRPr="00847FAE" w:rsidRDefault="00FD6F91" w:rsidP="00FD6F91">
            <w:pPr>
              <w:jc w:val="center"/>
              <w:rPr>
                <w:rFonts w:cs="Calibri"/>
                <w:iCs/>
                <w:color w:val="000000"/>
                <w:sz w:val="18"/>
              </w:rPr>
            </w:pPr>
          </w:p>
        </w:tc>
      </w:tr>
      <w:tr w:rsidR="00FD6F91" w:rsidRPr="00847FAE" w14:paraId="050867C8" w14:textId="77777777" w:rsidTr="001F1F60">
        <w:trPr>
          <w:cantSplit/>
          <w:trHeight w:val="227"/>
        </w:trPr>
        <w:tc>
          <w:tcPr>
            <w:tcW w:w="3119" w:type="dxa"/>
            <w:gridSpan w:val="4"/>
            <w:tcBorders>
              <w:top w:val="nil"/>
              <w:left w:val="nil"/>
              <w:bottom w:val="nil"/>
              <w:right w:val="nil"/>
            </w:tcBorders>
            <w:noWrap/>
          </w:tcPr>
          <w:p w14:paraId="48E72F37"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680B1EC1" w14:textId="77777777" w:rsidR="00FD6F91" w:rsidRPr="00847FAE" w:rsidRDefault="00FD6F91" w:rsidP="00FD6F91">
            <w:pPr>
              <w:jc w:val="center"/>
              <w:rPr>
                <w:rFonts w:cs="Calibri"/>
                <w:color w:val="000000"/>
                <w:sz w:val="18"/>
                <w:szCs w:val="18"/>
              </w:rPr>
            </w:pPr>
            <w:r w:rsidRPr="00847FAE">
              <w:rPr>
                <w:rFonts w:cs="Calibri"/>
                <w:color w:val="000000"/>
                <w:sz w:val="18"/>
                <w:szCs w:val="18"/>
              </w:rPr>
              <w:t>64</w:t>
            </w:r>
          </w:p>
        </w:tc>
        <w:tc>
          <w:tcPr>
            <w:tcW w:w="992" w:type="dxa"/>
            <w:tcBorders>
              <w:top w:val="nil"/>
              <w:left w:val="nil"/>
              <w:bottom w:val="nil"/>
              <w:right w:val="nil"/>
            </w:tcBorders>
            <w:noWrap/>
            <w:vAlign w:val="center"/>
          </w:tcPr>
          <w:p w14:paraId="0DA7C0C9" w14:textId="77777777" w:rsidR="00FD6F91" w:rsidRPr="00847FAE" w:rsidRDefault="00FD6F91" w:rsidP="00FD6F91">
            <w:pPr>
              <w:jc w:val="center"/>
              <w:rPr>
                <w:rFonts w:cs="Calibri"/>
                <w:color w:val="000000"/>
                <w:sz w:val="18"/>
                <w:szCs w:val="18"/>
              </w:rPr>
            </w:pPr>
            <w:r w:rsidRPr="00847FAE">
              <w:rPr>
                <w:rFonts w:cs="Calibri"/>
                <w:color w:val="000000"/>
                <w:sz w:val="18"/>
                <w:szCs w:val="18"/>
              </w:rPr>
              <w:t>46</w:t>
            </w:r>
          </w:p>
        </w:tc>
        <w:tc>
          <w:tcPr>
            <w:tcW w:w="992" w:type="dxa"/>
            <w:tcBorders>
              <w:top w:val="nil"/>
              <w:left w:val="nil"/>
              <w:bottom w:val="nil"/>
              <w:right w:val="nil"/>
            </w:tcBorders>
            <w:noWrap/>
            <w:vAlign w:val="center"/>
          </w:tcPr>
          <w:p w14:paraId="779B9D5B" w14:textId="77777777" w:rsidR="00FD6F91" w:rsidRPr="00847FAE" w:rsidRDefault="00FD6F91" w:rsidP="00FD6F91">
            <w:pPr>
              <w:jc w:val="center"/>
              <w:rPr>
                <w:rFonts w:cs="Calibri"/>
                <w:color w:val="000000"/>
                <w:sz w:val="18"/>
                <w:szCs w:val="18"/>
              </w:rPr>
            </w:pPr>
            <w:r w:rsidRPr="00847FAE">
              <w:rPr>
                <w:rFonts w:cs="Calibri"/>
                <w:color w:val="000000"/>
                <w:sz w:val="18"/>
                <w:szCs w:val="18"/>
              </w:rPr>
              <w:t>45</w:t>
            </w:r>
          </w:p>
        </w:tc>
        <w:tc>
          <w:tcPr>
            <w:tcW w:w="992" w:type="dxa"/>
            <w:tcBorders>
              <w:top w:val="nil"/>
              <w:left w:val="nil"/>
              <w:bottom w:val="nil"/>
              <w:right w:val="nil"/>
            </w:tcBorders>
            <w:noWrap/>
            <w:vAlign w:val="center"/>
          </w:tcPr>
          <w:p w14:paraId="27F0B10F" w14:textId="77777777" w:rsidR="00FD6F91" w:rsidRPr="00847FAE" w:rsidRDefault="00FD6F91" w:rsidP="00FD6F91">
            <w:pPr>
              <w:jc w:val="center"/>
              <w:rPr>
                <w:rFonts w:cs="Calibri"/>
                <w:color w:val="000000"/>
                <w:sz w:val="18"/>
                <w:szCs w:val="18"/>
              </w:rPr>
            </w:pPr>
            <w:r w:rsidRPr="00847FAE">
              <w:rPr>
                <w:rFonts w:cs="Calibri"/>
                <w:color w:val="000000"/>
                <w:sz w:val="18"/>
                <w:szCs w:val="18"/>
              </w:rPr>
              <w:t>67</w:t>
            </w:r>
          </w:p>
        </w:tc>
        <w:tc>
          <w:tcPr>
            <w:tcW w:w="992" w:type="dxa"/>
            <w:tcBorders>
              <w:top w:val="nil"/>
              <w:left w:val="nil"/>
              <w:bottom w:val="nil"/>
              <w:right w:val="nil"/>
            </w:tcBorders>
            <w:noWrap/>
            <w:vAlign w:val="center"/>
          </w:tcPr>
          <w:p w14:paraId="57C54FCF" w14:textId="77777777" w:rsidR="00FD6F91" w:rsidRPr="00847FAE" w:rsidRDefault="00FD6F91" w:rsidP="00FD6F91">
            <w:pPr>
              <w:jc w:val="center"/>
              <w:rPr>
                <w:rFonts w:cs="Calibri"/>
                <w:color w:val="000000"/>
                <w:sz w:val="18"/>
                <w:szCs w:val="18"/>
              </w:rPr>
            </w:pPr>
            <w:r w:rsidRPr="00847FAE">
              <w:rPr>
                <w:rFonts w:cs="Calibri"/>
                <w:color w:val="000000"/>
                <w:sz w:val="18"/>
                <w:szCs w:val="18"/>
              </w:rPr>
              <w:t>48</w:t>
            </w:r>
          </w:p>
        </w:tc>
        <w:tc>
          <w:tcPr>
            <w:tcW w:w="1135" w:type="dxa"/>
            <w:tcBorders>
              <w:top w:val="nil"/>
              <w:left w:val="nil"/>
              <w:bottom w:val="nil"/>
              <w:right w:val="nil"/>
            </w:tcBorders>
            <w:noWrap/>
            <w:vAlign w:val="center"/>
          </w:tcPr>
          <w:p w14:paraId="47939D5A" w14:textId="77777777" w:rsidR="00FD6F91" w:rsidRPr="00847FAE" w:rsidRDefault="00FD6F91" w:rsidP="00FD6F91">
            <w:pPr>
              <w:jc w:val="center"/>
              <w:rPr>
                <w:rFonts w:cs="Calibri"/>
                <w:color w:val="000000"/>
                <w:sz w:val="18"/>
                <w:szCs w:val="18"/>
              </w:rPr>
            </w:pPr>
            <w:r w:rsidRPr="00847FAE">
              <w:rPr>
                <w:rFonts w:cs="Calibri"/>
                <w:color w:val="000000"/>
                <w:sz w:val="18"/>
                <w:szCs w:val="18"/>
              </w:rPr>
              <w:t>-28.4%</w:t>
            </w:r>
          </w:p>
        </w:tc>
      </w:tr>
      <w:tr w:rsidR="00FD6F91" w:rsidRPr="00847FAE" w14:paraId="702F5760" w14:textId="77777777" w:rsidTr="001F1F60">
        <w:trPr>
          <w:cantSplit/>
          <w:trHeight w:val="227"/>
        </w:trPr>
        <w:tc>
          <w:tcPr>
            <w:tcW w:w="3119" w:type="dxa"/>
            <w:gridSpan w:val="4"/>
            <w:tcBorders>
              <w:top w:val="nil"/>
              <w:left w:val="nil"/>
              <w:bottom w:val="nil"/>
              <w:right w:val="nil"/>
            </w:tcBorders>
            <w:noWrap/>
          </w:tcPr>
          <w:p w14:paraId="2E820E38"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nil"/>
              <w:right w:val="nil"/>
            </w:tcBorders>
            <w:noWrap/>
            <w:vAlign w:val="center"/>
          </w:tcPr>
          <w:p w14:paraId="4E68346A" w14:textId="77777777" w:rsidR="00FD6F91" w:rsidRPr="00847FAE" w:rsidRDefault="00FD6F91" w:rsidP="00FD6F91">
            <w:pPr>
              <w:jc w:val="center"/>
              <w:rPr>
                <w:rFonts w:cs="Calibri"/>
                <w:color w:val="000000"/>
                <w:sz w:val="18"/>
                <w:szCs w:val="18"/>
              </w:rPr>
            </w:pPr>
            <w:r w:rsidRPr="00847FAE">
              <w:rPr>
                <w:rFonts w:cs="Calibri"/>
                <w:color w:val="000000"/>
                <w:sz w:val="18"/>
                <w:szCs w:val="18"/>
              </w:rPr>
              <w:t>60</w:t>
            </w:r>
          </w:p>
        </w:tc>
        <w:tc>
          <w:tcPr>
            <w:tcW w:w="992" w:type="dxa"/>
            <w:tcBorders>
              <w:top w:val="nil"/>
              <w:left w:val="nil"/>
              <w:bottom w:val="nil"/>
              <w:right w:val="nil"/>
            </w:tcBorders>
            <w:noWrap/>
            <w:vAlign w:val="center"/>
          </w:tcPr>
          <w:p w14:paraId="0EAF9795" w14:textId="77777777" w:rsidR="00FD6F91" w:rsidRPr="00847FAE" w:rsidRDefault="00FD6F91" w:rsidP="00FD6F91">
            <w:pPr>
              <w:jc w:val="center"/>
              <w:rPr>
                <w:rFonts w:cs="Calibri"/>
                <w:color w:val="000000"/>
                <w:sz w:val="18"/>
                <w:szCs w:val="18"/>
              </w:rPr>
            </w:pPr>
            <w:r w:rsidRPr="00847FAE">
              <w:rPr>
                <w:rFonts w:cs="Calibri"/>
                <w:color w:val="000000"/>
                <w:sz w:val="18"/>
                <w:szCs w:val="18"/>
              </w:rPr>
              <w:t>59</w:t>
            </w:r>
          </w:p>
        </w:tc>
        <w:tc>
          <w:tcPr>
            <w:tcW w:w="992" w:type="dxa"/>
            <w:tcBorders>
              <w:top w:val="nil"/>
              <w:left w:val="nil"/>
              <w:bottom w:val="nil"/>
              <w:right w:val="nil"/>
            </w:tcBorders>
            <w:noWrap/>
            <w:vAlign w:val="center"/>
          </w:tcPr>
          <w:p w14:paraId="0156F724" w14:textId="77777777" w:rsidR="00FD6F91" w:rsidRPr="00847FAE" w:rsidRDefault="00FD6F91" w:rsidP="00FD6F91">
            <w:pPr>
              <w:jc w:val="center"/>
              <w:rPr>
                <w:rFonts w:cs="Calibri"/>
                <w:color w:val="000000"/>
                <w:sz w:val="18"/>
                <w:szCs w:val="18"/>
              </w:rPr>
            </w:pPr>
            <w:r w:rsidRPr="00847FAE">
              <w:rPr>
                <w:rFonts w:cs="Calibri"/>
                <w:color w:val="000000"/>
                <w:sz w:val="18"/>
                <w:szCs w:val="18"/>
              </w:rPr>
              <w:t>51</w:t>
            </w:r>
          </w:p>
        </w:tc>
        <w:tc>
          <w:tcPr>
            <w:tcW w:w="992" w:type="dxa"/>
            <w:tcBorders>
              <w:top w:val="nil"/>
              <w:left w:val="nil"/>
              <w:bottom w:val="nil"/>
              <w:right w:val="nil"/>
            </w:tcBorders>
            <w:noWrap/>
            <w:vAlign w:val="center"/>
          </w:tcPr>
          <w:p w14:paraId="0053C28D" w14:textId="77777777" w:rsidR="00FD6F91" w:rsidRPr="00847FAE" w:rsidRDefault="00FD6F91" w:rsidP="00FD6F91">
            <w:pPr>
              <w:jc w:val="center"/>
              <w:rPr>
                <w:rFonts w:cs="Calibri"/>
                <w:color w:val="000000"/>
                <w:sz w:val="18"/>
                <w:szCs w:val="18"/>
              </w:rPr>
            </w:pPr>
            <w:r w:rsidRPr="00847FAE">
              <w:rPr>
                <w:rFonts w:cs="Calibri"/>
                <w:color w:val="000000"/>
                <w:sz w:val="18"/>
                <w:szCs w:val="18"/>
              </w:rPr>
              <w:t>53</w:t>
            </w:r>
          </w:p>
        </w:tc>
        <w:tc>
          <w:tcPr>
            <w:tcW w:w="992" w:type="dxa"/>
            <w:tcBorders>
              <w:top w:val="nil"/>
              <w:left w:val="nil"/>
              <w:bottom w:val="nil"/>
              <w:right w:val="nil"/>
            </w:tcBorders>
            <w:noWrap/>
            <w:vAlign w:val="center"/>
          </w:tcPr>
          <w:p w14:paraId="285B3D9E" w14:textId="77777777" w:rsidR="00FD6F91" w:rsidRPr="00847FAE" w:rsidRDefault="00FD6F91" w:rsidP="00FD6F91">
            <w:pPr>
              <w:jc w:val="center"/>
              <w:rPr>
                <w:rFonts w:cs="Calibri"/>
                <w:color w:val="000000"/>
                <w:sz w:val="18"/>
                <w:szCs w:val="18"/>
              </w:rPr>
            </w:pPr>
            <w:r w:rsidRPr="00847FAE">
              <w:rPr>
                <w:rFonts w:cs="Calibri"/>
                <w:color w:val="000000"/>
                <w:sz w:val="18"/>
                <w:szCs w:val="18"/>
              </w:rPr>
              <w:t>55</w:t>
            </w:r>
          </w:p>
        </w:tc>
        <w:tc>
          <w:tcPr>
            <w:tcW w:w="1135" w:type="dxa"/>
            <w:tcBorders>
              <w:top w:val="nil"/>
              <w:left w:val="nil"/>
              <w:bottom w:val="nil"/>
              <w:right w:val="nil"/>
            </w:tcBorders>
            <w:noWrap/>
            <w:vAlign w:val="center"/>
          </w:tcPr>
          <w:p w14:paraId="4F57A3AF" w14:textId="77777777" w:rsidR="00FD6F91" w:rsidRPr="00847FAE" w:rsidRDefault="00FD6F91" w:rsidP="00FD6F91">
            <w:pPr>
              <w:jc w:val="center"/>
              <w:rPr>
                <w:rFonts w:cs="Calibri"/>
                <w:color w:val="000000"/>
                <w:sz w:val="18"/>
                <w:szCs w:val="18"/>
              </w:rPr>
            </w:pPr>
            <w:r w:rsidRPr="00847FAE">
              <w:rPr>
                <w:rFonts w:cs="Calibri"/>
                <w:color w:val="000000"/>
                <w:sz w:val="18"/>
                <w:szCs w:val="18"/>
              </w:rPr>
              <w:t>3.8%</w:t>
            </w:r>
          </w:p>
        </w:tc>
      </w:tr>
      <w:tr w:rsidR="00FD6F91" w:rsidRPr="00847FAE" w14:paraId="35C3A929" w14:textId="77777777" w:rsidTr="001F1F60">
        <w:trPr>
          <w:cantSplit/>
          <w:trHeight w:val="227"/>
        </w:trPr>
        <w:tc>
          <w:tcPr>
            <w:tcW w:w="3119" w:type="dxa"/>
            <w:gridSpan w:val="4"/>
            <w:tcBorders>
              <w:top w:val="nil"/>
              <w:left w:val="nil"/>
              <w:bottom w:val="nil"/>
              <w:right w:val="nil"/>
            </w:tcBorders>
            <w:shd w:val="clear" w:color="auto" w:fill="D9D9D9" w:themeFill="background1" w:themeFillShade="D9"/>
            <w:noWrap/>
          </w:tcPr>
          <w:p w14:paraId="6337DFCE"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Other offences</w:t>
            </w:r>
          </w:p>
        </w:tc>
        <w:tc>
          <w:tcPr>
            <w:tcW w:w="992" w:type="dxa"/>
            <w:tcBorders>
              <w:top w:val="nil"/>
              <w:left w:val="nil"/>
              <w:bottom w:val="nil"/>
              <w:right w:val="nil"/>
            </w:tcBorders>
            <w:shd w:val="clear" w:color="auto" w:fill="D9D9D9" w:themeFill="background1" w:themeFillShade="D9"/>
            <w:noWrap/>
            <w:vAlign w:val="bottom"/>
          </w:tcPr>
          <w:p w14:paraId="7191CB42"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012F92A0"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1918AA1E"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6242F7E5" w14:textId="77777777" w:rsidR="00FD6F91" w:rsidRPr="00847FAE" w:rsidRDefault="00FD6F91" w:rsidP="00FD6F91">
            <w:pPr>
              <w:jc w:val="right"/>
              <w:rPr>
                <w:rFonts w:cs="Calibri"/>
                <w:iCs/>
                <w:color w:val="000000"/>
                <w:sz w:val="18"/>
              </w:rPr>
            </w:pPr>
          </w:p>
        </w:tc>
        <w:tc>
          <w:tcPr>
            <w:tcW w:w="992" w:type="dxa"/>
            <w:tcBorders>
              <w:top w:val="nil"/>
              <w:left w:val="nil"/>
              <w:bottom w:val="nil"/>
              <w:right w:val="nil"/>
            </w:tcBorders>
            <w:shd w:val="clear" w:color="auto" w:fill="D9D9D9" w:themeFill="background1" w:themeFillShade="D9"/>
            <w:noWrap/>
            <w:vAlign w:val="bottom"/>
          </w:tcPr>
          <w:p w14:paraId="3E2CFDF8" w14:textId="77777777" w:rsidR="00FD6F91" w:rsidRPr="00847FAE" w:rsidRDefault="00FD6F91" w:rsidP="00FD6F91">
            <w:pPr>
              <w:jc w:val="right"/>
              <w:rPr>
                <w:rFonts w:cs="Calibri"/>
                <w:iCs/>
                <w:color w:val="000000"/>
                <w:sz w:val="18"/>
              </w:rPr>
            </w:pPr>
          </w:p>
        </w:tc>
        <w:tc>
          <w:tcPr>
            <w:tcW w:w="1135" w:type="dxa"/>
            <w:tcBorders>
              <w:top w:val="nil"/>
              <w:left w:val="nil"/>
              <w:bottom w:val="nil"/>
              <w:right w:val="nil"/>
            </w:tcBorders>
            <w:shd w:val="clear" w:color="auto" w:fill="D9D9D9" w:themeFill="background1" w:themeFillShade="D9"/>
            <w:noWrap/>
            <w:vAlign w:val="bottom"/>
          </w:tcPr>
          <w:p w14:paraId="5F17F94B" w14:textId="77777777" w:rsidR="00FD6F91" w:rsidRPr="00847FAE" w:rsidRDefault="00FD6F91" w:rsidP="00FD6F91">
            <w:pPr>
              <w:jc w:val="center"/>
              <w:rPr>
                <w:rFonts w:cs="Calibri"/>
                <w:iCs/>
                <w:color w:val="000000"/>
                <w:sz w:val="18"/>
              </w:rPr>
            </w:pPr>
          </w:p>
        </w:tc>
      </w:tr>
      <w:tr w:rsidR="00FD6F91" w:rsidRPr="00847FAE" w14:paraId="06AAB7D2" w14:textId="77777777" w:rsidTr="001F1F60">
        <w:trPr>
          <w:cantSplit/>
          <w:trHeight w:val="227"/>
        </w:trPr>
        <w:tc>
          <w:tcPr>
            <w:tcW w:w="3119" w:type="dxa"/>
            <w:gridSpan w:val="4"/>
            <w:tcBorders>
              <w:top w:val="nil"/>
              <w:left w:val="nil"/>
              <w:bottom w:val="nil"/>
              <w:right w:val="nil"/>
            </w:tcBorders>
            <w:noWrap/>
          </w:tcPr>
          <w:p w14:paraId="2E3D477D" w14:textId="77777777" w:rsidR="00FD6F91" w:rsidRPr="00847FAE" w:rsidRDefault="00FD6F91" w:rsidP="00FD6F91">
            <w:pPr>
              <w:widowControl w:val="0"/>
              <w:rPr>
                <w:rFonts w:cs="Calibri"/>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7FEC45B9" w14:textId="77777777" w:rsidR="00FD6F91" w:rsidRPr="00847FAE" w:rsidRDefault="00FD6F91" w:rsidP="00FD6F91">
            <w:pPr>
              <w:jc w:val="center"/>
              <w:rPr>
                <w:sz w:val="18"/>
              </w:rPr>
            </w:pPr>
            <w:r w:rsidRPr="00847FAE">
              <w:rPr>
                <w:sz w:val="18"/>
              </w:rPr>
              <w:t>7</w:t>
            </w:r>
          </w:p>
        </w:tc>
        <w:tc>
          <w:tcPr>
            <w:tcW w:w="992" w:type="dxa"/>
            <w:tcBorders>
              <w:top w:val="nil"/>
              <w:left w:val="nil"/>
              <w:bottom w:val="nil"/>
              <w:right w:val="nil"/>
            </w:tcBorders>
            <w:noWrap/>
            <w:vAlign w:val="center"/>
          </w:tcPr>
          <w:p w14:paraId="263BB6B5" w14:textId="77777777" w:rsidR="00FD6F91" w:rsidRPr="00847FAE" w:rsidRDefault="00FD6F91" w:rsidP="00FD6F91">
            <w:pPr>
              <w:jc w:val="center"/>
              <w:rPr>
                <w:sz w:val="18"/>
              </w:rPr>
            </w:pPr>
            <w:r w:rsidRPr="00847FAE">
              <w:rPr>
                <w:sz w:val="18"/>
              </w:rPr>
              <w:t>9</w:t>
            </w:r>
          </w:p>
        </w:tc>
        <w:tc>
          <w:tcPr>
            <w:tcW w:w="992" w:type="dxa"/>
            <w:tcBorders>
              <w:top w:val="nil"/>
              <w:left w:val="nil"/>
              <w:bottom w:val="nil"/>
              <w:right w:val="nil"/>
            </w:tcBorders>
            <w:noWrap/>
            <w:vAlign w:val="center"/>
          </w:tcPr>
          <w:p w14:paraId="5BDCF1D4" w14:textId="77777777" w:rsidR="00FD6F91" w:rsidRPr="00847FAE" w:rsidRDefault="00FD6F91" w:rsidP="00FD6F91">
            <w:pPr>
              <w:jc w:val="center"/>
              <w:rPr>
                <w:sz w:val="18"/>
              </w:rPr>
            </w:pPr>
            <w:r w:rsidRPr="00847FAE">
              <w:rPr>
                <w:sz w:val="18"/>
              </w:rPr>
              <w:t>7</w:t>
            </w:r>
          </w:p>
        </w:tc>
        <w:tc>
          <w:tcPr>
            <w:tcW w:w="992" w:type="dxa"/>
            <w:tcBorders>
              <w:top w:val="nil"/>
              <w:left w:val="nil"/>
              <w:bottom w:val="nil"/>
              <w:right w:val="nil"/>
            </w:tcBorders>
            <w:noWrap/>
            <w:vAlign w:val="center"/>
          </w:tcPr>
          <w:p w14:paraId="46363512" w14:textId="77777777" w:rsidR="00FD6F91" w:rsidRPr="00847FAE" w:rsidRDefault="00FD6F91" w:rsidP="00FD6F91">
            <w:pPr>
              <w:jc w:val="center"/>
              <w:rPr>
                <w:sz w:val="18"/>
              </w:rPr>
            </w:pPr>
            <w:r w:rsidRPr="00847FAE">
              <w:rPr>
                <w:sz w:val="18"/>
              </w:rPr>
              <w:t>12</w:t>
            </w:r>
          </w:p>
        </w:tc>
        <w:tc>
          <w:tcPr>
            <w:tcW w:w="992" w:type="dxa"/>
            <w:tcBorders>
              <w:top w:val="nil"/>
              <w:left w:val="nil"/>
              <w:bottom w:val="nil"/>
              <w:right w:val="nil"/>
            </w:tcBorders>
            <w:noWrap/>
            <w:vAlign w:val="center"/>
          </w:tcPr>
          <w:p w14:paraId="289ED253" w14:textId="77777777" w:rsidR="00FD6F91" w:rsidRPr="00847FAE" w:rsidRDefault="00FD6F91" w:rsidP="00FD6F91">
            <w:pPr>
              <w:jc w:val="center"/>
              <w:rPr>
                <w:sz w:val="18"/>
              </w:rPr>
            </w:pPr>
            <w:r w:rsidRPr="00847FAE">
              <w:rPr>
                <w:sz w:val="18"/>
              </w:rPr>
              <w:t>7</w:t>
            </w:r>
          </w:p>
        </w:tc>
        <w:tc>
          <w:tcPr>
            <w:tcW w:w="1135" w:type="dxa"/>
            <w:tcBorders>
              <w:top w:val="nil"/>
              <w:left w:val="nil"/>
              <w:bottom w:val="nil"/>
              <w:right w:val="nil"/>
            </w:tcBorders>
            <w:noWrap/>
            <w:vAlign w:val="center"/>
          </w:tcPr>
          <w:p w14:paraId="6FF78B5F" w14:textId="77777777" w:rsidR="00FD6F91" w:rsidRPr="00847FAE" w:rsidRDefault="00FD6F91" w:rsidP="00FD6F91">
            <w:pPr>
              <w:jc w:val="center"/>
              <w:rPr>
                <w:sz w:val="18"/>
              </w:rPr>
            </w:pPr>
            <w:r w:rsidRPr="00847FAE">
              <w:rPr>
                <w:sz w:val="18"/>
              </w:rPr>
              <w:t>-41.7%</w:t>
            </w:r>
          </w:p>
        </w:tc>
      </w:tr>
      <w:tr w:rsidR="00FD6F91" w:rsidRPr="00847FAE" w14:paraId="719D39F3" w14:textId="77777777" w:rsidTr="001F1F60">
        <w:trPr>
          <w:cantSplit/>
          <w:trHeight w:val="227"/>
        </w:trPr>
        <w:tc>
          <w:tcPr>
            <w:tcW w:w="3119" w:type="dxa"/>
            <w:gridSpan w:val="4"/>
            <w:tcBorders>
              <w:top w:val="nil"/>
              <w:left w:val="nil"/>
              <w:bottom w:val="single" w:sz="4" w:space="0" w:color="auto"/>
              <w:right w:val="nil"/>
            </w:tcBorders>
            <w:noWrap/>
          </w:tcPr>
          <w:p w14:paraId="5E5AB3F3" w14:textId="77777777" w:rsidR="00FD6F91" w:rsidRPr="00847FAE" w:rsidRDefault="00FD6F91" w:rsidP="00FD6F91">
            <w:pPr>
              <w:widowControl w:val="0"/>
              <w:rPr>
                <w:rFonts w:cs="Calibri"/>
                <w:iCs/>
                <w:color w:val="000000"/>
                <w:sz w:val="18"/>
                <w:szCs w:val="18"/>
              </w:rPr>
            </w:pPr>
            <w:r w:rsidRPr="00847FAE">
              <w:rPr>
                <w:rFonts w:cs="Calibri"/>
                <w:iCs/>
                <w:color w:val="000000"/>
                <w:sz w:val="18"/>
                <w:szCs w:val="18"/>
              </w:rPr>
              <w:t xml:space="preserve">   Finalisation</w:t>
            </w:r>
          </w:p>
        </w:tc>
        <w:tc>
          <w:tcPr>
            <w:tcW w:w="992" w:type="dxa"/>
            <w:tcBorders>
              <w:top w:val="nil"/>
              <w:left w:val="nil"/>
              <w:bottom w:val="single" w:sz="4" w:space="0" w:color="auto"/>
              <w:right w:val="nil"/>
            </w:tcBorders>
            <w:noWrap/>
            <w:vAlign w:val="center"/>
          </w:tcPr>
          <w:p w14:paraId="58B6681D" w14:textId="77777777" w:rsidR="00FD6F91" w:rsidRPr="00847FAE" w:rsidRDefault="00FD6F91" w:rsidP="00FD6F91">
            <w:pPr>
              <w:jc w:val="center"/>
              <w:rPr>
                <w:sz w:val="18"/>
              </w:rPr>
            </w:pPr>
            <w:r w:rsidRPr="00847FAE">
              <w:rPr>
                <w:sz w:val="18"/>
              </w:rPr>
              <w:t>62</w:t>
            </w:r>
          </w:p>
        </w:tc>
        <w:tc>
          <w:tcPr>
            <w:tcW w:w="992" w:type="dxa"/>
            <w:tcBorders>
              <w:top w:val="nil"/>
              <w:left w:val="nil"/>
              <w:bottom w:val="single" w:sz="4" w:space="0" w:color="auto"/>
              <w:right w:val="nil"/>
            </w:tcBorders>
            <w:noWrap/>
            <w:vAlign w:val="center"/>
          </w:tcPr>
          <w:p w14:paraId="68C4FD85" w14:textId="77777777" w:rsidR="00FD6F91" w:rsidRPr="00847FAE" w:rsidRDefault="00FD6F91" w:rsidP="00FD6F91">
            <w:pPr>
              <w:jc w:val="center"/>
              <w:rPr>
                <w:sz w:val="18"/>
              </w:rPr>
            </w:pPr>
            <w:r w:rsidRPr="00847FAE">
              <w:rPr>
                <w:sz w:val="18"/>
              </w:rPr>
              <w:t>44</w:t>
            </w:r>
          </w:p>
        </w:tc>
        <w:tc>
          <w:tcPr>
            <w:tcW w:w="992" w:type="dxa"/>
            <w:tcBorders>
              <w:top w:val="nil"/>
              <w:left w:val="nil"/>
              <w:bottom w:val="single" w:sz="4" w:space="0" w:color="auto"/>
              <w:right w:val="nil"/>
            </w:tcBorders>
            <w:noWrap/>
            <w:vAlign w:val="center"/>
          </w:tcPr>
          <w:p w14:paraId="683EC11D" w14:textId="77777777" w:rsidR="00FD6F91" w:rsidRPr="00847FAE" w:rsidRDefault="00FD6F91" w:rsidP="00FD6F91">
            <w:pPr>
              <w:jc w:val="center"/>
              <w:rPr>
                <w:sz w:val="18"/>
              </w:rPr>
            </w:pPr>
            <w:r w:rsidRPr="00847FAE">
              <w:rPr>
                <w:sz w:val="18"/>
              </w:rPr>
              <w:t>53</w:t>
            </w:r>
          </w:p>
        </w:tc>
        <w:tc>
          <w:tcPr>
            <w:tcW w:w="992" w:type="dxa"/>
            <w:tcBorders>
              <w:top w:val="nil"/>
              <w:left w:val="nil"/>
              <w:bottom w:val="single" w:sz="4" w:space="0" w:color="auto"/>
              <w:right w:val="nil"/>
            </w:tcBorders>
            <w:noWrap/>
            <w:vAlign w:val="center"/>
          </w:tcPr>
          <w:p w14:paraId="4A8361A8" w14:textId="77777777" w:rsidR="00FD6F91" w:rsidRPr="00847FAE" w:rsidRDefault="00FD6F91" w:rsidP="00FD6F91">
            <w:pPr>
              <w:jc w:val="center"/>
              <w:rPr>
                <w:sz w:val="18"/>
              </w:rPr>
            </w:pPr>
            <w:r w:rsidRPr="00847FAE">
              <w:rPr>
                <w:sz w:val="18"/>
              </w:rPr>
              <w:t>20</w:t>
            </w:r>
          </w:p>
        </w:tc>
        <w:tc>
          <w:tcPr>
            <w:tcW w:w="992" w:type="dxa"/>
            <w:tcBorders>
              <w:top w:val="nil"/>
              <w:left w:val="nil"/>
              <w:bottom w:val="single" w:sz="4" w:space="0" w:color="auto"/>
              <w:right w:val="nil"/>
            </w:tcBorders>
            <w:noWrap/>
            <w:vAlign w:val="center"/>
          </w:tcPr>
          <w:p w14:paraId="2D4647FE" w14:textId="77777777" w:rsidR="00FD6F91" w:rsidRPr="00847FAE" w:rsidRDefault="00FD6F91" w:rsidP="00FD6F91">
            <w:pPr>
              <w:jc w:val="center"/>
              <w:rPr>
                <w:sz w:val="18"/>
              </w:rPr>
            </w:pPr>
            <w:r w:rsidRPr="00847FAE">
              <w:rPr>
                <w:sz w:val="18"/>
              </w:rPr>
              <w:t>78</w:t>
            </w:r>
          </w:p>
        </w:tc>
        <w:tc>
          <w:tcPr>
            <w:tcW w:w="1135" w:type="dxa"/>
            <w:tcBorders>
              <w:top w:val="nil"/>
              <w:left w:val="nil"/>
              <w:bottom w:val="single" w:sz="4" w:space="0" w:color="auto"/>
              <w:right w:val="nil"/>
            </w:tcBorders>
            <w:noWrap/>
            <w:vAlign w:val="center"/>
          </w:tcPr>
          <w:p w14:paraId="7C44AC91" w14:textId="77777777" w:rsidR="00FD6F91" w:rsidRPr="00847FAE" w:rsidRDefault="00FD6F91" w:rsidP="00FD6F91">
            <w:pPr>
              <w:jc w:val="center"/>
              <w:rPr>
                <w:sz w:val="18"/>
              </w:rPr>
            </w:pPr>
            <w:r w:rsidRPr="00847FAE">
              <w:rPr>
                <w:sz w:val="18"/>
              </w:rPr>
              <w:t>290.0%</w:t>
            </w:r>
          </w:p>
        </w:tc>
      </w:tr>
      <w:tr w:rsidR="00FD6F91" w:rsidRPr="00847FAE" w14:paraId="1BEEB621" w14:textId="77777777" w:rsidTr="001F1F60">
        <w:trPr>
          <w:cantSplit/>
          <w:trHeight w:val="227"/>
        </w:trPr>
        <w:tc>
          <w:tcPr>
            <w:tcW w:w="9214" w:type="dxa"/>
            <w:gridSpan w:val="10"/>
            <w:tcBorders>
              <w:top w:val="single" w:sz="4" w:space="0" w:color="auto"/>
              <w:left w:val="nil"/>
              <w:bottom w:val="nil"/>
              <w:right w:val="nil"/>
            </w:tcBorders>
            <w:noWrap/>
            <w:vAlign w:val="center"/>
          </w:tcPr>
          <w:p w14:paraId="37C5021C" w14:textId="77777777" w:rsidR="00FD6F91" w:rsidRPr="00847FAE" w:rsidRDefault="00FD6F91" w:rsidP="00FD6F91">
            <w:pPr>
              <w:rPr>
                <w:i/>
                <w:sz w:val="15"/>
                <w:szCs w:val="15"/>
              </w:rPr>
            </w:pPr>
            <w:r w:rsidRPr="00847FAE">
              <w:rPr>
                <w:i/>
                <w:sz w:val="15"/>
                <w:szCs w:val="15"/>
              </w:rPr>
              <w:t>Source: CRIMESStats database</w:t>
            </w:r>
          </w:p>
        </w:tc>
      </w:tr>
    </w:tbl>
    <w:p w14:paraId="2FCDCE2E" w14:textId="7E285F18" w:rsidR="00A32452" w:rsidRPr="00847FAE" w:rsidRDefault="00A32452" w:rsidP="00FD6F91">
      <w:pPr>
        <w:rPr>
          <w:rFonts w:eastAsiaTheme="minorHAnsi"/>
          <w:lang w:eastAsia="en-US"/>
        </w:rPr>
      </w:pPr>
    </w:p>
    <w:p w14:paraId="6DD522BD" w14:textId="77777777" w:rsidR="00A32452" w:rsidRPr="00847FAE" w:rsidRDefault="00A32452">
      <w:pPr>
        <w:rPr>
          <w:rFonts w:eastAsiaTheme="minorHAnsi"/>
          <w:lang w:eastAsia="en-US"/>
        </w:rPr>
      </w:pPr>
      <w:r w:rsidRPr="00847FAE">
        <w:rPr>
          <w:rFonts w:eastAsiaTheme="minorHAnsi"/>
          <w:lang w:eastAsia="en-US"/>
        </w:rPr>
        <w:br w:type="page"/>
      </w:r>
    </w:p>
    <w:p w14:paraId="2D268DF5" w14:textId="082CA074" w:rsidR="00E64FAE" w:rsidRPr="00847FAE" w:rsidRDefault="00E64FAE">
      <w:pPr>
        <w:rPr>
          <w:rFonts w:eastAsiaTheme="majorEastAsia" w:cstheme="majorBidi"/>
          <w:lang w:eastAsia="en-US"/>
        </w:rPr>
      </w:pPr>
    </w:p>
    <w:p w14:paraId="056B8B6A" w14:textId="3BF6555C" w:rsidR="00FD6F91" w:rsidRPr="00847FAE" w:rsidRDefault="00FD6F91" w:rsidP="00FD6F91">
      <w:pPr>
        <w:keepNext/>
        <w:keepLines/>
        <w:spacing w:before="40"/>
        <w:outlineLvl w:val="2"/>
        <w:rPr>
          <w:rFonts w:eastAsiaTheme="majorEastAsia" w:cstheme="majorBidi"/>
          <w:lang w:eastAsia="en-US"/>
        </w:rPr>
      </w:pPr>
      <w:bookmarkStart w:id="381" w:name="_Toc1041188"/>
      <w:r w:rsidRPr="000D3B2B">
        <w:rPr>
          <w:rFonts w:eastAsiaTheme="majorEastAsia" w:cstheme="majorBidi"/>
          <w:lang w:eastAsia="en-US"/>
        </w:rPr>
        <w:t>Table 1</w:t>
      </w:r>
      <w:r w:rsidR="000D3B2B">
        <w:rPr>
          <w:rFonts w:eastAsiaTheme="majorEastAsia" w:cstheme="majorBidi"/>
          <w:lang w:eastAsia="en-US"/>
        </w:rPr>
        <w:t>0</w:t>
      </w:r>
      <w:r w:rsidRPr="00847FAE">
        <w:rPr>
          <w:rFonts w:eastAsiaTheme="majorEastAsia" w:cstheme="majorBidi"/>
          <w:lang w:eastAsia="en-US"/>
        </w:rPr>
        <w:t>: Breaches of Orders and/or Order Conditions, 2013-14 to 2017-18</w:t>
      </w:r>
      <w:bookmarkEnd w:id="381"/>
    </w:p>
    <w:tbl>
      <w:tblPr>
        <w:tblStyle w:val="TableGrid1"/>
        <w:tblW w:w="9214" w:type="dxa"/>
        <w:tblLayout w:type="fixed"/>
        <w:tblCellMar>
          <w:top w:w="11" w:type="dxa"/>
          <w:bottom w:w="11" w:type="dxa"/>
        </w:tblCellMar>
        <w:tblLook w:val="04A0" w:firstRow="1" w:lastRow="0" w:firstColumn="1" w:lastColumn="0" w:noHBand="0" w:noVBand="1"/>
        <w:tblCaption w:val="Table10BreachesofOrdersandorOrderConditions"/>
        <w:tblDescription w:val="Tabledescribingbreachesofordersandororderconditionsfrom2013_14to2017_18"/>
      </w:tblPr>
      <w:tblGrid>
        <w:gridCol w:w="326"/>
        <w:gridCol w:w="977"/>
        <w:gridCol w:w="824"/>
        <w:gridCol w:w="992"/>
        <w:gridCol w:w="992"/>
        <w:gridCol w:w="992"/>
        <w:gridCol w:w="992"/>
        <w:gridCol w:w="992"/>
        <w:gridCol w:w="992"/>
        <w:gridCol w:w="1135"/>
      </w:tblGrid>
      <w:tr w:rsidR="00FD6F91" w:rsidRPr="00847FAE" w14:paraId="430B3AAD"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09D006AD"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0C9CD1EC"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772E119D"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hideMark/>
          </w:tcPr>
          <w:p w14:paraId="3D66ADCB"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bottom"/>
            <w:hideMark/>
          </w:tcPr>
          <w:p w14:paraId="27262508" w14:textId="77777777" w:rsidR="00FD6F91" w:rsidRPr="00847FAE" w:rsidRDefault="00FD6F91" w:rsidP="00FD6F91">
            <w:pPr>
              <w:keepNext/>
              <w:widowControl w:val="0"/>
              <w:jc w:val="right"/>
              <w:rPr>
                <w:rFonts w:cs="Calibri"/>
                <w:bCs/>
                <w:color w:val="000000"/>
                <w:sz w:val="18"/>
                <w:szCs w:val="18"/>
                <w:vertAlign w:val="superscript"/>
              </w:rPr>
            </w:pPr>
            <w:r w:rsidRPr="00847FAE">
              <w:rPr>
                <w:rFonts w:cs="Calibri"/>
                <w:bCs/>
                <w:color w:val="000000"/>
                <w:sz w:val="18"/>
                <w:szCs w:val="18"/>
              </w:rPr>
              <w:t>2013-14</w:t>
            </w:r>
          </w:p>
        </w:tc>
        <w:tc>
          <w:tcPr>
            <w:tcW w:w="992" w:type="dxa"/>
            <w:tcBorders>
              <w:top w:val="single" w:sz="4" w:space="0" w:color="auto"/>
              <w:left w:val="nil"/>
              <w:bottom w:val="single" w:sz="4" w:space="0" w:color="auto"/>
              <w:right w:val="nil"/>
            </w:tcBorders>
            <w:noWrap/>
            <w:vAlign w:val="bottom"/>
            <w:hideMark/>
          </w:tcPr>
          <w:p w14:paraId="7D67670A" w14:textId="77777777" w:rsidR="00FD6F91" w:rsidRPr="00847FAE" w:rsidRDefault="00FD6F91" w:rsidP="00FD6F91">
            <w:pPr>
              <w:keepNext/>
              <w:widowControl w:val="0"/>
              <w:jc w:val="right"/>
              <w:rPr>
                <w:rFonts w:cs="Calibri"/>
                <w:bCs/>
                <w:color w:val="000000"/>
                <w:sz w:val="18"/>
                <w:szCs w:val="18"/>
              </w:rPr>
            </w:pPr>
            <w:r w:rsidRPr="00847FAE">
              <w:rPr>
                <w:rFonts w:cs="Calibri"/>
                <w:bCs/>
                <w:color w:val="000000"/>
                <w:sz w:val="18"/>
                <w:szCs w:val="18"/>
              </w:rPr>
              <w:t>2014-15</w:t>
            </w:r>
          </w:p>
        </w:tc>
        <w:tc>
          <w:tcPr>
            <w:tcW w:w="992" w:type="dxa"/>
            <w:tcBorders>
              <w:top w:val="single" w:sz="4" w:space="0" w:color="auto"/>
              <w:left w:val="nil"/>
              <w:bottom w:val="single" w:sz="4" w:space="0" w:color="auto"/>
              <w:right w:val="nil"/>
            </w:tcBorders>
            <w:noWrap/>
            <w:vAlign w:val="bottom"/>
            <w:hideMark/>
          </w:tcPr>
          <w:p w14:paraId="02E8E140" w14:textId="77777777" w:rsidR="00FD6F91" w:rsidRPr="00847FAE" w:rsidRDefault="00FD6F91" w:rsidP="00FD6F91">
            <w:pPr>
              <w:keepNext/>
              <w:widowControl w:val="0"/>
              <w:jc w:val="right"/>
              <w:rPr>
                <w:rFonts w:cs="Calibri"/>
                <w:bCs/>
                <w:color w:val="000000"/>
                <w:sz w:val="18"/>
                <w:szCs w:val="18"/>
              </w:rPr>
            </w:pPr>
            <w:r w:rsidRPr="00847FAE">
              <w:rPr>
                <w:rFonts w:cs="Calibri"/>
                <w:bCs/>
                <w:color w:val="000000"/>
                <w:sz w:val="18"/>
                <w:szCs w:val="18"/>
              </w:rPr>
              <w:t>2015-16</w:t>
            </w:r>
          </w:p>
        </w:tc>
        <w:tc>
          <w:tcPr>
            <w:tcW w:w="992" w:type="dxa"/>
            <w:tcBorders>
              <w:top w:val="single" w:sz="4" w:space="0" w:color="auto"/>
              <w:left w:val="nil"/>
              <w:bottom w:val="single" w:sz="4" w:space="0" w:color="auto"/>
              <w:right w:val="nil"/>
            </w:tcBorders>
            <w:noWrap/>
            <w:vAlign w:val="bottom"/>
            <w:hideMark/>
          </w:tcPr>
          <w:p w14:paraId="3B15F60B" w14:textId="77777777" w:rsidR="00FD6F91" w:rsidRPr="00847FAE" w:rsidRDefault="00FD6F91" w:rsidP="00FD6F91">
            <w:pPr>
              <w:keepNext/>
              <w:widowControl w:val="0"/>
              <w:jc w:val="right"/>
              <w:rPr>
                <w:rFonts w:cs="Calibri"/>
                <w:bCs/>
                <w:color w:val="000000"/>
                <w:sz w:val="18"/>
                <w:szCs w:val="18"/>
              </w:rPr>
            </w:pPr>
            <w:r w:rsidRPr="00847FAE">
              <w:rPr>
                <w:rFonts w:cs="Calibri"/>
                <w:bCs/>
                <w:color w:val="000000"/>
                <w:sz w:val="18"/>
                <w:szCs w:val="18"/>
              </w:rPr>
              <w:t>2016-17</w:t>
            </w:r>
          </w:p>
        </w:tc>
        <w:tc>
          <w:tcPr>
            <w:tcW w:w="992" w:type="dxa"/>
            <w:tcBorders>
              <w:top w:val="single" w:sz="4" w:space="0" w:color="auto"/>
              <w:left w:val="nil"/>
              <w:bottom w:val="single" w:sz="4" w:space="0" w:color="auto"/>
              <w:right w:val="nil"/>
            </w:tcBorders>
            <w:noWrap/>
            <w:vAlign w:val="bottom"/>
            <w:hideMark/>
          </w:tcPr>
          <w:p w14:paraId="548CDAC4" w14:textId="77777777" w:rsidR="00FD6F91" w:rsidRPr="00847FAE" w:rsidRDefault="00FD6F91" w:rsidP="00FD6F91">
            <w:pPr>
              <w:keepNext/>
              <w:widowControl w:val="0"/>
              <w:rPr>
                <w:rFonts w:cs="Calibri"/>
                <w:bCs/>
                <w:color w:val="000000"/>
                <w:sz w:val="18"/>
                <w:szCs w:val="18"/>
              </w:rPr>
            </w:pPr>
            <w:r w:rsidRPr="00847FAE">
              <w:rPr>
                <w:rFonts w:cs="Calibri"/>
                <w:bCs/>
                <w:color w:val="000000"/>
                <w:sz w:val="18"/>
                <w:szCs w:val="18"/>
              </w:rPr>
              <w:t>2017-18</w:t>
            </w:r>
          </w:p>
        </w:tc>
        <w:tc>
          <w:tcPr>
            <w:tcW w:w="1135" w:type="dxa"/>
            <w:tcBorders>
              <w:top w:val="single" w:sz="4" w:space="0" w:color="auto"/>
              <w:left w:val="nil"/>
              <w:bottom w:val="single" w:sz="4" w:space="0" w:color="auto"/>
              <w:right w:val="nil"/>
            </w:tcBorders>
            <w:vAlign w:val="bottom"/>
            <w:hideMark/>
          </w:tcPr>
          <w:p w14:paraId="3AB168B8" w14:textId="77777777" w:rsidR="00FD6F91" w:rsidRPr="00847FAE" w:rsidRDefault="00FD6F91" w:rsidP="00FD6F91">
            <w:pPr>
              <w:keepNext/>
              <w:widowControl w:val="0"/>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2B695E50" w14:textId="77777777" w:rsidTr="001F1F60">
        <w:trPr>
          <w:cantSplit/>
          <w:trHeight w:val="347"/>
        </w:trPr>
        <w:tc>
          <w:tcPr>
            <w:tcW w:w="3119" w:type="dxa"/>
            <w:gridSpan w:val="4"/>
            <w:tcBorders>
              <w:top w:val="single" w:sz="4" w:space="0" w:color="auto"/>
              <w:left w:val="nil"/>
              <w:bottom w:val="single" w:sz="4" w:space="0" w:color="auto"/>
              <w:right w:val="nil"/>
            </w:tcBorders>
            <w:noWrap/>
            <w:vAlign w:val="center"/>
            <w:hideMark/>
          </w:tcPr>
          <w:p w14:paraId="20D6E4E7"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MAGISTRATES COURT</w:t>
            </w:r>
            <w:r w:rsidRPr="00847FAE">
              <w:rPr>
                <w:rFonts w:cs="Calibri"/>
                <w:color w:val="000000"/>
                <w:sz w:val="18"/>
                <w:szCs w:val="18"/>
              </w:rPr>
              <w:t xml:space="preserve"> (ADULT)</w:t>
            </w:r>
          </w:p>
        </w:tc>
        <w:tc>
          <w:tcPr>
            <w:tcW w:w="992" w:type="dxa"/>
            <w:tcBorders>
              <w:top w:val="single" w:sz="4" w:space="0" w:color="auto"/>
              <w:left w:val="nil"/>
              <w:bottom w:val="single" w:sz="4" w:space="0" w:color="auto"/>
              <w:right w:val="nil"/>
            </w:tcBorders>
            <w:noWrap/>
            <w:vAlign w:val="center"/>
            <w:hideMark/>
          </w:tcPr>
          <w:p w14:paraId="6F183487"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hideMark/>
          </w:tcPr>
          <w:p w14:paraId="0EA40B3E"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hideMark/>
          </w:tcPr>
          <w:p w14:paraId="46500817"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hideMark/>
          </w:tcPr>
          <w:p w14:paraId="07532789"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hideMark/>
          </w:tcPr>
          <w:p w14:paraId="1C2069B2"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1135" w:type="dxa"/>
            <w:tcBorders>
              <w:top w:val="single" w:sz="4" w:space="0" w:color="auto"/>
              <w:left w:val="nil"/>
              <w:bottom w:val="single" w:sz="4" w:space="0" w:color="auto"/>
              <w:right w:val="nil"/>
            </w:tcBorders>
            <w:noWrap/>
            <w:vAlign w:val="center"/>
            <w:hideMark/>
          </w:tcPr>
          <w:p w14:paraId="22838A9D"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r>
      <w:tr w:rsidR="00FD6F91" w:rsidRPr="00847FAE" w14:paraId="709D05F5" w14:textId="77777777" w:rsidTr="001F1F60">
        <w:trPr>
          <w:cantSplit/>
          <w:trHeight w:val="255"/>
        </w:trPr>
        <w:tc>
          <w:tcPr>
            <w:tcW w:w="3119" w:type="dxa"/>
            <w:gridSpan w:val="4"/>
            <w:tcBorders>
              <w:top w:val="single" w:sz="4" w:space="0" w:color="auto"/>
              <w:left w:val="nil"/>
              <w:bottom w:val="nil"/>
              <w:right w:val="nil"/>
            </w:tcBorders>
            <w:shd w:val="clear" w:color="auto" w:fill="D9D9D9" w:themeFill="background1" w:themeFillShade="D9"/>
            <w:noWrap/>
            <w:hideMark/>
          </w:tcPr>
          <w:p w14:paraId="0453DC29"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Breach of bail </w:t>
            </w:r>
          </w:p>
        </w:tc>
        <w:tc>
          <w:tcPr>
            <w:tcW w:w="992" w:type="dxa"/>
            <w:tcBorders>
              <w:top w:val="single" w:sz="4" w:space="0" w:color="auto"/>
              <w:left w:val="nil"/>
              <w:bottom w:val="nil"/>
              <w:right w:val="nil"/>
            </w:tcBorders>
            <w:shd w:val="clear" w:color="auto" w:fill="D9D9D9" w:themeFill="background1" w:themeFillShade="D9"/>
            <w:noWrap/>
            <w:vAlign w:val="center"/>
          </w:tcPr>
          <w:p w14:paraId="2031D41C"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32A2E707"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2E85BB81"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5B771409"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024884C0" w14:textId="77777777" w:rsidR="00FD6F91" w:rsidRPr="00847FAE" w:rsidRDefault="00FD6F91" w:rsidP="00FD6F91">
            <w:pPr>
              <w:keepNext/>
              <w:jc w:val="right"/>
              <w:rPr>
                <w:rFonts w:cs="Calibri"/>
                <w:iCs/>
                <w:color w:val="000000"/>
                <w:sz w:val="18"/>
                <w:szCs w:val="18"/>
              </w:rPr>
            </w:pPr>
          </w:p>
        </w:tc>
        <w:tc>
          <w:tcPr>
            <w:tcW w:w="1135" w:type="dxa"/>
            <w:tcBorders>
              <w:top w:val="single" w:sz="4" w:space="0" w:color="auto"/>
              <w:left w:val="nil"/>
              <w:bottom w:val="nil"/>
              <w:right w:val="nil"/>
            </w:tcBorders>
            <w:shd w:val="clear" w:color="auto" w:fill="D9D9D9" w:themeFill="background1" w:themeFillShade="D9"/>
            <w:noWrap/>
            <w:vAlign w:val="center"/>
          </w:tcPr>
          <w:p w14:paraId="3319674F" w14:textId="77777777" w:rsidR="00FD6F91" w:rsidRPr="00847FAE" w:rsidRDefault="00FD6F91" w:rsidP="00FD6F91">
            <w:pPr>
              <w:keepNext/>
              <w:jc w:val="center"/>
              <w:rPr>
                <w:rFonts w:cs="Calibri"/>
                <w:iCs/>
                <w:color w:val="000000"/>
                <w:sz w:val="18"/>
                <w:szCs w:val="18"/>
              </w:rPr>
            </w:pPr>
          </w:p>
        </w:tc>
      </w:tr>
      <w:tr w:rsidR="00FD6F91" w:rsidRPr="00847FAE" w14:paraId="32BA7044" w14:textId="77777777" w:rsidTr="001F1F60">
        <w:trPr>
          <w:cantSplit/>
          <w:trHeight w:val="255"/>
        </w:trPr>
        <w:tc>
          <w:tcPr>
            <w:tcW w:w="3119" w:type="dxa"/>
            <w:gridSpan w:val="4"/>
            <w:tcBorders>
              <w:top w:val="nil"/>
              <w:left w:val="nil"/>
              <w:bottom w:val="nil"/>
              <w:right w:val="nil"/>
            </w:tcBorders>
            <w:noWrap/>
          </w:tcPr>
          <w:p w14:paraId="52FA8B0D"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70B56615" w14:textId="77777777" w:rsidR="00FD6F91" w:rsidRPr="00847FAE" w:rsidRDefault="00FD6F91" w:rsidP="00FD6F91">
            <w:pPr>
              <w:jc w:val="center"/>
              <w:rPr>
                <w:rFonts w:cs="Calibri"/>
                <w:color w:val="000000"/>
                <w:sz w:val="18"/>
                <w:szCs w:val="18"/>
              </w:rPr>
            </w:pPr>
            <w:r w:rsidRPr="00847FAE">
              <w:rPr>
                <w:rFonts w:cs="Calibri"/>
                <w:color w:val="000000"/>
                <w:sz w:val="18"/>
                <w:szCs w:val="18"/>
              </w:rPr>
              <w:t>2,474</w:t>
            </w:r>
          </w:p>
        </w:tc>
        <w:tc>
          <w:tcPr>
            <w:tcW w:w="992" w:type="dxa"/>
            <w:tcBorders>
              <w:top w:val="nil"/>
              <w:left w:val="nil"/>
              <w:bottom w:val="nil"/>
              <w:right w:val="nil"/>
            </w:tcBorders>
            <w:noWrap/>
            <w:vAlign w:val="center"/>
          </w:tcPr>
          <w:p w14:paraId="7A1A3733" w14:textId="77777777" w:rsidR="00FD6F91" w:rsidRPr="00847FAE" w:rsidRDefault="00FD6F91" w:rsidP="00FD6F91">
            <w:pPr>
              <w:jc w:val="center"/>
              <w:rPr>
                <w:rFonts w:cs="Calibri"/>
                <w:color w:val="000000"/>
                <w:sz w:val="18"/>
                <w:szCs w:val="18"/>
              </w:rPr>
            </w:pPr>
            <w:r w:rsidRPr="00847FAE">
              <w:rPr>
                <w:rFonts w:cs="Calibri"/>
                <w:color w:val="000000"/>
                <w:sz w:val="18"/>
                <w:szCs w:val="18"/>
              </w:rPr>
              <w:t>2,885</w:t>
            </w:r>
          </w:p>
        </w:tc>
        <w:tc>
          <w:tcPr>
            <w:tcW w:w="992" w:type="dxa"/>
            <w:tcBorders>
              <w:top w:val="nil"/>
              <w:left w:val="nil"/>
              <w:bottom w:val="nil"/>
              <w:right w:val="nil"/>
            </w:tcBorders>
            <w:noWrap/>
            <w:vAlign w:val="center"/>
          </w:tcPr>
          <w:p w14:paraId="5AC49E3B" w14:textId="77777777" w:rsidR="00FD6F91" w:rsidRPr="00847FAE" w:rsidRDefault="00FD6F91" w:rsidP="00FD6F91">
            <w:pPr>
              <w:jc w:val="center"/>
              <w:rPr>
                <w:rFonts w:cs="Calibri"/>
                <w:color w:val="000000"/>
                <w:sz w:val="18"/>
                <w:szCs w:val="18"/>
              </w:rPr>
            </w:pPr>
            <w:r w:rsidRPr="00847FAE">
              <w:rPr>
                <w:rFonts w:cs="Calibri"/>
                <w:color w:val="000000"/>
                <w:sz w:val="18"/>
                <w:szCs w:val="18"/>
              </w:rPr>
              <w:t>3,263</w:t>
            </w:r>
          </w:p>
        </w:tc>
        <w:tc>
          <w:tcPr>
            <w:tcW w:w="992" w:type="dxa"/>
            <w:tcBorders>
              <w:top w:val="nil"/>
              <w:left w:val="nil"/>
              <w:bottom w:val="nil"/>
              <w:right w:val="nil"/>
            </w:tcBorders>
            <w:noWrap/>
            <w:vAlign w:val="center"/>
          </w:tcPr>
          <w:p w14:paraId="43F71D44" w14:textId="77777777" w:rsidR="00FD6F91" w:rsidRPr="00847FAE" w:rsidRDefault="00FD6F91" w:rsidP="00FD6F91">
            <w:pPr>
              <w:jc w:val="center"/>
              <w:rPr>
                <w:rFonts w:cs="Calibri"/>
                <w:color w:val="000000"/>
                <w:sz w:val="18"/>
                <w:szCs w:val="18"/>
              </w:rPr>
            </w:pPr>
            <w:r w:rsidRPr="00847FAE">
              <w:rPr>
                <w:rFonts w:cs="Calibri"/>
                <w:color w:val="000000"/>
                <w:sz w:val="18"/>
                <w:szCs w:val="18"/>
              </w:rPr>
              <w:t>3,496</w:t>
            </w:r>
          </w:p>
        </w:tc>
        <w:tc>
          <w:tcPr>
            <w:tcW w:w="992" w:type="dxa"/>
            <w:tcBorders>
              <w:top w:val="nil"/>
              <w:left w:val="nil"/>
              <w:bottom w:val="nil"/>
              <w:right w:val="nil"/>
            </w:tcBorders>
            <w:noWrap/>
            <w:vAlign w:val="center"/>
          </w:tcPr>
          <w:p w14:paraId="7A2A9FC1" w14:textId="77777777" w:rsidR="00FD6F91" w:rsidRPr="00847FAE" w:rsidRDefault="00FD6F91" w:rsidP="00FD6F91">
            <w:pPr>
              <w:jc w:val="center"/>
              <w:rPr>
                <w:rFonts w:cs="Calibri"/>
                <w:color w:val="000000"/>
                <w:sz w:val="18"/>
                <w:szCs w:val="18"/>
              </w:rPr>
            </w:pPr>
            <w:r w:rsidRPr="00847FAE">
              <w:rPr>
                <w:rFonts w:cs="Calibri"/>
                <w:color w:val="000000"/>
                <w:sz w:val="18"/>
                <w:szCs w:val="18"/>
              </w:rPr>
              <w:t>3,849</w:t>
            </w:r>
          </w:p>
        </w:tc>
        <w:tc>
          <w:tcPr>
            <w:tcW w:w="1135" w:type="dxa"/>
            <w:tcBorders>
              <w:top w:val="nil"/>
              <w:left w:val="nil"/>
              <w:bottom w:val="nil"/>
              <w:right w:val="nil"/>
            </w:tcBorders>
            <w:noWrap/>
            <w:vAlign w:val="center"/>
          </w:tcPr>
          <w:p w14:paraId="503F9816" w14:textId="77777777" w:rsidR="00FD6F91" w:rsidRPr="00847FAE" w:rsidRDefault="00FD6F91" w:rsidP="00FD6F91">
            <w:pPr>
              <w:jc w:val="center"/>
              <w:rPr>
                <w:rFonts w:cs="Calibri"/>
                <w:color w:val="000000"/>
                <w:sz w:val="18"/>
                <w:szCs w:val="18"/>
              </w:rPr>
            </w:pPr>
            <w:r w:rsidRPr="00847FAE">
              <w:rPr>
                <w:rFonts w:cs="Calibri"/>
                <w:color w:val="000000"/>
                <w:sz w:val="18"/>
                <w:szCs w:val="18"/>
              </w:rPr>
              <w:t>10.1%</w:t>
            </w:r>
          </w:p>
        </w:tc>
      </w:tr>
      <w:tr w:rsidR="00FD6F91" w:rsidRPr="00847FAE" w14:paraId="6E7C1A25" w14:textId="77777777" w:rsidTr="001F1F60">
        <w:trPr>
          <w:cantSplit/>
          <w:trHeight w:val="255"/>
        </w:trPr>
        <w:tc>
          <w:tcPr>
            <w:tcW w:w="3119" w:type="dxa"/>
            <w:gridSpan w:val="4"/>
            <w:tcBorders>
              <w:top w:val="nil"/>
              <w:left w:val="nil"/>
              <w:bottom w:val="nil"/>
              <w:right w:val="nil"/>
            </w:tcBorders>
            <w:noWrap/>
          </w:tcPr>
          <w:p w14:paraId="3571A63D"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nil"/>
              <w:right w:val="nil"/>
            </w:tcBorders>
            <w:noWrap/>
            <w:vAlign w:val="center"/>
          </w:tcPr>
          <w:p w14:paraId="64033B37" w14:textId="77777777" w:rsidR="00FD6F91" w:rsidRPr="00847FAE" w:rsidRDefault="00FD6F91" w:rsidP="00FD6F91">
            <w:pPr>
              <w:jc w:val="center"/>
              <w:rPr>
                <w:rFonts w:cs="Calibri"/>
                <w:color w:val="000000"/>
                <w:sz w:val="18"/>
                <w:szCs w:val="18"/>
              </w:rPr>
            </w:pPr>
            <w:r w:rsidRPr="00847FAE">
              <w:rPr>
                <w:rFonts w:cs="Calibri"/>
                <w:color w:val="000000"/>
                <w:sz w:val="18"/>
                <w:szCs w:val="18"/>
              </w:rPr>
              <w:t>2,263</w:t>
            </w:r>
          </w:p>
        </w:tc>
        <w:tc>
          <w:tcPr>
            <w:tcW w:w="992" w:type="dxa"/>
            <w:tcBorders>
              <w:top w:val="nil"/>
              <w:left w:val="nil"/>
              <w:bottom w:val="nil"/>
              <w:right w:val="nil"/>
            </w:tcBorders>
            <w:noWrap/>
            <w:vAlign w:val="center"/>
          </w:tcPr>
          <w:p w14:paraId="6B038AA3" w14:textId="77777777" w:rsidR="00FD6F91" w:rsidRPr="00847FAE" w:rsidRDefault="00FD6F91" w:rsidP="00FD6F91">
            <w:pPr>
              <w:jc w:val="center"/>
              <w:rPr>
                <w:rFonts w:cs="Calibri"/>
                <w:color w:val="000000"/>
                <w:sz w:val="18"/>
                <w:szCs w:val="18"/>
              </w:rPr>
            </w:pPr>
            <w:r w:rsidRPr="00847FAE">
              <w:rPr>
                <w:rFonts w:cs="Calibri"/>
                <w:color w:val="000000"/>
                <w:sz w:val="18"/>
                <w:szCs w:val="18"/>
              </w:rPr>
              <w:t>2,409</w:t>
            </w:r>
          </w:p>
        </w:tc>
        <w:tc>
          <w:tcPr>
            <w:tcW w:w="992" w:type="dxa"/>
            <w:tcBorders>
              <w:top w:val="nil"/>
              <w:left w:val="nil"/>
              <w:bottom w:val="nil"/>
              <w:right w:val="nil"/>
            </w:tcBorders>
            <w:noWrap/>
            <w:vAlign w:val="center"/>
          </w:tcPr>
          <w:p w14:paraId="01EA915F" w14:textId="77777777" w:rsidR="00FD6F91" w:rsidRPr="00847FAE" w:rsidRDefault="00FD6F91" w:rsidP="00FD6F91">
            <w:pPr>
              <w:jc w:val="center"/>
              <w:rPr>
                <w:rFonts w:cs="Calibri"/>
                <w:color w:val="000000"/>
                <w:sz w:val="18"/>
                <w:szCs w:val="18"/>
              </w:rPr>
            </w:pPr>
            <w:r w:rsidRPr="00847FAE">
              <w:rPr>
                <w:rFonts w:cs="Calibri"/>
                <w:color w:val="000000"/>
                <w:sz w:val="18"/>
                <w:szCs w:val="18"/>
              </w:rPr>
              <w:t>3,247</w:t>
            </w:r>
          </w:p>
        </w:tc>
        <w:tc>
          <w:tcPr>
            <w:tcW w:w="992" w:type="dxa"/>
            <w:tcBorders>
              <w:top w:val="nil"/>
              <w:left w:val="nil"/>
              <w:bottom w:val="nil"/>
              <w:right w:val="nil"/>
            </w:tcBorders>
            <w:noWrap/>
            <w:vAlign w:val="center"/>
          </w:tcPr>
          <w:p w14:paraId="1ED78A42" w14:textId="77777777" w:rsidR="00FD6F91" w:rsidRPr="00847FAE" w:rsidRDefault="00FD6F91" w:rsidP="00FD6F91">
            <w:pPr>
              <w:jc w:val="center"/>
              <w:rPr>
                <w:rFonts w:cs="Calibri"/>
                <w:color w:val="000000"/>
                <w:sz w:val="18"/>
                <w:szCs w:val="18"/>
              </w:rPr>
            </w:pPr>
            <w:r w:rsidRPr="00847FAE">
              <w:rPr>
                <w:rFonts w:cs="Calibri"/>
                <w:color w:val="000000"/>
                <w:sz w:val="18"/>
                <w:szCs w:val="18"/>
              </w:rPr>
              <w:t>3,078</w:t>
            </w:r>
          </w:p>
        </w:tc>
        <w:tc>
          <w:tcPr>
            <w:tcW w:w="992" w:type="dxa"/>
            <w:tcBorders>
              <w:top w:val="nil"/>
              <w:left w:val="nil"/>
              <w:bottom w:val="nil"/>
              <w:right w:val="nil"/>
            </w:tcBorders>
            <w:noWrap/>
            <w:vAlign w:val="center"/>
          </w:tcPr>
          <w:p w14:paraId="4DDFC7EA" w14:textId="77777777" w:rsidR="00FD6F91" w:rsidRPr="00847FAE" w:rsidRDefault="00FD6F91" w:rsidP="00FD6F91">
            <w:pPr>
              <w:jc w:val="center"/>
              <w:rPr>
                <w:rFonts w:cs="Calibri"/>
                <w:color w:val="000000"/>
                <w:sz w:val="18"/>
                <w:szCs w:val="18"/>
              </w:rPr>
            </w:pPr>
            <w:r w:rsidRPr="00847FAE">
              <w:rPr>
                <w:rFonts w:cs="Calibri"/>
                <w:color w:val="000000"/>
                <w:sz w:val="18"/>
                <w:szCs w:val="18"/>
              </w:rPr>
              <w:t>3,533</w:t>
            </w:r>
          </w:p>
        </w:tc>
        <w:tc>
          <w:tcPr>
            <w:tcW w:w="1135" w:type="dxa"/>
            <w:tcBorders>
              <w:top w:val="nil"/>
              <w:left w:val="nil"/>
              <w:bottom w:val="nil"/>
              <w:right w:val="nil"/>
            </w:tcBorders>
            <w:noWrap/>
            <w:vAlign w:val="center"/>
          </w:tcPr>
          <w:p w14:paraId="1D0546DC" w14:textId="77777777" w:rsidR="00FD6F91" w:rsidRPr="00847FAE" w:rsidRDefault="00FD6F91" w:rsidP="00FD6F91">
            <w:pPr>
              <w:jc w:val="center"/>
              <w:rPr>
                <w:rFonts w:cs="Calibri"/>
                <w:color w:val="000000"/>
                <w:sz w:val="18"/>
                <w:szCs w:val="18"/>
              </w:rPr>
            </w:pPr>
            <w:r w:rsidRPr="00847FAE">
              <w:rPr>
                <w:rFonts w:cs="Calibri"/>
                <w:color w:val="000000"/>
                <w:sz w:val="18"/>
                <w:szCs w:val="18"/>
              </w:rPr>
              <w:t>14.8%</w:t>
            </w:r>
          </w:p>
        </w:tc>
      </w:tr>
      <w:tr w:rsidR="00FD6F91" w:rsidRPr="00847FAE" w14:paraId="2B6A4A39" w14:textId="77777777" w:rsidTr="001F1F60">
        <w:trPr>
          <w:cantSplit/>
          <w:trHeight w:val="255"/>
        </w:trPr>
        <w:tc>
          <w:tcPr>
            <w:tcW w:w="3119" w:type="dxa"/>
            <w:gridSpan w:val="4"/>
            <w:tcBorders>
              <w:top w:val="nil"/>
              <w:left w:val="nil"/>
              <w:bottom w:val="nil"/>
              <w:right w:val="nil"/>
            </w:tcBorders>
            <w:shd w:val="clear" w:color="auto" w:fill="D9D9D9" w:themeFill="background1" w:themeFillShade="D9"/>
            <w:noWrap/>
          </w:tcPr>
          <w:p w14:paraId="2A03EE6F"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Breach of suspended sentence</w:t>
            </w:r>
          </w:p>
        </w:tc>
        <w:tc>
          <w:tcPr>
            <w:tcW w:w="992" w:type="dxa"/>
            <w:tcBorders>
              <w:top w:val="nil"/>
              <w:left w:val="nil"/>
              <w:bottom w:val="nil"/>
              <w:right w:val="nil"/>
            </w:tcBorders>
            <w:shd w:val="clear" w:color="auto" w:fill="D9D9D9" w:themeFill="background1" w:themeFillShade="D9"/>
            <w:noWrap/>
            <w:vAlign w:val="center"/>
          </w:tcPr>
          <w:p w14:paraId="73DEEEDD"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A7E8C9F"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73E57ECF"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63EBD3D"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FEEB8AE" w14:textId="77777777" w:rsidR="00FD6F91" w:rsidRPr="00847FAE" w:rsidRDefault="00FD6F91" w:rsidP="00FD6F91">
            <w:pPr>
              <w:keepNext/>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342FDE27" w14:textId="77777777" w:rsidR="00FD6F91" w:rsidRPr="00847FAE" w:rsidRDefault="00FD6F91" w:rsidP="00FD6F91">
            <w:pPr>
              <w:keepNext/>
              <w:jc w:val="center"/>
              <w:rPr>
                <w:rFonts w:cs="Calibri"/>
                <w:iCs/>
                <w:color w:val="000000"/>
                <w:sz w:val="18"/>
                <w:szCs w:val="18"/>
              </w:rPr>
            </w:pPr>
          </w:p>
        </w:tc>
      </w:tr>
      <w:tr w:rsidR="00FD6F91" w:rsidRPr="00847FAE" w14:paraId="4A1D82C1" w14:textId="77777777" w:rsidTr="001F1F60">
        <w:trPr>
          <w:cantSplit/>
          <w:trHeight w:val="255"/>
        </w:trPr>
        <w:tc>
          <w:tcPr>
            <w:tcW w:w="3119" w:type="dxa"/>
            <w:gridSpan w:val="4"/>
            <w:tcBorders>
              <w:top w:val="nil"/>
              <w:left w:val="nil"/>
              <w:bottom w:val="nil"/>
              <w:right w:val="nil"/>
            </w:tcBorders>
            <w:noWrap/>
          </w:tcPr>
          <w:p w14:paraId="27AE2E32"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602F048F" w14:textId="77777777" w:rsidR="00FD6F91" w:rsidRPr="00847FAE" w:rsidRDefault="00FD6F91" w:rsidP="00FD6F91">
            <w:pPr>
              <w:jc w:val="center"/>
              <w:rPr>
                <w:rFonts w:cs="Calibri"/>
                <w:color w:val="000000"/>
                <w:sz w:val="18"/>
                <w:szCs w:val="18"/>
              </w:rPr>
            </w:pPr>
            <w:r w:rsidRPr="00847FAE">
              <w:rPr>
                <w:rFonts w:cs="Calibri"/>
                <w:color w:val="000000"/>
                <w:sz w:val="18"/>
                <w:szCs w:val="18"/>
              </w:rPr>
              <w:t>454</w:t>
            </w:r>
          </w:p>
        </w:tc>
        <w:tc>
          <w:tcPr>
            <w:tcW w:w="992" w:type="dxa"/>
            <w:tcBorders>
              <w:top w:val="nil"/>
              <w:left w:val="nil"/>
              <w:bottom w:val="nil"/>
              <w:right w:val="nil"/>
            </w:tcBorders>
            <w:noWrap/>
            <w:vAlign w:val="center"/>
          </w:tcPr>
          <w:p w14:paraId="06CEDE56" w14:textId="77777777" w:rsidR="00FD6F91" w:rsidRPr="00847FAE" w:rsidRDefault="00FD6F91" w:rsidP="00FD6F91">
            <w:pPr>
              <w:jc w:val="center"/>
              <w:rPr>
                <w:rFonts w:cs="Calibri"/>
                <w:color w:val="000000"/>
                <w:sz w:val="18"/>
                <w:szCs w:val="18"/>
              </w:rPr>
            </w:pPr>
            <w:r w:rsidRPr="00847FAE">
              <w:rPr>
                <w:rFonts w:cs="Calibri"/>
                <w:color w:val="000000"/>
                <w:sz w:val="18"/>
                <w:szCs w:val="18"/>
              </w:rPr>
              <w:t>447</w:t>
            </w:r>
          </w:p>
        </w:tc>
        <w:tc>
          <w:tcPr>
            <w:tcW w:w="992" w:type="dxa"/>
            <w:tcBorders>
              <w:top w:val="nil"/>
              <w:left w:val="nil"/>
              <w:bottom w:val="nil"/>
              <w:right w:val="nil"/>
            </w:tcBorders>
            <w:noWrap/>
            <w:vAlign w:val="center"/>
          </w:tcPr>
          <w:p w14:paraId="49342A6F" w14:textId="77777777" w:rsidR="00FD6F91" w:rsidRPr="00847FAE" w:rsidRDefault="00FD6F91" w:rsidP="00FD6F91">
            <w:pPr>
              <w:jc w:val="center"/>
              <w:rPr>
                <w:rFonts w:cs="Calibri"/>
                <w:color w:val="000000"/>
                <w:sz w:val="18"/>
                <w:szCs w:val="18"/>
              </w:rPr>
            </w:pPr>
            <w:r w:rsidRPr="00847FAE">
              <w:rPr>
                <w:rFonts w:cs="Calibri"/>
                <w:color w:val="000000"/>
                <w:sz w:val="18"/>
                <w:szCs w:val="18"/>
              </w:rPr>
              <w:t>593</w:t>
            </w:r>
          </w:p>
        </w:tc>
        <w:tc>
          <w:tcPr>
            <w:tcW w:w="992" w:type="dxa"/>
            <w:tcBorders>
              <w:top w:val="nil"/>
              <w:left w:val="nil"/>
              <w:bottom w:val="nil"/>
              <w:right w:val="nil"/>
            </w:tcBorders>
            <w:noWrap/>
            <w:vAlign w:val="center"/>
          </w:tcPr>
          <w:p w14:paraId="714CD012" w14:textId="77777777" w:rsidR="00FD6F91" w:rsidRPr="00847FAE" w:rsidRDefault="00FD6F91" w:rsidP="00FD6F91">
            <w:pPr>
              <w:jc w:val="center"/>
              <w:rPr>
                <w:rFonts w:cs="Calibri"/>
                <w:color w:val="000000"/>
                <w:sz w:val="18"/>
                <w:szCs w:val="18"/>
              </w:rPr>
            </w:pPr>
            <w:r w:rsidRPr="00847FAE">
              <w:rPr>
                <w:rFonts w:cs="Calibri"/>
                <w:color w:val="000000"/>
                <w:sz w:val="18"/>
                <w:szCs w:val="18"/>
              </w:rPr>
              <w:t>610</w:t>
            </w:r>
          </w:p>
        </w:tc>
        <w:tc>
          <w:tcPr>
            <w:tcW w:w="992" w:type="dxa"/>
            <w:tcBorders>
              <w:top w:val="nil"/>
              <w:left w:val="nil"/>
              <w:bottom w:val="nil"/>
              <w:right w:val="nil"/>
            </w:tcBorders>
            <w:noWrap/>
            <w:vAlign w:val="center"/>
          </w:tcPr>
          <w:p w14:paraId="2AD72406" w14:textId="77777777" w:rsidR="00FD6F91" w:rsidRPr="00847FAE" w:rsidRDefault="00FD6F91" w:rsidP="00FD6F91">
            <w:pPr>
              <w:jc w:val="center"/>
              <w:rPr>
                <w:rFonts w:cs="Calibri"/>
                <w:color w:val="000000"/>
                <w:sz w:val="18"/>
                <w:szCs w:val="18"/>
              </w:rPr>
            </w:pPr>
            <w:r w:rsidRPr="00847FAE">
              <w:rPr>
                <w:rFonts w:cs="Calibri"/>
                <w:color w:val="000000"/>
                <w:sz w:val="18"/>
                <w:szCs w:val="18"/>
              </w:rPr>
              <w:t>624</w:t>
            </w:r>
          </w:p>
        </w:tc>
        <w:tc>
          <w:tcPr>
            <w:tcW w:w="1135" w:type="dxa"/>
            <w:tcBorders>
              <w:top w:val="nil"/>
              <w:left w:val="nil"/>
              <w:bottom w:val="nil"/>
              <w:right w:val="nil"/>
            </w:tcBorders>
            <w:noWrap/>
            <w:vAlign w:val="center"/>
          </w:tcPr>
          <w:p w14:paraId="1A8DB9CC" w14:textId="77777777" w:rsidR="00FD6F91" w:rsidRPr="00847FAE" w:rsidRDefault="00FD6F91" w:rsidP="00FD6F91">
            <w:pPr>
              <w:jc w:val="center"/>
              <w:rPr>
                <w:rFonts w:cs="Calibri"/>
                <w:color w:val="000000"/>
                <w:sz w:val="18"/>
                <w:szCs w:val="18"/>
              </w:rPr>
            </w:pPr>
            <w:r w:rsidRPr="00847FAE">
              <w:rPr>
                <w:rFonts w:cs="Calibri"/>
                <w:color w:val="000000"/>
                <w:sz w:val="18"/>
                <w:szCs w:val="18"/>
              </w:rPr>
              <w:t>2.3%</w:t>
            </w:r>
          </w:p>
        </w:tc>
      </w:tr>
      <w:tr w:rsidR="00FD6F91" w:rsidRPr="00847FAE" w14:paraId="7FFDAEC3" w14:textId="77777777" w:rsidTr="001F1F60">
        <w:trPr>
          <w:cantSplit/>
          <w:trHeight w:val="255"/>
        </w:trPr>
        <w:tc>
          <w:tcPr>
            <w:tcW w:w="3119" w:type="dxa"/>
            <w:gridSpan w:val="4"/>
            <w:tcBorders>
              <w:top w:val="nil"/>
              <w:left w:val="nil"/>
              <w:bottom w:val="nil"/>
              <w:right w:val="nil"/>
            </w:tcBorders>
            <w:noWrap/>
          </w:tcPr>
          <w:p w14:paraId="692DF011"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nil"/>
              <w:right w:val="nil"/>
            </w:tcBorders>
            <w:noWrap/>
            <w:vAlign w:val="center"/>
          </w:tcPr>
          <w:p w14:paraId="225FA0BB" w14:textId="77777777" w:rsidR="00FD6F91" w:rsidRPr="00847FAE" w:rsidRDefault="00FD6F91" w:rsidP="00FD6F91">
            <w:pPr>
              <w:jc w:val="center"/>
              <w:rPr>
                <w:rFonts w:cs="Calibri"/>
                <w:color w:val="000000"/>
                <w:sz w:val="18"/>
                <w:szCs w:val="18"/>
              </w:rPr>
            </w:pPr>
            <w:r w:rsidRPr="00847FAE">
              <w:rPr>
                <w:rFonts w:cs="Calibri"/>
                <w:color w:val="000000"/>
                <w:sz w:val="18"/>
                <w:szCs w:val="18"/>
              </w:rPr>
              <w:t>456</w:t>
            </w:r>
          </w:p>
        </w:tc>
        <w:tc>
          <w:tcPr>
            <w:tcW w:w="992" w:type="dxa"/>
            <w:tcBorders>
              <w:top w:val="nil"/>
              <w:left w:val="nil"/>
              <w:bottom w:val="nil"/>
              <w:right w:val="nil"/>
            </w:tcBorders>
            <w:noWrap/>
            <w:vAlign w:val="center"/>
          </w:tcPr>
          <w:p w14:paraId="49A5F6A2" w14:textId="77777777" w:rsidR="00FD6F91" w:rsidRPr="00847FAE" w:rsidRDefault="00FD6F91" w:rsidP="00FD6F91">
            <w:pPr>
              <w:jc w:val="center"/>
              <w:rPr>
                <w:rFonts w:cs="Calibri"/>
                <w:color w:val="000000"/>
                <w:sz w:val="18"/>
                <w:szCs w:val="18"/>
              </w:rPr>
            </w:pPr>
            <w:r w:rsidRPr="00847FAE">
              <w:rPr>
                <w:rFonts w:cs="Calibri"/>
                <w:color w:val="000000"/>
                <w:sz w:val="18"/>
                <w:szCs w:val="18"/>
              </w:rPr>
              <w:t>401</w:t>
            </w:r>
          </w:p>
        </w:tc>
        <w:tc>
          <w:tcPr>
            <w:tcW w:w="992" w:type="dxa"/>
            <w:tcBorders>
              <w:top w:val="nil"/>
              <w:left w:val="nil"/>
              <w:bottom w:val="nil"/>
              <w:right w:val="nil"/>
            </w:tcBorders>
            <w:noWrap/>
            <w:vAlign w:val="center"/>
          </w:tcPr>
          <w:p w14:paraId="7EF37060" w14:textId="77777777" w:rsidR="00FD6F91" w:rsidRPr="00847FAE" w:rsidRDefault="00FD6F91" w:rsidP="00FD6F91">
            <w:pPr>
              <w:jc w:val="center"/>
              <w:rPr>
                <w:rFonts w:cs="Calibri"/>
                <w:color w:val="000000"/>
                <w:sz w:val="18"/>
                <w:szCs w:val="18"/>
              </w:rPr>
            </w:pPr>
            <w:r w:rsidRPr="00847FAE">
              <w:rPr>
                <w:rFonts w:cs="Calibri"/>
                <w:color w:val="000000"/>
                <w:sz w:val="18"/>
                <w:szCs w:val="18"/>
              </w:rPr>
              <w:t>535</w:t>
            </w:r>
          </w:p>
        </w:tc>
        <w:tc>
          <w:tcPr>
            <w:tcW w:w="992" w:type="dxa"/>
            <w:tcBorders>
              <w:top w:val="nil"/>
              <w:left w:val="nil"/>
              <w:bottom w:val="nil"/>
              <w:right w:val="nil"/>
            </w:tcBorders>
            <w:noWrap/>
            <w:vAlign w:val="center"/>
          </w:tcPr>
          <w:p w14:paraId="5C2B16AC" w14:textId="77777777" w:rsidR="00FD6F91" w:rsidRPr="00847FAE" w:rsidRDefault="00FD6F91" w:rsidP="00FD6F91">
            <w:pPr>
              <w:jc w:val="center"/>
              <w:rPr>
                <w:rFonts w:cs="Calibri"/>
                <w:color w:val="000000"/>
                <w:sz w:val="18"/>
                <w:szCs w:val="18"/>
              </w:rPr>
            </w:pPr>
            <w:r w:rsidRPr="00847FAE">
              <w:rPr>
                <w:rFonts w:cs="Calibri"/>
                <w:color w:val="000000"/>
                <w:sz w:val="18"/>
                <w:szCs w:val="18"/>
              </w:rPr>
              <w:t>550</w:t>
            </w:r>
          </w:p>
        </w:tc>
        <w:tc>
          <w:tcPr>
            <w:tcW w:w="992" w:type="dxa"/>
            <w:tcBorders>
              <w:top w:val="nil"/>
              <w:left w:val="nil"/>
              <w:bottom w:val="nil"/>
              <w:right w:val="nil"/>
            </w:tcBorders>
            <w:noWrap/>
            <w:vAlign w:val="center"/>
          </w:tcPr>
          <w:p w14:paraId="7C11B1CD" w14:textId="77777777" w:rsidR="00FD6F91" w:rsidRPr="00847FAE" w:rsidRDefault="00FD6F91" w:rsidP="00FD6F91">
            <w:pPr>
              <w:jc w:val="center"/>
              <w:rPr>
                <w:rFonts w:cs="Calibri"/>
                <w:color w:val="000000"/>
                <w:sz w:val="18"/>
                <w:szCs w:val="18"/>
              </w:rPr>
            </w:pPr>
            <w:r w:rsidRPr="00847FAE">
              <w:rPr>
                <w:rFonts w:cs="Calibri"/>
                <w:color w:val="000000"/>
                <w:sz w:val="18"/>
                <w:szCs w:val="18"/>
              </w:rPr>
              <w:t>552</w:t>
            </w:r>
          </w:p>
        </w:tc>
        <w:tc>
          <w:tcPr>
            <w:tcW w:w="1135" w:type="dxa"/>
            <w:tcBorders>
              <w:top w:val="nil"/>
              <w:left w:val="nil"/>
              <w:bottom w:val="nil"/>
              <w:right w:val="nil"/>
            </w:tcBorders>
            <w:noWrap/>
            <w:vAlign w:val="center"/>
          </w:tcPr>
          <w:p w14:paraId="4DDF0633" w14:textId="77777777" w:rsidR="00FD6F91" w:rsidRPr="00847FAE" w:rsidRDefault="00FD6F91" w:rsidP="00FD6F91">
            <w:pPr>
              <w:jc w:val="center"/>
              <w:rPr>
                <w:rFonts w:cs="Calibri"/>
                <w:color w:val="000000"/>
                <w:sz w:val="18"/>
                <w:szCs w:val="18"/>
              </w:rPr>
            </w:pPr>
            <w:r w:rsidRPr="00847FAE">
              <w:rPr>
                <w:rFonts w:cs="Calibri"/>
                <w:color w:val="000000"/>
                <w:sz w:val="18"/>
                <w:szCs w:val="18"/>
              </w:rPr>
              <w:t>0.4%</w:t>
            </w:r>
          </w:p>
        </w:tc>
      </w:tr>
      <w:tr w:rsidR="00FD6F91" w:rsidRPr="00847FAE" w14:paraId="4677B561" w14:textId="77777777" w:rsidTr="001F1F60">
        <w:trPr>
          <w:cantSplit/>
          <w:trHeight w:val="255"/>
        </w:trPr>
        <w:tc>
          <w:tcPr>
            <w:tcW w:w="3119" w:type="dxa"/>
            <w:gridSpan w:val="4"/>
            <w:tcBorders>
              <w:top w:val="nil"/>
              <w:left w:val="nil"/>
              <w:bottom w:val="nil"/>
              <w:right w:val="nil"/>
            </w:tcBorders>
            <w:shd w:val="clear" w:color="auto" w:fill="D9D9D9" w:themeFill="background1" w:themeFillShade="D9"/>
            <w:noWrap/>
          </w:tcPr>
          <w:p w14:paraId="42265FAF" w14:textId="77777777" w:rsidR="00FD6F91" w:rsidRPr="00847FAE" w:rsidRDefault="00FD6F91" w:rsidP="00FD6F91">
            <w:pPr>
              <w:keepNext/>
              <w:widowControl w:val="0"/>
              <w:rPr>
                <w:rFonts w:cs="Calibri"/>
                <w:iCs/>
                <w:color w:val="000000"/>
                <w:sz w:val="18"/>
                <w:szCs w:val="18"/>
                <w:vertAlign w:val="superscript"/>
              </w:rPr>
            </w:pPr>
            <w:r w:rsidRPr="00847FAE">
              <w:rPr>
                <w:rFonts w:cs="Calibri"/>
                <w:iCs/>
                <w:color w:val="000000"/>
                <w:sz w:val="18"/>
                <w:szCs w:val="18"/>
              </w:rPr>
              <w:t>Breach of supervision order</w:t>
            </w:r>
            <w:r w:rsidRPr="00847FAE">
              <w:rPr>
                <w:rFonts w:cs="Calibri"/>
                <w:iCs/>
                <w:color w:val="000000"/>
                <w:sz w:val="18"/>
                <w:szCs w:val="18"/>
                <w:vertAlign w:val="superscript"/>
              </w:rPr>
              <w:t>1</w:t>
            </w:r>
          </w:p>
        </w:tc>
        <w:tc>
          <w:tcPr>
            <w:tcW w:w="992" w:type="dxa"/>
            <w:tcBorders>
              <w:top w:val="nil"/>
              <w:left w:val="nil"/>
              <w:bottom w:val="nil"/>
              <w:right w:val="nil"/>
            </w:tcBorders>
            <w:shd w:val="clear" w:color="auto" w:fill="D9D9D9" w:themeFill="background1" w:themeFillShade="D9"/>
            <w:noWrap/>
            <w:vAlign w:val="center"/>
          </w:tcPr>
          <w:p w14:paraId="55318554"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7D4CFAA"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A2F9907"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3F0E8D71"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2C54F11B" w14:textId="77777777" w:rsidR="00FD6F91" w:rsidRPr="00847FAE" w:rsidRDefault="00FD6F91" w:rsidP="00FD6F91">
            <w:pPr>
              <w:keepNext/>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51B27678" w14:textId="77777777" w:rsidR="00FD6F91" w:rsidRPr="00847FAE" w:rsidRDefault="00FD6F91" w:rsidP="00FD6F91">
            <w:pPr>
              <w:keepNext/>
              <w:jc w:val="center"/>
              <w:rPr>
                <w:rFonts w:cs="Calibri"/>
                <w:iCs/>
                <w:color w:val="000000"/>
                <w:sz w:val="18"/>
                <w:szCs w:val="18"/>
              </w:rPr>
            </w:pPr>
          </w:p>
        </w:tc>
      </w:tr>
      <w:tr w:rsidR="00FD6F91" w:rsidRPr="00847FAE" w14:paraId="5324DEF5" w14:textId="77777777" w:rsidTr="001F1F60">
        <w:trPr>
          <w:cantSplit/>
          <w:trHeight w:val="255"/>
        </w:trPr>
        <w:tc>
          <w:tcPr>
            <w:tcW w:w="3119" w:type="dxa"/>
            <w:gridSpan w:val="4"/>
            <w:tcBorders>
              <w:top w:val="nil"/>
              <w:left w:val="nil"/>
              <w:bottom w:val="nil"/>
              <w:right w:val="nil"/>
            </w:tcBorders>
            <w:noWrap/>
          </w:tcPr>
          <w:p w14:paraId="797637A1"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4741232F" w14:textId="77777777" w:rsidR="00FD6F91" w:rsidRPr="00847FAE" w:rsidRDefault="00FD6F91" w:rsidP="00FD6F91">
            <w:pPr>
              <w:jc w:val="center"/>
              <w:rPr>
                <w:rFonts w:cs="Calibri"/>
                <w:color w:val="000000"/>
                <w:sz w:val="18"/>
                <w:szCs w:val="18"/>
              </w:rPr>
            </w:pPr>
            <w:r w:rsidRPr="00847FAE">
              <w:rPr>
                <w:rFonts w:cs="Calibri"/>
                <w:color w:val="000000"/>
                <w:sz w:val="18"/>
                <w:szCs w:val="18"/>
              </w:rPr>
              <w:t>77</w:t>
            </w:r>
          </w:p>
        </w:tc>
        <w:tc>
          <w:tcPr>
            <w:tcW w:w="992" w:type="dxa"/>
            <w:tcBorders>
              <w:top w:val="nil"/>
              <w:left w:val="nil"/>
              <w:bottom w:val="nil"/>
              <w:right w:val="nil"/>
            </w:tcBorders>
            <w:noWrap/>
            <w:vAlign w:val="center"/>
          </w:tcPr>
          <w:p w14:paraId="28EF9A1E" w14:textId="77777777" w:rsidR="00FD6F91" w:rsidRPr="00847FAE" w:rsidRDefault="00FD6F91" w:rsidP="00FD6F91">
            <w:pPr>
              <w:jc w:val="center"/>
              <w:rPr>
                <w:rFonts w:cs="Calibri"/>
                <w:color w:val="000000"/>
                <w:sz w:val="18"/>
                <w:szCs w:val="18"/>
              </w:rPr>
            </w:pPr>
            <w:r w:rsidRPr="00847FAE">
              <w:rPr>
                <w:rFonts w:cs="Calibri"/>
                <w:color w:val="000000"/>
                <w:sz w:val="18"/>
                <w:szCs w:val="18"/>
              </w:rPr>
              <w:t>50</w:t>
            </w:r>
          </w:p>
        </w:tc>
        <w:tc>
          <w:tcPr>
            <w:tcW w:w="992" w:type="dxa"/>
            <w:tcBorders>
              <w:top w:val="nil"/>
              <w:left w:val="nil"/>
              <w:bottom w:val="nil"/>
              <w:right w:val="nil"/>
            </w:tcBorders>
            <w:noWrap/>
            <w:vAlign w:val="center"/>
          </w:tcPr>
          <w:p w14:paraId="0AF834C9" w14:textId="77777777" w:rsidR="00FD6F91" w:rsidRPr="00847FAE" w:rsidRDefault="00FD6F91" w:rsidP="00FD6F91">
            <w:pPr>
              <w:jc w:val="center"/>
              <w:rPr>
                <w:rFonts w:cs="Calibri"/>
                <w:color w:val="000000"/>
                <w:sz w:val="18"/>
                <w:szCs w:val="18"/>
              </w:rPr>
            </w:pPr>
            <w:r w:rsidRPr="00847FAE">
              <w:rPr>
                <w:rFonts w:cs="Calibri"/>
                <w:color w:val="000000"/>
                <w:sz w:val="18"/>
                <w:szCs w:val="18"/>
              </w:rPr>
              <w:t>47</w:t>
            </w:r>
          </w:p>
        </w:tc>
        <w:tc>
          <w:tcPr>
            <w:tcW w:w="992" w:type="dxa"/>
            <w:tcBorders>
              <w:top w:val="nil"/>
              <w:left w:val="nil"/>
              <w:bottom w:val="nil"/>
              <w:right w:val="nil"/>
            </w:tcBorders>
            <w:noWrap/>
            <w:vAlign w:val="center"/>
          </w:tcPr>
          <w:p w14:paraId="6F0DCC39" w14:textId="77777777" w:rsidR="00FD6F91" w:rsidRPr="00847FAE" w:rsidRDefault="00FD6F91" w:rsidP="00FD6F91">
            <w:pPr>
              <w:jc w:val="center"/>
              <w:rPr>
                <w:rFonts w:cs="Calibri"/>
                <w:color w:val="000000"/>
                <w:sz w:val="18"/>
                <w:szCs w:val="18"/>
              </w:rPr>
            </w:pPr>
            <w:r w:rsidRPr="00847FAE">
              <w:rPr>
                <w:rFonts w:cs="Calibri"/>
                <w:color w:val="000000"/>
                <w:sz w:val="18"/>
                <w:szCs w:val="18"/>
              </w:rPr>
              <w:t>72</w:t>
            </w:r>
          </w:p>
        </w:tc>
        <w:tc>
          <w:tcPr>
            <w:tcW w:w="992" w:type="dxa"/>
            <w:tcBorders>
              <w:top w:val="nil"/>
              <w:left w:val="nil"/>
              <w:bottom w:val="nil"/>
              <w:right w:val="nil"/>
            </w:tcBorders>
            <w:noWrap/>
            <w:vAlign w:val="center"/>
          </w:tcPr>
          <w:p w14:paraId="7F60924D" w14:textId="77777777" w:rsidR="00FD6F91" w:rsidRPr="00847FAE" w:rsidRDefault="00FD6F91" w:rsidP="00FD6F91">
            <w:pPr>
              <w:jc w:val="center"/>
              <w:rPr>
                <w:rFonts w:cs="Calibri"/>
                <w:color w:val="000000"/>
                <w:sz w:val="18"/>
                <w:szCs w:val="18"/>
              </w:rPr>
            </w:pPr>
            <w:r w:rsidRPr="00847FAE">
              <w:rPr>
                <w:rFonts w:cs="Calibri"/>
                <w:color w:val="000000"/>
                <w:sz w:val="18"/>
                <w:szCs w:val="18"/>
              </w:rPr>
              <w:t>43</w:t>
            </w:r>
          </w:p>
        </w:tc>
        <w:tc>
          <w:tcPr>
            <w:tcW w:w="1135" w:type="dxa"/>
            <w:tcBorders>
              <w:top w:val="nil"/>
              <w:left w:val="nil"/>
              <w:bottom w:val="nil"/>
              <w:right w:val="nil"/>
            </w:tcBorders>
            <w:noWrap/>
            <w:vAlign w:val="center"/>
          </w:tcPr>
          <w:p w14:paraId="36D98DE2" w14:textId="77777777" w:rsidR="00FD6F91" w:rsidRPr="00847FAE" w:rsidRDefault="00FD6F91" w:rsidP="00FD6F91">
            <w:pPr>
              <w:jc w:val="center"/>
              <w:rPr>
                <w:rFonts w:cs="Calibri"/>
                <w:color w:val="000000"/>
                <w:sz w:val="18"/>
                <w:szCs w:val="18"/>
              </w:rPr>
            </w:pPr>
            <w:r w:rsidRPr="00847FAE">
              <w:rPr>
                <w:rFonts w:cs="Calibri"/>
                <w:color w:val="000000"/>
                <w:sz w:val="18"/>
                <w:szCs w:val="18"/>
              </w:rPr>
              <w:t>-40.3%</w:t>
            </w:r>
          </w:p>
        </w:tc>
      </w:tr>
      <w:tr w:rsidR="00FD6F91" w:rsidRPr="00847FAE" w14:paraId="7F433482" w14:textId="77777777" w:rsidTr="001F1F60">
        <w:trPr>
          <w:cantSplit/>
          <w:trHeight w:val="255"/>
        </w:trPr>
        <w:tc>
          <w:tcPr>
            <w:tcW w:w="3119" w:type="dxa"/>
            <w:gridSpan w:val="4"/>
            <w:tcBorders>
              <w:top w:val="nil"/>
              <w:left w:val="nil"/>
              <w:bottom w:val="nil"/>
              <w:right w:val="nil"/>
            </w:tcBorders>
            <w:noWrap/>
          </w:tcPr>
          <w:p w14:paraId="488A3E43"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nil"/>
              <w:right w:val="nil"/>
            </w:tcBorders>
            <w:noWrap/>
            <w:vAlign w:val="center"/>
          </w:tcPr>
          <w:p w14:paraId="7A836156" w14:textId="77777777" w:rsidR="00FD6F91" w:rsidRPr="00847FAE" w:rsidRDefault="00FD6F91" w:rsidP="00FD6F91">
            <w:pPr>
              <w:jc w:val="center"/>
              <w:rPr>
                <w:rFonts w:cs="Calibri"/>
                <w:color w:val="000000"/>
                <w:sz w:val="18"/>
                <w:szCs w:val="18"/>
              </w:rPr>
            </w:pPr>
            <w:r w:rsidRPr="00847FAE">
              <w:rPr>
                <w:rFonts w:cs="Calibri"/>
                <w:color w:val="000000"/>
                <w:sz w:val="18"/>
                <w:szCs w:val="18"/>
              </w:rPr>
              <w:t>84</w:t>
            </w:r>
          </w:p>
        </w:tc>
        <w:tc>
          <w:tcPr>
            <w:tcW w:w="992" w:type="dxa"/>
            <w:tcBorders>
              <w:top w:val="nil"/>
              <w:left w:val="nil"/>
              <w:bottom w:val="nil"/>
              <w:right w:val="nil"/>
            </w:tcBorders>
            <w:noWrap/>
            <w:vAlign w:val="center"/>
          </w:tcPr>
          <w:p w14:paraId="1D3A07A5" w14:textId="77777777" w:rsidR="00FD6F91" w:rsidRPr="00847FAE" w:rsidRDefault="00FD6F91" w:rsidP="00FD6F91">
            <w:pPr>
              <w:jc w:val="center"/>
              <w:rPr>
                <w:rFonts w:cs="Calibri"/>
                <w:color w:val="000000"/>
                <w:sz w:val="18"/>
                <w:szCs w:val="18"/>
              </w:rPr>
            </w:pPr>
            <w:r w:rsidRPr="00847FAE">
              <w:rPr>
                <w:rFonts w:cs="Calibri"/>
                <w:color w:val="000000"/>
                <w:sz w:val="18"/>
                <w:szCs w:val="18"/>
              </w:rPr>
              <w:t>76</w:t>
            </w:r>
          </w:p>
        </w:tc>
        <w:tc>
          <w:tcPr>
            <w:tcW w:w="992" w:type="dxa"/>
            <w:tcBorders>
              <w:top w:val="nil"/>
              <w:left w:val="nil"/>
              <w:bottom w:val="nil"/>
              <w:right w:val="nil"/>
            </w:tcBorders>
            <w:noWrap/>
            <w:vAlign w:val="center"/>
          </w:tcPr>
          <w:p w14:paraId="564411E4" w14:textId="77777777" w:rsidR="00FD6F91" w:rsidRPr="00847FAE" w:rsidRDefault="00FD6F91" w:rsidP="00FD6F91">
            <w:pPr>
              <w:jc w:val="center"/>
              <w:rPr>
                <w:rFonts w:cs="Calibri"/>
                <w:color w:val="000000"/>
                <w:sz w:val="18"/>
                <w:szCs w:val="18"/>
              </w:rPr>
            </w:pPr>
            <w:r w:rsidRPr="00847FAE">
              <w:rPr>
                <w:rFonts w:cs="Calibri"/>
                <w:color w:val="000000"/>
                <w:sz w:val="18"/>
                <w:szCs w:val="18"/>
              </w:rPr>
              <w:t>43</w:t>
            </w:r>
          </w:p>
        </w:tc>
        <w:tc>
          <w:tcPr>
            <w:tcW w:w="992" w:type="dxa"/>
            <w:tcBorders>
              <w:top w:val="nil"/>
              <w:left w:val="nil"/>
              <w:bottom w:val="nil"/>
              <w:right w:val="nil"/>
            </w:tcBorders>
            <w:noWrap/>
            <w:vAlign w:val="center"/>
          </w:tcPr>
          <w:p w14:paraId="0C6F4693" w14:textId="77777777" w:rsidR="00FD6F91" w:rsidRPr="00847FAE" w:rsidRDefault="00FD6F91" w:rsidP="00FD6F91">
            <w:pPr>
              <w:jc w:val="center"/>
              <w:rPr>
                <w:rFonts w:cs="Calibri"/>
                <w:color w:val="000000"/>
                <w:sz w:val="18"/>
                <w:szCs w:val="18"/>
              </w:rPr>
            </w:pPr>
            <w:r w:rsidRPr="00847FAE">
              <w:rPr>
                <w:rFonts w:cs="Calibri"/>
                <w:color w:val="000000"/>
                <w:sz w:val="18"/>
                <w:szCs w:val="18"/>
              </w:rPr>
              <w:t>78</w:t>
            </w:r>
          </w:p>
        </w:tc>
        <w:tc>
          <w:tcPr>
            <w:tcW w:w="992" w:type="dxa"/>
            <w:tcBorders>
              <w:top w:val="nil"/>
              <w:left w:val="nil"/>
              <w:bottom w:val="nil"/>
              <w:right w:val="nil"/>
            </w:tcBorders>
            <w:noWrap/>
            <w:vAlign w:val="center"/>
          </w:tcPr>
          <w:p w14:paraId="23F33AB7" w14:textId="77777777" w:rsidR="00FD6F91" w:rsidRPr="00847FAE" w:rsidRDefault="00FD6F91" w:rsidP="00FD6F91">
            <w:pPr>
              <w:jc w:val="center"/>
              <w:rPr>
                <w:rFonts w:cs="Calibri"/>
                <w:color w:val="000000"/>
                <w:sz w:val="18"/>
                <w:szCs w:val="18"/>
              </w:rPr>
            </w:pPr>
            <w:r w:rsidRPr="00847FAE">
              <w:rPr>
                <w:rFonts w:cs="Calibri"/>
                <w:color w:val="000000"/>
                <w:sz w:val="18"/>
                <w:szCs w:val="18"/>
              </w:rPr>
              <w:t>44</w:t>
            </w:r>
          </w:p>
        </w:tc>
        <w:tc>
          <w:tcPr>
            <w:tcW w:w="1135" w:type="dxa"/>
            <w:tcBorders>
              <w:top w:val="nil"/>
              <w:left w:val="nil"/>
              <w:bottom w:val="nil"/>
              <w:right w:val="nil"/>
            </w:tcBorders>
            <w:noWrap/>
            <w:vAlign w:val="center"/>
          </w:tcPr>
          <w:p w14:paraId="452032A1" w14:textId="77777777" w:rsidR="00FD6F91" w:rsidRPr="00847FAE" w:rsidRDefault="00FD6F91" w:rsidP="00FD6F91">
            <w:pPr>
              <w:jc w:val="center"/>
              <w:rPr>
                <w:rFonts w:cs="Calibri"/>
                <w:color w:val="000000"/>
                <w:sz w:val="18"/>
                <w:szCs w:val="18"/>
              </w:rPr>
            </w:pPr>
            <w:r w:rsidRPr="00847FAE">
              <w:rPr>
                <w:rFonts w:cs="Calibri"/>
                <w:color w:val="000000"/>
                <w:sz w:val="18"/>
                <w:szCs w:val="18"/>
              </w:rPr>
              <w:t>-43.6%</w:t>
            </w:r>
          </w:p>
        </w:tc>
      </w:tr>
      <w:tr w:rsidR="00FD6F91" w:rsidRPr="00847FAE" w14:paraId="72F73218" w14:textId="77777777" w:rsidTr="001F1F60">
        <w:trPr>
          <w:cantSplit/>
          <w:trHeight w:val="255"/>
        </w:trPr>
        <w:tc>
          <w:tcPr>
            <w:tcW w:w="3119" w:type="dxa"/>
            <w:gridSpan w:val="4"/>
            <w:tcBorders>
              <w:top w:val="nil"/>
              <w:left w:val="nil"/>
              <w:bottom w:val="nil"/>
              <w:right w:val="nil"/>
            </w:tcBorders>
            <w:shd w:val="clear" w:color="auto" w:fill="D9D9D9" w:themeFill="background1" w:themeFillShade="D9"/>
            <w:noWrap/>
          </w:tcPr>
          <w:p w14:paraId="50426041"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Breach of community service order</w:t>
            </w:r>
          </w:p>
        </w:tc>
        <w:tc>
          <w:tcPr>
            <w:tcW w:w="992" w:type="dxa"/>
            <w:tcBorders>
              <w:top w:val="nil"/>
              <w:left w:val="nil"/>
              <w:bottom w:val="nil"/>
              <w:right w:val="nil"/>
            </w:tcBorders>
            <w:shd w:val="clear" w:color="auto" w:fill="D9D9D9" w:themeFill="background1" w:themeFillShade="D9"/>
            <w:noWrap/>
            <w:vAlign w:val="center"/>
          </w:tcPr>
          <w:p w14:paraId="1D736F5D"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7083FCC7"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12854EC3"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1F2B5B0B"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5D50846B" w14:textId="77777777" w:rsidR="00FD6F91" w:rsidRPr="00847FAE" w:rsidRDefault="00FD6F91" w:rsidP="00FD6F91">
            <w:pPr>
              <w:keepNext/>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74F4EB63" w14:textId="77777777" w:rsidR="00FD6F91" w:rsidRPr="00847FAE" w:rsidRDefault="00FD6F91" w:rsidP="00FD6F91">
            <w:pPr>
              <w:keepNext/>
              <w:jc w:val="center"/>
              <w:rPr>
                <w:rFonts w:cs="Calibri"/>
                <w:iCs/>
                <w:color w:val="000000"/>
                <w:sz w:val="18"/>
                <w:szCs w:val="18"/>
              </w:rPr>
            </w:pPr>
          </w:p>
        </w:tc>
      </w:tr>
      <w:tr w:rsidR="00FD6F91" w:rsidRPr="00847FAE" w14:paraId="38E7777F" w14:textId="77777777" w:rsidTr="001F1F60">
        <w:trPr>
          <w:cantSplit/>
          <w:trHeight w:val="255"/>
        </w:trPr>
        <w:tc>
          <w:tcPr>
            <w:tcW w:w="3119" w:type="dxa"/>
            <w:gridSpan w:val="4"/>
            <w:tcBorders>
              <w:top w:val="nil"/>
              <w:left w:val="nil"/>
              <w:bottom w:val="nil"/>
              <w:right w:val="nil"/>
            </w:tcBorders>
            <w:noWrap/>
          </w:tcPr>
          <w:p w14:paraId="1049A9C0"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7501D4EF" w14:textId="77777777" w:rsidR="00FD6F91" w:rsidRPr="00847FAE" w:rsidRDefault="00FD6F91" w:rsidP="00FD6F91">
            <w:pPr>
              <w:jc w:val="center"/>
              <w:rPr>
                <w:rFonts w:cs="Calibri"/>
                <w:color w:val="000000"/>
                <w:sz w:val="18"/>
                <w:szCs w:val="18"/>
              </w:rPr>
            </w:pPr>
            <w:r w:rsidRPr="00847FAE">
              <w:rPr>
                <w:rFonts w:cs="Calibri"/>
                <w:color w:val="000000"/>
                <w:sz w:val="18"/>
                <w:szCs w:val="18"/>
              </w:rPr>
              <w:t>155</w:t>
            </w:r>
          </w:p>
        </w:tc>
        <w:tc>
          <w:tcPr>
            <w:tcW w:w="992" w:type="dxa"/>
            <w:tcBorders>
              <w:top w:val="nil"/>
              <w:left w:val="nil"/>
              <w:bottom w:val="nil"/>
              <w:right w:val="nil"/>
            </w:tcBorders>
            <w:noWrap/>
            <w:vAlign w:val="center"/>
          </w:tcPr>
          <w:p w14:paraId="6252B8C7" w14:textId="77777777" w:rsidR="00FD6F91" w:rsidRPr="00847FAE" w:rsidRDefault="00FD6F91" w:rsidP="00FD6F91">
            <w:pPr>
              <w:jc w:val="center"/>
              <w:rPr>
                <w:rFonts w:cs="Calibri"/>
                <w:color w:val="000000"/>
                <w:sz w:val="18"/>
                <w:szCs w:val="18"/>
              </w:rPr>
            </w:pPr>
            <w:r w:rsidRPr="00847FAE">
              <w:rPr>
                <w:rFonts w:cs="Calibri"/>
                <w:color w:val="000000"/>
                <w:sz w:val="18"/>
                <w:szCs w:val="18"/>
              </w:rPr>
              <w:t>183</w:t>
            </w:r>
          </w:p>
        </w:tc>
        <w:tc>
          <w:tcPr>
            <w:tcW w:w="992" w:type="dxa"/>
            <w:tcBorders>
              <w:top w:val="nil"/>
              <w:left w:val="nil"/>
              <w:bottom w:val="nil"/>
              <w:right w:val="nil"/>
            </w:tcBorders>
            <w:noWrap/>
            <w:vAlign w:val="center"/>
          </w:tcPr>
          <w:p w14:paraId="1A879020" w14:textId="77777777" w:rsidR="00FD6F91" w:rsidRPr="00847FAE" w:rsidRDefault="00FD6F91" w:rsidP="00FD6F91">
            <w:pPr>
              <w:jc w:val="center"/>
              <w:rPr>
                <w:rFonts w:cs="Calibri"/>
                <w:color w:val="000000"/>
                <w:sz w:val="18"/>
                <w:szCs w:val="18"/>
              </w:rPr>
            </w:pPr>
            <w:r w:rsidRPr="00847FAE">
              <w:rPr>
                <w:rFonts w:cs="Calibri"/>
                <w:color w:val="000000"/>
                <w:sz w:val="18"/>
                <w:szCs w:val="18"/>
              </w:rPr>
              <w:t>195</w:t>
            </w:r>
          </w:p>
        </w:tc>
        <w:tc>
          <w:tcPr>
            <w:tcW w:w="992" w:type="dxa"/>
            <w:tcBorders>
              <w:top w:val="nil"/>
              <w:left w:val="nil"/>
              <w:bottom w:val="nil"/>
              <w:right w:val="nil"/>
            </w:tcBorders>
            <w:noWrap/>
            <w:vAlign w:val="center"/>
          </w:tcPr>
          <w:p w14:paraId="5DB0C954" w14:textId="77777777" w:rsidR="00FD6F91" w:rsidRPr="00847FAE" w:rsidRDefault="00FD6F91" w:rsidP="00FD6F91">
            <w:pPr>
              <w:jc w:val="center"/>
              <w:rPr>
                <w:rFonts w:cs="Calibri"/>
                <w:color w:val="000000"/>
                <w:sz w:val="18"/>
                <w:szCs w:val="18"/>
              </w:rPr>
            </w:pPr>
            <w:r w:rsidRPr="00847FAE">
              <w:rPr>
                <w:rFonts w:cs="Calibri"/>
                <w:color w:val="000000"/>
                <w:sz w:val="18"/>
                <w:szCs w:val="18"/>
              </w:rPr>
              <w:t>124</w:t>
            </w:r>
          </w:p>
        </w:tc>
        <w:tc>
          <w:tcPr>
            <w:tcW w:w="992" w:type="dxa"/>
            <w:tcBorders>
              <w:top w:val="nil"/>
              <w:left w:val="nil"/>
              <w:bottom w:val="nil"/>
              <w:right w:val="nil"/>
            </w:tcBorders>
            <w:noWrap/>
            <w:vAlign w:val="center"/>
          </w:tcPr>
          <w:p w14:paraId="62289413" w14:textId="77777777" w:rsidR="00FD6F91" w:rsidRPr="00847FAE" w:rsidRDefault="00FD6F91" w:rsidP="00FD6F91">
            <w:pPr>
              <w:jc w:val="center"/>
              <w:rPr>
                <w:rFonts w:cs="Calibri"/>
                <w:color w:val="000000"/>
                <w:sz w:val="18"/>
                <w:szCs w:val="18"/>
              </w:rPr>
            </w:pPr>
            <w:r w:rsidRPr="00847FAE">
              <w:rPr>
                <w:rFonts w:cs="Calibri"/>
                <w:color w:val="000000"/>
                <w:sz w:val="18"/>
                <w:szCs w:val="18"/>
              </w:rPr>
              <w:t>140</w:t>
            </w:r>
          </w:p>
        </w:tc>
        <w:tc>
          <w:tcPr>
            <w:tcW w:w="1135" w:type="dxa"/>
            <w:tcBorders>
              <w:top w:val="nil"/>
              <w:left w:val="nil"/>
              <w:bottom w:val="nil"/>
              <w:right w:val="nil"/>
            </w:tcBorders>
            <w:noWrap/>
            <w:vAlign w:val="center"/>
          </w:tcPr>
          <w:p w14:paraId="49C580B5" w14:textId="77777777" w:rsidR="00FD6F91" w:rsidRPr="00847FAE" w:rsidRDefault="00FD6F91" w:rsidP="00FD6F91">
            <w:pPr>
              <w:jc w:val="center"/>
              <w:rPr>
                <w:rFonts w:cs="Calibri"/>
                <w:color w:val="000000"/>
                <w:sz w:val="18"/>
                <w:szCs w:val="18"/>
              </w:rPr>
            </w:pPr>
            <w:r w:rsidRPr="00847FAE">
              <w:rPr>
                <w:rFonts w:cs="Calibri"/>
                <w:color w:val="000000"/>
                <w:sz w:val="18"/>
                <w:szCs w:val="18"/>
              </w:rPr>
              <w:t>12.9%</w:t>
            </w:r>
          </w:p>
        </w:tc>
      </w:tr>
      <w:tr w:rsidR="00FD6F91" w:rsidRPr="00847FAE" w14:paraId="09E55AAF" w14:textId="77777777" w:rsidTr="001F1F60">
        <w:trPr>
          <w:cantSplit/>
          <w:trHeight w:val="255"/>
        </w:trPr>
        <w:tc>
          <w:tcPr>
            <w:tcW w:w="3119" w:type="dxa"/>
            <w:gridSpan w:val="4"/>
            <w:tcBorders>
              <w:top w:val="nil"/>
              <w:left w:val="nil"/>
              <w:bottom w:val="nil"/>
              <w:right w:val="nil"/>
            </w:tcBorders>
            <w:noWrap/>
          </w:tcPr>
          <w:p w14:paraId="22E01184"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nil"/>
              <w:right w:val="nil"/>
            </w:tcBorders>
            <w:noWrap/>
            <w:vAlign w:val="center"/>
          </w:tcPr>
          <w:p w14:paraId="090CA848" w14:textId="77777777" w:rsidR="00FD6F91" w:rsidRPr="00847FAE" w:rsidRDefault="00FD6F91" w:rsidP="00FD6F91">
            <w:pPr>
              <w:jc w:val="center"/>
              <w:rPr>
                <w:rFonts w:cs="Calibri"/>
                <w:color w:val="000000"/>
                <w:sz w:val="18"/>
                <w:szCs w:val="18"/>
              </w:rPr>
            </w:pPr>
            <w:r w:rsidRPr="00847FAE">
              <w:rPr>
                <w:rFonts w:cs="Calibri"/>
                <w:color w:val="000000"/>
                <w:sz w:val="18"/>
                <w:szCs w:val="18"/>
              </w:rPr>
              <w:t>137</w:t>
            </w:r>
          </w:p>
        </w:tc>
        <w:tc>
          <w:tcPr>
            <w:tcW w:w="992" w:type="dxa"/>
            <w:tcBorders>
              <w:top w:val="nil"/>
              <w:left w:val="nil"/>
              <w:bottom w:val="nil"/>
              <w:right w:val="nil"/>
            </w:tcBorders>
            <w:noWrap/>
            <w:vAlign w:val="center"/>
          </w:tcPr>
          <w:p w14:paraId="45A095E4" w14:textId="77777777" w:rsidR="00FD6F91" w:rsidRPr="00847FAE" w:rsidRDefault="00FD6F91" w:rsidP="00FD6F91">
            <w:pPr>
              <w:jc w:val="center"/>
              <w:rPr>
                <w:rFonts w:cs="Calibri"/>
                <w:color w:val="000000"/>
                <w:sz w:val="18"/>
                <w:szCs w:val="18"/>
              </w:rPr>
            </w:pPr>
            <w:r w:rsidRPr="00847FAE">
              <w:rPr>
                <w:rFonts w:cs="Calibri"/>
                <w:color w:val="000000"/>
                <w:sz w:val="18"/>
                <w:szCs w:val="18"/>
              </w:rPr>
              <w:t>133</w:t>
            </w:r>
          </w:p>
        </w:tc>
        <w:tc>
          <w:tcPr>
            <w:tcW w:w="992" w:type="dxa"/>
            <w:tcBorders>
              <w:top w:val="nil"/>
              <w:left w:val="nil"/>
              <w:bottom w:val="nil"/>
              <w:right w:val="nil"/>
            </w:tcBorders>
            <w:noWrap/>
            <w:vAlign w:val="center"/>
          </w:tcPr>
          <w:p w14:paraId="3CA32D76" w14:textId="77777777" w:rsidR="00FD6F91" w:rsidRPr="00847FAE" w:rsidRDefault="00FD6F91" w:rsidP="00FD6F91">
            <w:pPr>
              <w:jc w:val="center"/>
              <w:rPr>
                <w:rFonts w:cs="Calibri"/>
                <w:color w:val="000000"/>
                <w:sz w:val="18"/>
                <w:szCs w:val="18"/>
              </w:rPr>
            </w:pPr>
            <w:r w:rsidRPr="00847FAE">
              <w:rPr>
                <w:rFonts w:cs="Calibri"/>
                <w:color w:val="000000"/>
                <w:sz w:val="18"/>
                <w:szCs w:val="18"/>
              </w:rPr>
              <w:t>186</w:t>
            </w:r>
          </w:p>
        </w:tc>
        <w:tc>
          <w:tcPr>
            <w:tcW w:w="992" w:type="dxa"/>
            <w:tcBorders>
              <w:top w:val="nil"/>
              <w:left w:val="nil"/>
              <w:bottom w:val="nil"/>
              <w:right w:val="nil"/>
            </w:tcBorders>
            <w:noWrap/>
            <w:vAlign w:val="center"/>
          </w:tcPr>
          <w:p w14:paraId="5B13D557" w14:textId="77777777" w:rsidR="00FD6F91" w:rsidRPr="00847FAE" w:rsidRDefault="00FD6F91" w:rsidP="00FD6F91">
            <w:pPr>
              <w:jc w:val="center"/>
              <w:rPr>
                <w:rFonts w:cs="Calibri"/>
                <w:color w:val="000000"/>
                <w:sz w:val="18"/>
                <w:szCs w:val="18"/>
              </w:rPr>
            </w:pPr>
            <w:r w:rsidRPr="00847FAE">
              <w:rPr>
                <w:rFonts w:cs="Calibri"/>
                <w:color w:val="000000"/>
                <w:sz w:val="18"/>
                <w:szCs w:val="18"/>
              </w:rPr>
              <w:t>161</w:t>
            </w:r>
          </w:p>
        </w:tc>
        <w:tc>
          <w:tcPr>
            <w:tcW w:w="992" w:type="dxa"/>
            <w:tcBorders>
              <w:top w:val="nil"/>
              <w:left w:val="nil"/>
              <w:bottom w:val="nil"/>
              <w:right w:val="nil"/>
            </w:tcBorders>
            <w:noWrap/>
            <w:vAlign w:val="center"/>
          </w:tcPr>
          <w:p w14:paraId="22EC63C4" w14:textId="77777777" w:rsidR="00FD6F91" w:rsidRPr="00847FAE" w:rsidRDefault="00FD6F91" w:rsidP="00FD6F91">
            <w:pPr>
              <w:jc w:val="center"/>
              <w:rPr>
                <w:rFonts w:cs="Calibri"/>
                <w:color w:val="000000"/>
                <w:sz w:val="18"/>
                <w:szCs w:val="18"/>
              </w:rPr>
            </w:pPr>
            <w:r w:rsidRPr="00847FAE">
              <w:rPr>
                <w:rFonts w:cs="Calibri"/>
                <w:color w:val="000000"/>
                <w:sz w:val="18"/>
                <w:szCs w:val="18"/>
              </w:rPr>
              <w:t>133</w:t>
            </w:r>
          </w:p>
        </w:tc>
        <w:tc>
          <w:tcPr>
            <w:tcW w:w="1135" w:type="dxa"/>
            <w:tcBorders>
              <w:top w:val="nil"/>
              <w:left w:val="nil"/>
              <w:bottom w:val="nil"/>
              <w:right w:val="nil"/>
            </w:tcBorders>
            <w:noWrap/>
            <w:vAlign w:val="center"/>
          </w:tcPr>
          <w:p w14:paraId="61BC2507" w14:textId="77777777" w:rsidR="00FD6F91" w:rsidRPr="00847FAE" w:rsidRDefault="00FD6F91" w:rsidP="00FD6F91">
            <w:pPr>
              <w:jc w:val="center"/>
              <w:rPr>
                <w:rFonts w:cs="Calibri"/>
                <w:color w:val="000000"/>
                <w:sz w:val="18"/>
                <w:szCs w:val="18"/>
              </w:rPr>
            </w:pPr>
            <w:r w:rsidRPr="00847FAE">
              <w:rPr>
                <w:rFonts w:cs="Calibri"/>
                <w:color w:val="000000"/>
                <w:sz w:val="18"/>
                <w:szCs w:val="18"/>
              </w:rPr>
              <w:t>-17.4%</w:t>
            </w:r>
          </w:p>
        </w:tc>
      </w:tr>
      <w:tr w:rsidR="00FD6F91" w:rsidRPr="00847FAE" w14:paraId="7497BBF1" w14:textId="77777777" w:rsidTr="001F1F60">
        <w:trPr>
          <w:cantSplit/>
          <w:trHeight w:val="255"/>
        </w:trPr>
        <w:tc>
          <w:tcPr>
            <w:tcW w:w="3119" w:type="dxa"/>
            <w:gridSpan w:val="4"/>
            <w:tcBorders>
              <w:top w:val="nil"/>
              <w:left w:val="nil"/>
              <w:bottom w:val="nil"/>
              <w:right w:val="nil"/>
            </w:tcBorders>
            <w:shd w:val="clear" w:color="auto" w:fill="D9D9D9" w:themeFill="background1" w:themeFillShade="D9"/>
            <w:noWrap/>
          </w:tcPr>
          <w:p w14:paraId="3ED49695"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Other breaches</w:t>
            </w:r>
          </w:p>
        </w:tc>
        <w:tc>
          <w:tcPr>
            <w:tcW w:w="992" w:type="dxa"/>
            <w:tcBorders>
              <w:top w:val="nil"/>
              <w:left w:val="nil"/>
              <w:bottom w:val="nil"/>
              <w:right w:val="nil"/>
            </w:tcBorders>
            <w:shd w:val="clear" w:color="auto" w:fill="D9D9D9" w:themeFill="background1" w:themeFillShade="D9"/>
            <w:noWrap/>
            <w:vAlign w:val="center"/>
          </w:tcPr>
          <w:p w14:paraId="7CA1B601" w14:textId="77777777" w:rsidR="00FD6F91" w:rsidRPr="00847FAE" w:rsidRDefault="00FD6F91" w:rsidP="00FD6F91">
            <w:pPr>
              <w:jc w:val="center"/>
              <w:rPr>
                <w:rFonts w:cs="Calibri"/>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2D0496F" w14:textId="77777777" w:rsidR="00FD6F91" w:rsidRPr="00847FAE" w:rsidRDefault="00FD6F91" w:rsidP="00FD6F91">
            <w:pPr>
              <w:jc w:val="center"/>
              <w:rPr>
                <w:rFonts w:cs="Calibri"/>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B9E17F0" w14:textId="77777777" w:rsidR="00FD6F91" w:rsidRPr="00847FAE" w:rsidRDefault="00FD6F91" w:rsidP="00FD6F91">
            <w:pPr>
              <w:jc w:val="center"/>
              <w:rPr>
                <w:rFonts w:cs="Calibri"/>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2B09529E" w14:textId="77777777" w:rsidR="00FD6F91" w:rsidRPr="00847FAE" w:rsidRDefault="00FD6F91" w:rsidP="00FD6F91">
            <w:pPr>
              <w:jc w:val="center"/>
              <w:rPr>
                <w:rFonts w:cs="Calibri"/>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1FB337C4" w14:textId="77777777" w:rsidR="00FD6F91" w:rsidRPr="00847FAE" w:rsidRDefault="00FD6F91" w:rsidP="00FD6F91">
            <w:pPr>
              <w:jc w:val="center"/>
              <w:rPr>
                <w:rFonts w:cs="Calibri"/>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396F0ECE" w14:textId="77777777" w:rsidR="00FD6F91" w:rsidRPr="00847FAE" w:rsidRDefault="00FD6F91" w:rsidP="00FD6F91">
            <w:pPr>
              <w:jc w:val="center"/>
              <w:rPr>
                <w:rFonts w:cs="Calibri"/>
                <w:color w:val="000000"/>
                <w:sz w:val="18"/>
                <w:szCs w:val="18"/>
              </w:rPr>
            </w:pPr>
          </w:p>
        </w:tc>
      </w:tr>
      <w:tr w:rsidR="00FD6F91" w:rsidRPr="00847FAE" w14:paraId="29513128" w14:textId="77777777" w:rsidTr="001F1F60">
        <w:trPr>
          <w:cantSplit/>
          <w:trHeight w:val="255"/>
        </w:trPr>
        <w:tc>
          <w:tcPr>
            <w:tcW w:w="3119" w:type="dxa"/>
            <w:gridSpan w:val="4"/>
            <w:tcBorders>
              <w:top w:val="nil"/>
              <w:left w:val="nil"/>
              <w:bottom w:val="nil"/>
              <w:right w:val="nil"/>
            </w:tcBorders>
            <w:noWrap/>
          </w:tcPr>
          <w:p w14:paraId="7C11F4D9"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57EB230A" w14:textId="77777777" w:rsidR="00FD6F91" w:rsidRPr="00847FAE" w:rsidRDefault="00FD6F91" w:rsidP="00FD6F91">
            <w:pPr>
              <w:jc w:val="center"/>
              <w:rPr>
                <w:rFonts w:cs="Calibri"/>
                <w:color w:val="000000"/>
                <w:sz w:val="18"/>
                <w:szCs w:val="18"/>
              </w:rPr>
            </w:pPr>
            <w:r w:rsidRPr="00847FAE">
              <w:rPr>
                <w:rFonts w:cs="Calibri"/>
                <w:color w:val="000000"/>
                <w:sz w:val="18"/>
                <w:szCs w:val="18"/>
              </w:rPr>
              <w:t>147</w:t>
            </w:r>
          </w:p>
        </w:tc>
        <w:tc>
          <w:tcPr>
            <w:tcW w:w="992" w:type="dxa"/>
            <w:tcBorders>
              <w:top w:val="nil"/>
              <w:left w:val="nil"/>
              <w:bottom w:val="nil"/>
              <w:right w:val="nil"/>
            </w:tcBorders>
            <w:noWrap/>
            <w:vAlign w:val="center"/>
          </w:tcPr>
          <w:p w14:paraId="72AC1A5C" w14:textId="77777777" w:rsidR="00FD6F91" w:rsidRPr="00847FAE" w:rsidRDefault="00FD6F91" w:rsidP="00FD6F91">
            <w:pPr>
              <w:jc w:val="center"/>
              <w:rPr>
                <w:rFonts w:cs="Calibri"/>
                <w:color w:val="000000"/>
                <w:sz w:val="18"/>
                <w:szCs w:val="18"/>
              </w:rPr>
            </w:pPr>
            <w:r w:rsidRPr="00847FAE">
              <w:rPr>
                <w:rFonts w:cs="Calibri"/>
                <w:color w:val="000000"/>
                <w:sz w:val="18"/>
                <w:szCs w:val="18"/>
              </w:rPr>
              <w:t>163</w:t>
            </w:r>
          </w:p>
        </w:tc>
        <w:tc>
          <w:tcPr>
            <w:tcW w:w="992" w:type="dxa"/>
            <w:tcBorders>
              <w:top w:val="nil"/>
              <w:left w:val="nil"/>
              <w:bottom w:val="nil"/>
              <w:right w:val="nil"/>
            </w:tcBorders>
            <w:noWrap/>
            <w:vAlign w:val="center"/>
          </w:tcPr>
          <w:p w14:paraId="4F7C328F" w14:textId="77777777" w:rsidR="00FD6F91" w:rsidRPr="00847FAE" w:rsidRDefault="00FD6F91" w:rsidP="00FD6F91">
            <w:pPr>
              <w:jc w:val="center"/>
              <w:rPr>
                <w:rFonts w:cs="Calibri"/>
                <w:color w:val="000000"/>
                <w:sz w:val="18"/>
                <w:szCs w:val="18"/>
              </w:rPr>
            </w:pPr>
            <w:r w:rsidRPr="00847FAE">
              <w:rPr>
                <w:rFonts w:cs="Calibri"/>
                <w:color w:val="000000"/>
                <w:sz w:val="18"/>
                <w:szCs w:val="18"/>
              </w:rPr>
              <w:t>149</w:t>
            </w:r>
          </w:p>
        </w:tc>
        <w:tc>
          <w:tcPr>
            <w:tcW w:w="992" w:type="dxa"/>
            <w:tcBorders>
              <w:top w:val="nil"/>
              <w:left w:val="nil"/>
              <w:bottom w:val="nil"/>
              <w:right w:val="nil"/>
            </w:tcBorders>
            <w:noWrap/>
            <w:vAlign w:val="center"/>
          </w:tcPr>
          <w:p w14:paraId="6AAC6A98" w14:textId="77777777" w:rsidR="00FD6F91" w:rsidRPr="00847FAE" w:rsidRDefault="00FD6F91" w:rsidP="00FD6F91">
            <w:pPr>
              <w:jc w:val="center"/>
              <w:rPr>
                <w:rFonts w:cs="Calibri"/>
                <w:color w:val="000000"/>
                <w:sz w:val="18"/>
                <w:szCs w:val="18"/>
              </w:rPr>
            </w:pPr>
            <w:r w:rsidRPr="00847FAE">
              <w:rPr>
                <w:rFonts w:cs="Calibri"/>
                <w:color w:val="000000"/>
                <w:sz w:val="18"/>
                <w:szCs w:val="18"/>
              </w:rPr>
              <w:t>164</w:t>
            </w:r>
          </w:p>
        </w:tc>
        <w:tc>
          <w:tcPr>
            <w:tcW w:w="992" w:type="dxa"/>
            <w:tcBorders>
              <w:top w:val="nil"/>
              <w:left w:val="nil"/>
              <w:bottom w:val="nil"/>
              <w:right w:val="nil"/>
            </w:tcBorders>
            <w:noWrap/>
            <w:vAlign w:val="center"/>
          </w:tcPr>
          <w:p w14:paraId="73823078" w14:textId="77777777" w:rsidR="00FD6F91" w:rsidRPr="00847FAE" w:rsidRDefault="00FD6F91" w:rsidP="00FD6F91">
            <w:pPr>
              <w:jc w:val="center"/>
              <w:rPr>
                <w:rFonts w:cs="Calibri"/>
                <w:color w:val="000000"/>
                <w:sz w:val="18"/>
                <w:szCs w:val="18"/>
              </w:rPr>
            </w:pPr>
            <w:r w:rsidRPr="00847FAE">
              <w:rPr>
                <w:rFonts w:cs="Calibri"/>
                <w:color w:val="000000"/>
                <w:sz w:val="18"/>
                <w:szCs w:val="18"/>
              </w:rPr>
              <w:t>191</w:t>
            </w:r>
          </w:p>
        </w:tc>
        <w:tc>
          <w:tcPr>
            <w:tcW w:w="1135" w:type="dxa"/>
            <w:tcBorders>
              <w:top w:val="nil"/>
              <w:left w:val="nil"/>
              <w:bottom w:val="nil"/>
              <w:right w:val="nil"/>
            </w:tcBorders>
            <w:noWrap/>
            <w:vAlign w:val="center"/>
          </w:tcPr>
          <w:p w14:paraId="648A50F8" w14:textId="77777777" w:rsidR="00FD6F91" w:rsidRPr="00847FAE" w:rsidRDefault="00FD6F91" w:rsidP="00FD6F91">
            <w:pPr>
              <w:jc w:val="center"/>
              <w:rPr>
                <w:rFonts w:cs="Calibri"/>
                <w:color w:val="000000"/>
                <w:sz w:val="18"/>
                <w:szCs w:val="18"/>
              </w:rPr>
            </w:pPr>
            <w:r w:rsidRPr="00847FAE">
              <w:rPr>
                <w:rFonts w:cs="Calibri"/>
                <w:color w:val="000000"/>
                <w:sz w:val="18"/>
                <w:szCs w:val="18"/>
              </w:rPr>
              <w:t>16.5%</w:t>
            </w:r>
          </w:p>
        </w:tc>
      </w:tr>
      <w:tr w:rsidR="00FD6F91" w:rsidRPr="00847FAE" w14:paraId="4F770AE3" w14:textId="77777777" w:rsidTr="001F1F60">
        <w:trPr>
          <w:cantSplit/>
          <w:trHeight w:val="255"/>
        </w:trPr>
        <w:tc>
          <w:tcPr>
            <w:tcW w:w="3119" w:type="dxa"/>
            <w:gridSpan w:val="4"/>
            <w:tcBorders>
              <w:top w:val="nil"/>
              <w:left w:val="nil"/>
              <w:bottom w:val="single" w:sz="4" w:space="0" w:color="auto"/>
              <w:right w:val="nil"/>
            </w:tcBorders>
            <w:noWrap/>
          </w:tcPr>
          <w:p w14:paraId="2AD79710"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single" w:sz="4" w:space="0" w:color="auto"/>
              <w:right w:val="nil"/>
            </w:tcBorders>
            <w:noWrap/>
            <w:vAlign w:val="center"/>
          </w:tcPr>
          <w:p w14:paraId="2BCAF7E3" w14:textId="77777777" w:rsidR="00FD6F91" w:rsidRPr="00847FAE" w:rsidRDefault="00FD6F91" w:rsidP="00FD6F91">
            <w:pPr>
              <w:jc w:val="center"/>
              <w:rPr>
                <w:rFonts w:cs="Calibri"/>
                <w:color w:val="000000"/>
                <w:sz w:val="18"/>
                <w:szCs w:val="18"/>
              </w:rPr>
            </w:pPr>
            <w:r w:rsidRPr="00847FAE">
              <w:rPr>
                <w:rFonts w:cs="Calibri"/>
                <w:color w:val="000000"/>
                <w:sz w:val="18"/>
                <w:szCs w:val="18"/>
              </w:rPr>
              <w:t>129</w:t>
            </w:r>
          </w:p>
        </w:tc>
        <w:tc>
          <w:tcPr>
            <w:tcW w:w="992" w:type="dxa"/>
            <w:tcBorders>
              <w:top w:val="nil"/>
              <w:left w:val="nil"/>
              <w:bottom w:val="single" w:sz="4" w:space="0" w:color="auto"/>
              <w:right w:val="nil"/>
            </w:tcBorders>
            <w:noWrap/>
            <w:vAlign w:val="center"/>
          </w:tcPr>
          <w:p w14:paraId="24948659" w14:textId="77777777" w:rsidR="00FD6F91" w:rsidRPr="00847FAE" w:rsidRDefault="00FD6F91" w:rsidP="00FD6F91">
            <w:pPr>
              <w:jc w:val="center"/>
              <w:rPr>
                <w:rFonts w:cs="Calibri"/>
                <w:color w:val="000000"/>
                <w:sz w:val="18"/>
                <w:szCs w:val="18"/>
              </w:rPr>
            </w:pPr>
            <w:r w:rsidRPr="00847FAE">
              <w:rPr>
                <w:rFonts w:cs="Calibri"/>
                <w:color w:val="000000"/>
                <w:sz w:val="18"/>
                <w:szCs w:val="18"/>
              </w:rPr>
              <w:t>126</w:t>
            </w:r>
          </w:p>
        </w:tc>
        <w:tc>
          <w:tcPr>
            <w:tcW w:w="992" w:type="dxa"/>
            <w:tcBorders>
              <w:top w:val="nil"/>
              <w:left w:val="nil"/>
              <w:bottom w:val="single" w:sz="4" w:space="0" w:color="auto"/>
              <w:right w:val="nil"/>
            </w:tcBorders>
            <w:noWrap/>
            <w:vAlign w:val="center"/>
          </w:tcPr>
          <w:p w14:paraId="70F2D7B9" w14:textId="77777777" w:rsidR="00FD6F91" w:rsidRPr="00847FAE" w:rsidRDefault="00FD6F91" w:rsidP="00FD6F91">
            <w:pPr>
              <w:jc w:val="center"/>
              <w:rPr>
                <w:rFonts w:cs="Calibri"/>
                <w:color w:val="000000"/>
                <w:sz w:val="18"/>
                <w:szCs w:val="18"/>
              </w:rPr>
            </w:pPr>
            <w:r w:rsidRPr="00847FAE">
              <w:rPr>
                <w:rFonts w:cs="Calibri"/>
                <w:color w:val="000000"/>
                <w:sz w:val="18"/>
                <w:szCs w:val="18"/>
              </w:rPr>
              <w:t>133</w:t>
            </w:r>
          </w:p>
        </w:tc>
        <w:tc>
          <w:tcPr>
            <w:tcW w:w="992" w:type="dxa"/>
            <w:tcBorders>
              <w:top w:val="nil"/>
              <w:left w:val="nil"/>
              <w:bottom w:val="single" w:sz="4" w:space="0" w:color="auto"/>
              <w:right w:val="nil"/>
            </w:tcBorders>
            <w:noWrap/>
            <w:vAlign w:val="center"/>
          </w:tcPr>
          <w:p w14:paraId="2F4ADAC8" w14:textId="77777777" w:rsidR="00FD6F91" w:rsidRPr="00847FAE" w:rsidRDefault="00FD6F91" w:rsidP="00FD6F91">
            <w:pPr>
              <w:jc w:val="center"/>
              <w:rPr>
                <w:rFonts w:cs="Calibri"/>
                <w:color w:val="000000"/>
                <w:sz w:val="18"/>
                <w:szCs w:val="18"/>
              </w:rPr>
            </w:pPr>
            <w:r w:rsidRPr="00847FAE">
              <w:rPr>
                <w:rFonts w:cs="Calibri"/>
                <w:color w:val="000000"/>
                <w:sz w:val="18"/>
                <w:szCs w:val="18"/>
              </w:rPr>
              <w:t>128</w:t>
            </w:r>
          </w:p>
        </w:tc>
        <w:tc>
          <w:tcPr>
            <w:tcW w:w="992" w:type="dxa"/>
            <w:tcBorders>
              <w:top w:val="nil"/>
              <w:left w:val="nil"/>
              <w:bottom w:val="single" w:sz="4" w:space="0" w:color="auto"/>
              <w:right w:val="nil"/>
            </w:tcBorders>
            <w:noWrap/>
            <w:vAlign w:val="center"/>
          </w:tcPr>
          <w:p w14:paraId="65B7E6D2" w14:textId="77777777" w:rsidR="00FD6F91" w:rsidRPr="00847FAE" w:rsidRDefault="00FD6F91" w:rsidP="00FD6F91">
            <w:pPr>
              <w:jc w:val="center"/>
              <w:rPr>
                <w:rFonts w:cs="Calibri"/>
                <w:color w:val="000000"/>
                <w:sz w:val="18"/>
                <w:szCs w:val="18"/>
              </w:rPr>
            </w:pPr>
            <w:r w:rsidRPr="00847FAE">
              <w:rPr>
                <w:rFonts w:cs="Calibri"/>
                <w:color w:val="000000"/>
                <w:sz w:val="18"/>
                <w:szCs w:val="18"/>
              </w:rPr>
              <w:t>141</w:t>
            </w:r>
          </w:p>
        </w:tc>
        <w:tc>
          <w:tcPr>
            <w:tcW w:w="1135" w:type="dxa"/>
            <w:tcBorders>
              <w:top w:val="nil"/>
              <w:left w:val="nil"/>
              <w:bottom w:val="single" w:sz="4" w:space="0" w:color="auto"/>
              <w:right w:val="nil"/>
            </w:tcBorders>
            <w:noWrap/>
            <w:vAlign w:val="center"/>
          </w:tcPr>
          <w:p w14:paraId="5B1F0105" w14:textId="77777777" w:rsidR="00FD6F91" w:rsidRPr="00847FAE" w:rsidRDefault="00FD6F91" w:rsidP="00FD6F91">
            <w:pPr>
              <w:jc w:val="center"/>
              <w:rPr>
                <w:rFonts w:cs="Calibri"/>
                <w:color w:val="000000"/>
                <w:sz w:val="18"/>
                <w:szCs w:val="18"/>
              </w:rPr>
            </w:pPr>
            <w:r w:rsidRPr="00847FAE">
              <w:rPr>
                <w:rFonts w:cs="Calibri"/>
                <w:color w:val="000000"/>
                <w:sz w:val="18"/>
                <w:szCs w:val="18"/>
              </w:rPr>
              <w:t>10.2%</w:t>
            </w:r>
          </w:p>
        </w:tc>
      </w:tr>
      <w:tr w:rsidR="00FD6F91" w:rsidRPr="00847FAE" w14:paraId="15A851C6" w14:textId="77777777" w:rsidTr="001F1F60">
        <w:trPr>
          <w:cantSplit/>
          <w:trHeight w:val="255"/>
        </w:trPr>
        <w:tc>
          <w:tcPr>
            <w:tcW w:w="3119" w:type="dxa"/>
            <w:gridSpan w:val="4"/>
            <w:tcBorders>
              <w:top w:val="single" w:sz="4" w:space="0" w:color="auto"/>
              <w:left w:val="nil"/>
              <w:bottom w:val="single" w:sz="4" w:space="0" w:color="auto"/>
              <w:right w:val="nil"/>
            </w:tcBorders>
            <w:noWrap/>
            <w:vAlign w:val="center"/>
          </w:tcPr>
          <w:p w14:paraId="24E979C9" w14:textId="77777777" w:rsidR="00FD6F91" w:rsidRPr="00847FAE" w:rsidRDefault="00FD6F91" w:rsidP="00FD6F91">
            <w:pPr>
              <w:keepNext/>
              <w:widowControl w:val="0"/>
              <w:rPr>
                <w:rFonts w:cs="Calibri"/>
                <w:color w:val="000000"/>
                <w:sz w:val="18"/>
                <w:szCs w:val="18"/>
              </w:rPr>
            </w:pPr>
            <w:r w:rsidRPr="00847FAE">
              <w:rPr>
                <w:rFonts w:cs="Calibri"/>
                <w:iCs/>
                <w:color w:val="000000"/>
                <w:sz w:val="18"/>
                <w:szCs w:val="18"/>
              </w:rPr>
              <w:t>YOUTH JUSTICE COURT</w:t>
            </w:r>
          </w:p>
        </w:tc>
        <w:tc>
          <w:tcPr>
            <w:tcW w:w="992" w:type="dxa"/>
            <w:tcBorders>
              <w:top w:val="single" w:sz="4" w:space="0" w:color="auto"/>
              <w:left w:val="nil"/>
              <w:bottom w:val="single" w:sz="4" w:space="0" w:color="auto"/>
              <w:right w:val="nil"/>
            </w:tcBorders>
            <w:noWrap/>
            <w:vAlign w:val="center"/>
          </w:tcPr>
          <w:p w14:paraId="2BF1ED43" w14:textId="77777777" w:rsidR="00FD6F91" w:rsidRPr="00847FAE" w:rsidRDefault="00FD6F91" w:rsidP="00FD6F91">
            <w:pPr>
              <w:keepNext/>
              <w:widowControl w:val="0"/>
              <w:rPr>
                <w:rFonts w:cs="Calibri"/>
                <w:color w:val="000000"/>
                <w:sz w:val="18"/>
                <w:szCs w:val="18"/>
              </w:rPr>
            </w:pPr>
            <w:r w:rsidRPr="00847FAE">
              <w:rPr>
                <w:rFonts w:cs="Calibri"/>
                <w:color w:val="000000"/>
                <w:sz w:val="18"/>
                <w:szCs w:val="18"/>
              </w:rPr>
              <w:t> </w:t>
            </w:r>
          </w:p>
        </w:tc>
        <w:tc>
          <w:tcPr>
            <w:tcW w:w="992" w:type="dxa"/>
            <w:tcBorders>
              <w:top w:val="single" w:sz="4" w:space="0" w:color="auto"/>
              <w:left w:val="nil"/>
              <w:bottom w:val="single" w:sz="4" w:space="0" w:color="auto"/>
              <w:right w:val="nil"/>
            </w:tcBorders>
            <w:noWrap/>
            <w:vAlign w:val="center"/>
          </w:tcPr>
          <w:p w14:paraId="7B27E3A0"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single" w:sz="4" w:space="0" w:color="auto"/>
              <w:right w:val="nil"/>
            </w:tcBorders>
            <w:noWrap/>
            <w:vAlign w:val="center"/>
          </w:tcPr>
          <w:p w14:paraId="44546B7C"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single" w:sz="4" w:space="0" w:color="auto"/>
              <w:right w:val="nil"/>
            </w:tcBorders>
            <w:noWrap/>
            <w:vAlign w:val="center"/>
          </w:tcPr>
          <w:p w14:paraId="75AC3F59"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single" w:sz="4" w:space="0" w:color="auto"/>
              <w:right w:val="nil"/>
            </w:tcBorders>
            <w:noWrap/>
            <w:vAlign w:val="center"/>
          </w:tcPr>
          <w:p w14:paraId="6C072839" w14:textId="77777777" w:rsidR="00FD6F91" w:rsidRPr="00847FAE" w:rsidRDefault="00FD6F91" w:rsidP="00FD6F91">
            <w:pPr>
              <w:keepNext/>
              <w:jc w:val="right"/>
              <w:rPr>
                <w:rFonts w:cs="Calibri"/>
                <w:iCs/>
                <w:color w:val="000000"/>
                <w:sz w:val="18"/>
                <w:szCs w:val="18"/>
              </w:rPr>
            </w:pPr>
          </w:p>
        </w:tc>
        <w:tc>
          <w:tcPr>
            <w:tcW w:w="1135" w:type="dxa"/>
            <w:tcBorders>
              <w:top w:val="single" w:sz="4" w:space="0" w:color="auto"/>
              <w:left w:val="nil"/>
              <w:bottom w:val="single" w:sz="4" w:space="0" w:color="auto"/>
              <w:right w:val="nil"/>
            </w:tcBorders>
            <w:noWrap/>
            <w:vAlign w:val="center"/>
          </w:tcPr>
          <w:p w14:paraId="699F0C50" w14:textId="77777777" w:rsidR="00FD6F91" w:rsidRPr="00847FAE" w:rsidRDefault="00FD6F91" w:rsidP="00FD6F91">
            <w:pPr>
              <w:keepNext/>
              <w:jc w:val="center"/>
              <w:rPr>
                <w:rFonts w:cs="Calibri"/>
                <w:iCs/>
                <w:color w:val="000000"/>
                <w:sz w:val="18"/>
                <w:szCs w:val="18"/>
              </w:rPr>
            </w:pPr>
          </w:p>
        </w:tc>
      </w:tr>
      <w:tr w:rsidR="00FD6F91" w:rsidRPr="00847FAE" w14:paraId="279D9ED6" w14:textId="77777777" w:rsidTr="001F1F60">
        <w:trPr>
          <w:cantSplit/>
          <w:trHeight w:val="255"/>
        </w:trPr>
        <w:tc>
          <w:tcPr>
            <w:tcW w:w="3119" w:type="dxa"/>
            <w:gridSpan w:val="4"/>
            <w:tcBorders>
              <w:top w:val="single" w:sz="4" w:space="0" w:color="auto"/>
              <w:left w:val="nil"/>
              <w:bottom w:val="nil"/>
              <w:right w:val="nil"/>
            </w:tcBorders>
            <w:shd w:val="clear" w:color="auto" w:fill="D9D9D9" w:themeFill="background1" w:themeFillShade="D9"/>
            <w:noWrap/>
          </w:tcPr>
          <w:p w14:paraId="7555E44E"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Breach of bail </w:t>
            </w:r>
          </w:p>
        </w:tc>
        <w:tc>
          <w:tcPr>
            <w:tcW w:w="992" w:type="dxa"/>
            <w:tcBorders>
              <w:top w:val="single" w:sz="4" w:space="0" w:color="auto"/>
              <w:left w:val="nil"/>
              <w:bottom w:val="nil"/>
              <w:right w:val="nil"/>
            </w:tcBorders>
            <w:shd w:val="clear" w:color="auto" w:fill="D9D9D9" w:themeFill="background1" w:themeFillShade="D9"/>
            <w:noWrap/>
            <w:vAlign w:val="center"/>
          </w:tcPr>
          <w:p w14:paraId="7B247A32"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4170C5BA"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1E5E4A43"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2253B014"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left w:val="nil"/>
              <w:bottom w:val="nil"/>
              <w:right w:val="nil"/>
            </w:tcBorders>
            <w:shd w:val="clear" w:color="auto" w:fill="D9D9D9" w:themeFill="background1" w:themeFillShade="D9"/>
            <w:noWrap/>
            <w:vAlign w:val="center"/>
          </w:tcPr>
          <w:p w14:paraId="7F96AA88" w14:textId="77777777" w:rsidR="00FD6F91" w:rsidRPr="00847FAE" w:rsidRDefault="00FD6F91" w:rsidP="00FD6F91">
            <w:pPr>
              <w:keepNext/>
              <w:jc w:val="right"/>
              <w:rPr>
                <w:rFonts w:cs="Calibri"/>
                <w:iCs/>
                <w:color w:val="000000"/>
                <w:sz w:val="18"/>
                <w:szCs w:val="18"/>
              </w:rPr>
            </w:pPr>
          </w:p>
        </w:tc>
        <w:tc>
          <w:tcPr>
            <w:tcW w:w="1135" w:type="dxa"/>
            <w:tcBorders>
              <w:top w:val="single" w:sz="4" w:space="0" w:color="auto"/>
              <w:left w:val="nil"/>
              <w:bottom w:val="nil"/>
              <w:right w:val="nil"/>
            </w:tcBorders>
            <w:shd w:val="clear" w:color="auto" w:fill="D9D9D9" w:themeFill="background1" w:themeFillShade="D9"/>
            <w:noWrap/>
            <w:vAlign w:val="center"/>
          </w:tcPr>
          <w:p w14:paraId="5219173F" w14:textId="77777777" w:rsidR="00FD6F91" w:rsidRPr="00847FAE" w:rsidRDefault="00FD6F91" w:rsidP="00FD6F91">
            <w:pPr>
              <w:keepNext/>
              <w:jc w:val="center"/>
              <w:rPr>
                <w:rFonts w:cs="Calibri"/>
                <w:iCs/>
                <w:color w:val="000000"/>
                <w:sz w:val="18"/>
                <w:szCs w:val="18"/>
              </w:rPr>
            </w:pPr>
          </w:p>
        </w:tc>
      </w:tr>
      <w:tr w:rsidR="00FD6F91" w:rsidRPr="00847FAE" w14:paraId="3E4C5900" w14:textId="77777777" w:rsidTr="001F1F60">
        <w:trPr>
          <w:cantSplit/>
          <w:trHeight w:val="255"/>
        </w:trPr>
        <w:tc>
          <w:tcPr>
            <w:tcW w:w="3119" w:type="dxa"/>
            <w:gridSpan w:val="4"/>
            <w:tcBorders>
              <w:top w:val="nil"/>
              <w:left w:val="nil"/>
              <w:bottom w:val="nil"/>
              <w:right w:val="nil"/>
            </w:tcBorders>
            <w:noWrap/>
          </w:tcPr>
          <w:p w14:paraId="64E32E23"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7A6DEFF8" w14:textId="77777777" w:rsidR="00FD6F91" w:rsidRPr="00847FAE" w:rsidRDefault="00FD6F91" w:rsidP="00FD6F91">
            <w:pPr>
              <w:jc w:val="center"/>
              <w:rPr>
                <w:rFonts w:cs="Calibri"/>
                <w:color w:val="000000"/>
                <w:sz w:val="18"/>
                <w:szCs w:val="18"/>
              </w:rPr>
            </w:pPr>
            <w:r w:rsidRPr="00847FAE">
              <w:rPr>
                <w:rFonts w:cs="Calibri"/>
                <w:color w:val="000000"/>
                <w:sz w:val="18"/>
                <w:szCs w:val="18"/>
              </w:rPr>
              <w:t>477</w:t>
            </w:r>
          </w:p>
        </w:tc>
        <w:tc>
          <w:tcPr>
            <w:tcW w:w="992" w:type="dxa"/>
            <w:tcBorders>
              <w:top w:val="nil"/>
              <w:left w:val="nil"/>
              <w:bottom w:val="nil"/>
              <w:right w:val="nil"/>
            </w:tcBorders>
            <w:noWrap/>
            <w:vAlign w:val="center"/>
          </w:tcPr>
          <w:p w14:paraId="669BF594" w14:textId="77777777" w:rsidR="00FD6F91" w:rsidRPr="00847FAE" w:rsidRDefault="00FD6F91" w:rsidP="00FD6F91">
            <w:pPr>
              <w:jc w:val="center"/>
              <w:rPr>
                <w:rFonts w:cs="Calibri"/>
                <w:color w:val="000000"/>
                <w:sz w:val="18"/>
                <w:szCs w:val="18"/>
              </w:rPr>
            </w:pPr>
            <w:r w:rsidRPr="00847FAE">
              <w:rPr>
                <w:rFonts w:cs="Calibri"/>
                <w:color w:val="000000"/>
                <w:sz w:val="18"/>
                <w:szCs w:val="18"/>
              </w:rPr>
              <w:t>169</w:t>
            </w:r>
          </w:p>
        </w:tc>
        <w:tc>
          <w:tcPr>
            <w:tcW w:w="992" w:type="dxa"/>
            <w:tcBorders>
              <w:top w:val="nil"/>
              <w:left w:val="nil"/>
              <w:bottom w:val="nil"/>
              <w:right w:val="nil"/>
            </w:tcBorders>
            <w:noWrap/>
            <w:vAlign w:val="center"/>
          </w:tcPr>
          <w:p w14:paraId="08290B9B" w14:textId="77777777" w:rsidR="00FD6F91" w:rsidRPr="00847FAE" w:rsidRDefault="00FD6F91" w:rsidP="00FD6F91">
            <w:pPr>
              <w:jc w:val="center"/>
              <w:rPr>
                <w:rFonts w:cs="Calibri"/>
                <w:color w:val="000000"/>
                <w:sz w:val="18"/>
                <w:szCs w:val="18"/>
              </w:rPr>
            </w:pPr>
            <w:r w:rsidRPr="00847FAE">
              <w:rPr>
                <w:rFonts w:cs="Calibri"/>
                <w:color w:val="000000"/>
                <w:sz w:val="18"/>
                <w:szCs w:val="18"/>
              </w:rPr>
              <w:t>120</w:t>
            </w:r>
          </w:p>
        </w:tc>
        <w:tc>
          <w:tcPr>
            <w:tcW w:w="992" w:type="dxa"/>
            <w:tcBorders>
              <w:top w:val="nil"/>
              <w:left w:val="nil"/>
              <w:bottom w:val="nil"/>
              <w:right w:val="nil"/>
            </w:tcBorders>
            <w:noWrap/>
            <w:vAlign w:val="center"/>
          </w:tcPr>
          <w:p w14:paraId="29AEEECF" w14:textId="77777777" w:rsidR="00FD6F91" w:rsidRPr="00847FAE" w:rsidRDefault="00FD6F91" w:rsidP="00FD6F91">
            <w:pPr>
              <w:jc w:val="center"/>
              <w:rPr>
                <w:rFonts w:cs="Calibri"/>
                <w:color w:val="000000"/>
                <w:sz w:val="18"/>
                <w:szCs w:val="18"/>
              </w:rPr>
            </w:pPr>
            <w:r w:rsidRPr="00847FAE">
              <w:rPr>
                <w:rFonts w:cs="Calibri"/>
                <w:color w:val="000000"/>
                <w:sz w:val="18"/>
                <w:szCs w:val="18"/>
              </w:rPr>
              <w:t>149</w:t>
            </w:r>
          </w:p>
        </w:tc>
        <w:tc>
          <w:tcPr>
            <w:tcW w:w="992" w:type="dxa"/>
            <w:tcBorders>
              <w:top w:val="nil"/>
              <w:left w:val="nil"/>
              <w:bottom w:val="nil"/>
              <w:right w:val="nil"/>
            </w:tcBorders>
            <w:noWrap/>
            <w:vAlign w:val="center"/>
          </w:tcPr>
          <w:p w14:paraId="370C4933" w14:textId="77777777" w:rsidR="00FD6F91" w:rsidRPr="00847FAE" w:rsidRDefault="00FD6F91" w:rsidP="00FD6F91">
            <w:pPr>
              <w:jc w:val="center"/>
              <w:rPr>
                <w:rFonts w:cs="Calibri"/>
                <w:color w:val="000000"/>
                <w:sz w:val="18"/>
                <w:szCs w:val="18"/>
              </w:rPr>
            </w:pPr>
            <w:r w:rsidRPr="00847FAE">
              <w:rPr>
                <w:rFonts w:cs="Calibri"/>
                <w:color w:val="000000"/>
                <w:sz w:val="18"/>
                <w:szCs w:val="18"/>
              </w:rPr>
              <w:t>135</w:t>
            </w:r>
          </w:p>
        </w:tc>
        <w:tc>
          <w:tcPr>
            <w:tcW w:w="1135" w:type="dxa"/>
            <w:tcBorders>
              <w:top w:val="nil"/>
              <w:left w:val="nil"/>
              <w:bottom w:val="nil"/>
              <w:right w:val="nil"/>
            </w:tcBorders>
            <w:noWrap/>
            <w:vAlign w:val="center"/>
          </w:tcPr>
          <w:p w14:paraId="6D6106BC" w14:textId="77777777" w:rsidR="00FD6F91" w:rsidRPr="00847FAE" w:rsidRDefault="00FD6F91" w:rsidP="00FD6F91">
            <w:pPr>
              <w:jc w:val="center"/>
              <w:rPr>
                <w:rFonts w:cs="Calibri"/>
                <w:color w:val="000000"/>
                <w:sz w:val="18"/>
                <w:szCs w:val="18"/>
              </w:rPr>
            </w:pPr>
            <w:r w:rsidRPr="00847FAE">
              <w:rPr>
                <w:rFonts w:cs="Calibri"/>
                <w:color w:val="000000"/>
                <w:sz w:val="18"/>
                <w:szCs w:val="18"/>
              </w:rPr>
              <w:t>-9.4%</w:t>
            </w:r>
          </w:p>
        </w:tc>
      </w:tr>
      <w:tr w:rsidR="00FD6F91" w:rsidRPr="00847FAE" w14:paraId="62BF27B5" w14:textId="77777777" w:rsidTr="001F1F60">
        <w:trPr>
          <w:cantSplit/>
          <w:trHeight w:val="255"/>
        </w:trPr>
        <w:tc>
          <w:tcPr>
            <w:tcW w:w="3119" w:type="dxa"/>
            <w:gridSpan w:val="4"/>
            <w:tcBorders>
              <w:top w:val="nil"/>
              <w:left w:val="nil"/>
              <w:bottom w:val="nil"/>
              <w:right w:val="nil"/>
            </w:tcBorders>
            <w:noWrap/>
          </w:tcPr>
          <w:p w14:paraId="11FF34D6"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nil"/>
              <w:right w:val="nil"/>
            </w:tcBorders>
            <w:noWrap/>
            <w:vAlign w:val="center"/>
          </w:tcPr>
          <w:p w14:paraId="069AB56F" w14:textId="77777777" w:rsidR="00FD6F91" w:rsidRPr="00847FAE" w:rsidRDefault="00FD6F91" w:rsidP="00FD6F91">
            <w:pPr>
              <w:jc w:val="center"/>
              <w:rPr>
                <w:rFonts w:cs="Calibri"/>
                <w:color w:val="000000"/>
                <w:sz w:val="18"/>
                <w:szCs w:val="18"/>
              </w:rPr>
            </w:pPr>
            <w:r w:rsidRPr="00847FAE">
              <w:rPr>
                <w:rFonts w:cs="Calibri"/>
                <w:color w:val="000000"/>
                <w:sz w:val="18"/>
                <w:szCs w:val="18"/>
              </w:rPr>
              <w:t>512</w:t>
            </w:r>
          </w:p>
        </w:tc>
        <w:tc>
          <w:tcPr>
            <w:tcW w:w="992" w:type="dxa"/>
            <w:tcBorders>
              <w:top w:val="nil"/>
              <w:left w:val="nil"/>
              <w:bottom w:val="nil"/>
              <w:right w:val="nil"/>
            </w:tcBorders>
            <w:noWrap/>
            <w:vAlign w:val="center"/>
          </w:tcPr>
          <w:p w14:paraId="782F25EF" w14:textId="77777777" w:rsidR="00FD6F91" w:rsidRPr="00847FAE" w:rsidRDefault="00FD6F91" w:rsidP="00FD6F91">
            <w:pPr>
              <w:jc w:val="center"/>
              <w:rPr>
                <w:rFonts w:cs="Calibri"/>
                <w:color w:val="000000"/>
                <w:sz w:val="18"/>
                <w:szCs w:val="18"/>
              </w:rPr>
            </w:pPr>
            <w:r w:rsidRPr="00847FAE">
              <w:rPr>
                <w:rFonts w:cs="Calibri"/>
                <w:color w:val="000000"/>
                <w:sz w:val="18"/>
                <w:szCs w:val="18"/>
              </w:rPr>
              <w:t>249</w:t>
            </w:r>
          </w:p>
        </w:tc>
        <w:tc>
          <w:tcPr>
            <w:tcW w:w="992" w:type="dxa"/>
            <w:tcBorders>
              <w:top w:val="nil"/>
              <w:left w:val="nil"/>
              <w:bottom w:val="nil"/>
              <w:right w:val="nil"/>
            </w:tcBorders>
            <w:noWrap/>
            <w:vAlign w:val="center"/>
          </w:tcPr>
          <w:p w14:paraId="43CF2E05" w14:textId="77777777" w:rsidR="00FD6F91" w:rsidRPr="00847FAE" w:rsidRDefault="00FD6F91" w:rsidP="00FD6F91">
            <w:pPr>
              <w:jc w:val="center"/>
              <w:rPr>
                <w:rFonts w:cs="Calibri"/>
                <w:color w:val="000000"/>
                <w:sz w:val="18"/>
                <w:szCs w:val="18"/>
              </w:rPr>
            </w:pPr>
            <w:r w:rsidRPr="00847FAE">
              <w:rPr>
                <w:rFonts w:cs="Calibri"/>
                <w:color w:val="000000"/>
                <w:sz w:val="18"/>
                <w:szCs w:val="18"/>
              </w:rPr>
              <w:t>122</w:t>
            </w:r>
          </w:p>
        </w:tc>
        <w:tc>
          <w:tcPr>
            <w:tcW w:w="992" w:type="dxa"/>
            <w:tcBorders>
              <w:top w:val="nil"/>
              <w:left w:val="nil"/>
              <w:bottom w:val="nil"/>
              <w:right w:val="nil"/>
            </w:tcBorders>
            <w:noWrap/>
            <w:vAlign w:val="center"/>
          </w:tcPr>
          <w:p w14:paraId="7E255ABE" w14:textId="77777777" w:rsidR="00FD6F91" w:rsidRPr="00847FAE" w:rsidRDefault="00FD6F91" w:rsidP="00FD6F91">
            <w:pPr>
              <w:jc w:val="center"/>
              <w:rPr>
                <w:rFonts w:cs="Calibri"/>
                <w:color w:val="000000"/>
                <w:sz w:val="18"/>
                <w:szCs w:val="18"/>
              </w:rPr>
            </w:pPr>
            <w:r w:rsidRPr="00847FAE">
              <w:rPr>
                <w:rFonts w:cs="Calibri"/>
                <w:color w:val="000000"/>
                <w:sz w:val="18"/>
                <w:szCs w:val="18"/>
              </w:rPr>
              <w:t>135</w:t>
            </w:r>
          </w:p>
        </w:tc>
        <w:tc>
          <w:tcPr>
            <w:tcW w:w="992" w:type="dxa"/>
            <w:tcBorders>
              <w:top w:val="nil"/>
              <w:left w:val="nil"/>
              <w:bottom w:val="nil"/>
              <w:right w:val="nil"/>
            </w:tcBorders>
            <w:noWrap/>
            <w:vAlign w:val="center"/>
          </w:tcPr>
          <w:p w14:paraId="7A171E8F" w14:textId="77777777" w:rsidR="00FD6F91" w:rsidRPr="00847FAE" w:rsidRDefault="00FD6F91" w:rsidP="00FD6F91">
            <w:pPr>
              <w:jc w:val="center"/>
              <w:rPr>
                <w:rFonts w:cs="Calibri"/>
                <w:color w:val="000000"/>
                <w:sz w:val="18"/>
                <w:szCs w:val="18"/>
              </w:rPr>
            </w:pPr>
            <w:r w:rsidRPr="00847FAE">
              <w:rPr>
                <w:rFonts w:cs="Calibri"/>
                <w:color w:val="000000"/>
                <w:sz w:val="18"/>
                <w:szCs w:val="18"/>
              </w:rPr>
              <w:t>144</w:t>
            </w:r>
          </w:p>
        </w:tc>
        <w:tc>
          <w:tcPr>
            <w:tcW w:w="1135" w:type="dxa"/>
            <w:tcBorders>
              <w:top w:val="nil"/>
              <w:left w:val="nil"/>
              <w:bottom w:val="nil"/>
              <w:right w:val="nil"/>
            </w:tcBorders>
            <w:noWrap/>
            <w:vAlign w:val="center"/>
          </w:tcPr>
          <w:p w14:paraId="63FC57BF" w14:textId="77777777" w:rsidR="00FD6F91" w:rsidRPr="00847FAE" w:rsidRDefault="00FD6F91" w:rsidP="00FD6F91">
            <w:pPr>
              <w:jc w:val="center"/>
              <w:rPr>
                <w:rFonts w:cs="Calibri"/>
                <w:color w:val="000000"/>
                <w:sz w:val="18"/>
                <w:szCs w:val="18"/>
              </w:rPr>
            </w:pPr>
            <w:r w:rsidRPr="00847FAE">
              <w:rPr>
                <w:rFonts w:cs="Calibri"/>
                <w:color w:val="000000"/>
                <w:sz w:val="18"/>
                <w:szCs w:val="18"/>
              </w:rPr>
              <w:t>6.7%</w:t>
            </w:r>
          </w:p>
        </w:tc>
      </w:tr>
      <w:tr w:rsidR="00FD6F91" w:rsidRPr="00847FAE" w14:paraId="6A57A41E" w14:textId="77777777" w:rsidTr="001F1F60">
        <w:trPr>
          <w:cantSplit/>
          <w:trHeight w:val="255"/>
        </w:trPr>
        <w:tc>
          <w:tcPr>
            <w:tcW w:w="3119" w:type="dxa"/>
            <w:gridSpan w:val="4"/>
            <w:tcBorders>
              <w:top w:val="nil"/>
              <w:left w:val="nil"/>
              <w:bottom w:val="nil"/>
              <w:right w:val="nil"/>
            </w:tcBorders>
            <w:shd w:val="clear" w:color="auto" w:fill="D9D9D9" w:themeFill="background1" w:themeFillShade="D9"/>
            <w:noWrap/>
          </w:tcPr>
          <w:p w14:paraId="5A63251E"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Breach of suspended sentence</w:t>
            </w:r>
          </w:p>
        </w:tc>
        <w:tc>
          <w:tcPr>
            <w:tcW w:w="992" w:type="dxa"/>
            <w:tcBorders>
              <w:top w:val="nil"/>
              <w:left w:val="nil"/>
              <w:bottom w:val="nil"/>
              <w:right w:val="nil"/>
            </w:tcBorders>
            <w:shd w:val="clear" w:color="auto" w:fill="D9D9D9" w:themeFill="background1" w:themeFillShade="D9"/>
            <w:noWrap/>
            <w:vAlign w:val="center"/>
          </w:tcPr>
          <w:p w14:paraId="2893CBFD"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9056574"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F11E3FC"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1C643A61"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C204A38" w14:textId="77777777" w:rsidR="00FD6F91" w:rsidRPr="00847FAE" w:rsidRDefault="00FD6F91" w:rsidP="00FD6F91">
            <w:pPr>
              <w:keepNext/>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0DCC1BEA" w14:textId="77777777" w:rsidR="00FD6F91" w:rsidRPr="00847FAE" w:rsidRDefault="00FD6F91" w:rsidP="00FD6F91">
            <w:pPr>
              <w:keepNext/>
              <w:jc w:val="center"/>
              <w:rPr>
                <w:rFonts w:cs="Calibri"/>
                <w:iCs/>
                <w:color w:val="000000"/>
                <w:sz w:val="18"/>
                <w:szCs w:val="18"/>
              </w:rPr>
            </w:pPr>
          </w:p>
        </w:tc>
      </w:tr>
      <w:tr w:rsidR="00FD6F91" w:rsidRPr="00847FAE" w14:paraId="1E3A6C87" w14:textId="77777777" w:rsidTr="001F1F60">
        <w:trPr>
          <w:cantSplit/>
          <w:trHeight w:val="255"/>
        </w:trPr>
        <w:tc>
          <w:tcPr>
            <w:tcW w:w="3119" w:type="dxa"/>
            <w:gridSpan w:val="4"/>
            <w:tcBorders>
              <w:top w:val="nil"/>
              <w:left w:val="nil"/>
              <w:bottom w:val="nil"/>
              <w:right w:val="nil"/>
            </w:tcBorders>
            <w:noWrap/>
          </w:tcPr>
          <w:p w14:paraId="3F3FF102"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130DB8F7" w14:textId="77777777" w:rsidR="00FD6F91" w:rsidRPr="00847FAE" w:rsidRDefault="00FD6F91" w:rsidP="00FD6F91">
            <w:pPr>
              <w:jc w:val="center"/>
              <w:rPr>
                <w:rFonts w:cs="Calibri"/>
                <w:color w:val="000000"/>
                <w:sz w:val="18"/>
                <w:szCs w:val="18"/>
              </w:rPr>
            </w:pPr>
            <w:r w:rsidRPr="00847FAE">
              <w:rPr>
                <w:rFonts w:cs="Calibri"/>
                <w:color w:val="000000"/>
                <w:sz w:val="18"/>
                <w:szCs w:val="18"/>
              </w:rPr>
              <w:t>51</w:t>
            </w:r>
          </w:p>
        </w:tc>
        <w:tc>
          <w:tcPr>
            <w:tcW w:w="992" w:type="dxa"/>
            <w:tcBorders>
              <w:top w:val="nil"/>
              <w:left w:val="nil"/>
              <w:bottom w:val="nil"/>
              <w:right w:val="nil"/>
            </w:tcBorders>
            <w:noWrap/>
            <w:vAlign w:val="center"/>
          </w:tcPr>
          <w:p w14:paraId="107D8A0A" w14:textId="77777777" w:rsidR="00FD6F91" w:rsidRPr="00847FAE" w:rsidRDefault="00FD6F91" w:rsidP="00FD6F91">
            <w:pPr>
              <w:jc w:val="center"/>
              <w:rPr>
                <w:rFonts w:cs="Calibri"/>
                <w:color w:val="000000"/>
                <w:sz w:val="18"/>
                <w:szCs w:val="18"/>
              </w:rPr>
            </w:pPr>
            <w:r w:rsidRPr="00847FAE">
              <w:rPr>
                <w:rFonts w:cs="Calibri"/>
                <w:color w:val="000000"/>
                <w:sz w:val="18"/>
                <w:szCs w:val="18"/>
              </w:rPr>
              <w:t>30</w:t>
            </w:r>
          </w:p>
        </w:tc>
        <w:tc>
          <w:tcPr>
            <w:tcW w:w="992" w:type="dxa"/>
            <w:tcBorders>
              <w:top w:val="nil"/>
              <w:left w:val="nil"/>
              <w:bottom w:val="nil"/>
              <w:right w:val="nil"/>
            </w:tcBorders>
            <w:noWrap/>
            <w:vAlign w:val="center"/>
          </w:tcPr>
          <w:p w14:paraId="3B255EDA" w14:textId="77777777" w:rsidR="00FD6F91" w:rsidRPr="00847FAE" w:rsidRDefault="00FD6F91" w:rsidP="00FD6F91">
            <w:pPr>
              <w:jc w:val="center"/>
              <w:rPr>
                <w:rFonts w:cs="Calibri"/>
                <w:color w:val="000000"/>
                <w:sz w:val="18"/>
                <w:szCs w:val="18"/>
              </w:rPr>
            </w:pPr>
            <w:r w:rsidRPr="00847FAE">
              <w:rPr>
                <w:rFonts w:cs="Calibri"/>
                <w:color w:val="000000"/>
                <w:sz w:val="18"/>
                <w:szCs w:val="18"/>
              </w:rPr>
              <w:t>39</w:t>
            </w:r>
          </w:p>
        </w:tc>
        <w:tc>
          <w:tcPr>
            <w:tcW w:w="992" w:type="dxa"/>
            <w:tcBorders>
              <w:top w:val="nil"/>
              <w:left w:val="nil"/>
              <w:bottom w:val="nil"/>
              <w:right w:val="nil"/>
            </w:tcBorders>
            <w:noWrap/>
            <w:vAlign w:val="center"/>
          </w:tcPr>
          <w:p w14:paraId="23B49409" w14:textId="77777777" w:rsidR="00FD6F91" w:rsidRPr="00847FAE" w:rsidRDefault="00FD6F91" w:rsidP="00FD6F91">
            <w:pPr>
              <w:jc w:val="center"/>
              <w:rPr>
                <w:rFonts w:cs="Calibri"/>
                <w:color w:val="000000"/>
                <w:sz w:val="18"/>
                <w:szCs w:val="18"/>
              </w:rPr>
            </w:pPr>
            <w:r w:rsidRPr="00847FAE">
              <w:rPr>
                <w:rFonts w:cs="Calibri"/>
                <w:color w:val="000000"/>
                <w:sz w:val="18"/>
                <w:szCs w:val="18"/>
              </w:rPr>
              <w:t>30</w:t>
            </w:r>
          </w:p>
        </w:tc>
        <w:tc>
          <w:tcPr>
            <w:tcW w:w="992" w:type="dxa"/>
            <w:tcBorders>
              <w:top w:val="nil"/>
              <w:left w:val="nil"/>
              <w:bottom w:val="nil"/>
              <w:right w:val="nil"/>
            </w:tcBorders>
            <w:noWrap/>
            <w:vAlign w:val="center"/>
          </w:tcPr>
          <w:p w14:paraId="619FD1A5" w14:textId="77777777" w:rsidR="00FD6F91" w:rsidRPr="00847FAE" w:rsidRDefault="00FD6F91" w:rsidP="00FD6F91">
            <w:pPr>
              <w:jc w:val="center"/>
              <w:rPr>
                <w:rFonts w:cs="Calibri"/>
                <w:color w:val="000000"/>
                <w:sz w:val="18"/>
                <w:szCs w:val="18"/>
              </w:rPr>
            </w:pPr>
            <w:r w:rsidRPr="00847FAE">
              <w:rPr>
                <w:rFonts w:cs="Calibri"/>
                <w:color w:val="000000"/>
                <w:sz w:val="18"/>
                <w:szCs w:val="18"/>
              </w:rPr>
              <w:t>22</w:t>
            </w:r>
          </w:p>
        </w:tc>
        <w:tc>
          <w:tcPr>
            <w:tcW w:w="1135" w:type="dxa"/>
            <w:tcBorders>
              <w:top w:val="nil"/>
              <w:left w:val="nil"/>
              <w:bottom w:val="nil"/>
              <w:right w:val="nil"/>
            </w:tcBorders>
            <w:noWrap/>
            <w:vAlign w:val="center"/>
          </w:tcPr>
          <w:p w14:paraId="4B3A7F82" w14:textId="77777777" w:rsidR="00FD6F91" w:rsidRPr="00847FAE" w:rsidRDefault="00FD6F91" w:rsidP="00FD6F91">
            <w:pPr>
              <w:jc w:val="center"/>
              <w:rPr>
                <w:rFonts w:cs="Calibri"/>
                <w:color w:val="000000"/>
                <w:sz w:val="18"/>
                <w:szCs w:val="18"/>
              </w:rPr>
            </w:pPr>
            <w:r w:rsidRPr="00847FAE">
              <w:rPr>
                <w:rFonts w:cs="Calibri"/>
                <w:color w:val="000000"/>
                <w:sz w:val="18"/>
                <w:szCs w:val="18"/>
              </w:rPr>
              <w:t>-26.7%</w:t>
            </w:r>
          </w:p>
        </w:tc>
      </w:tr>
      <w:tr w:rsidR="00FD6F91" w:rsidRPr="00847FAE" w14:paraId="6B25623F" w14:textId="77777777" w:rsidTr="001F1F60">
        <w:trPr>
          <w:cantSplit/>
          <w:trHeight w:val="255"/>
        </w:trPr>
        <w:tc>
          <w:tcPr>
            <w:tcW w:w="3119" w:type="dxa"/>
            <w:gridSpan w:val="4"/>
            <w:tcBorders>
              <w:top w:val="nil"/>
              <w:left w:val="nil"/>
              <w:bottom w:val="nil"/>
              <w:right w:val="nil"/>
            </w:tcBorders>
            <w:noWrap/>
          </w:tcPr>
          <w:p w14:paraId="426249C4"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nil"/>
              <w:right w:val="nil"/>
            </w:tcBorders>
            <w:noWrap/>
            <w:vAlign w:val="center"/>
          </w:tcPr>
          <w:p w14:paraId="4FB4AC0F" w14:textId="77777777" w:rsidR="00FD6F91" w:rsidRPr="00847FAE" w:rsidRDefault="00FD6F91" w:rsidP="00FD6F91">
            <w:pPr>
              <w:jc w:val="center"/>
              <w:rPr>
                <w:rFonts w:cs="Calibri"/>
                <w:color w:val="000000"/>
                <w:sz w:val="18"/>
                <w:szCs w:val="18"/>
              </w:rPr>
            </w:pPr>
            <w:r w:rsidRPr="00847FAE">
              <w:rPr>
                <w:rFonts w:cs="Calibri"/>
                <w:color w:val="000000"/>
                <w:sz w:val="18"/>
                <w:szCs w:val="18"/>
              </w:rPr>
              <w:t>49</w:t>
            </w:r>
          </w:p>
        </w:tc>
        <w:tc>
          <w:tcPr>
            <w:tcW w:w="992" w:type="dxa"/>
            <w:tcBorders>
              <w:top w:val="nil"/>
              <w:left w:val="nil"/>
              <w:bottom w:val="nil"/>
              <w:right w:val="nil"/>
            </w:tcBorders>
            <w:noWrap/>
            <w:vAlign w:val="center"/>
          </w:tcPr>
          <w:p w14:paraId="61399CB4" w14:textId="77777777" w:rsidR="00FD6F91" w:rsidRPr="00847FAE" w:rsidRDefault="00FD6F91" w:rsidP="00FD6F91">
            <w:pPr>
              <w:jc w:val="center"/>
              <w:rPr>
                <w:rFonts w:cs="Calibri"/>
                <w:color w:val="000000"/>
                <w:sz w:val="18"/>
                <w:szCs w:val="18"/>
              </w:rPr>
            </w:pPr>
            <w:r w:rsidRPr="00847FAE">
              <w:rPr>
                <w:rFonts w:cs="Calibri"/>
                <w:color w:val="000000"/>
                <w:sz w:val="18"/>
                <w:szCs w:val="18"/>
              </w:rPr>
              <w:t>29</w:t>
            </w:r>
          </w:p>
        </w:tc>
        <w:tc>
          <w:tcPr>
            <w:tcW w:w="992" w:type="dxa"/>
            <w:tcBorders>
              <w:top w:val="nil"/>
              <w:left w:val="nil"/>
              <w:bottom w:val="nil"/>
              <w:right w:val="nil"/>
            </w:tcBorders>
            <w:noWrap/>
            <w:vAlign w:val="center"/>
          </w:tcPr>
          <w:p w14:paraId="7A3D9CC0" w14:textId="77777777" w:rsidR="00FD6F91" w:rsidRPr="00847FAE" w:rsidRDefault="00FD6F91" w:rsidP="00FD6F91">
            <w:pPr>
              <w:jc w:val="center"/>
              <w:rPr>
                <w:rFonts w:cs="Calibri"/>
                <w:color w:val="000000"/>
                <w:sz w:val="18"/>
                <w:szCs w:val="18"/>
              </w:rPr>
            </w:pPr>
            <w:r w:rsidRPr="00847FAE">
              <w:rPr>
                <w:rFonts w:cs="Calibri"/>
                <w:color w:val="000000"/>
                <w:sz w:val="18"/>
                <w:szCs w:val="18"/>
              </w:rPr>
              <w:t>43</w:t>
            </w:r>
          </w:p>
        </w:tc>
        <w:tc>
          <w:tcPr>
            <w:tcW w:w="992" w:type="dxa"/>
            <w:tcBorders>
              <w:top w:val="nil"/>
              <w:left w:val="nil"/>
              <w:bottom w:val="nil"/>
              <w:right w:val="nil"/>
            </w:tcBorders>
            <w:noWrap/>
            <w:vAlign w:val="center"/>
          </w:tcPr>
          <w:p w14:paraId="28B35927" w14:textId="77777777" w:rsidR="00FD6F91" w:rsidRPr="00847FAE" w:rsidRDefault="00FD6F91" w:rsidP="00FD6F91">
            <w:pPr>
              <w:jc w:val="center"/>
              <w:rPr>
                <w:rFonts w:cs="Calibri"/>
                <w:color w:val="000000"/>
                <w:sz w:val="18"/>
                <w:szCs w:val="18"/>
              </w:rPr>
            </w:pPr>
            <w:r w:rsidRPr="00847FAE">
              <w:rPr>
                <w:rFonts w:cs="Calibri"/>
                <w:color w:val="000000"/>
                <w:sz w:val="18"/>
                <w:szCs w:val="18"/>
              </w:rPr>
              <w:t>27</w:t>
            </w:r>
          </w:p>
        </w:tc>
        <w:tc>
          <w:tcPr>
            <w:tcW w:w="992" w:type="dxa"/>
            <w:tcBorders>
              <w:top w:val="nil"/>
              <w:left w:val="nil"/>
              <w:bottom w:val="nil"/>
              <w:right w:val="nil"/>
            </w:tcBorders>
            <w:noWrap/>
            <w:vAlign w:val="center"/>
          </w:tcPr>
          <w:p w14:paraId="036FFA20" w14:textId="77777777" w:rsidR="00FD6F91" w:rsidRPr="00847FAE" w:rsidRDefault="00FD6F91" w:rsidP="00FD6F91">
            <w:pPr>
              <w:jc w:val="center"/>
              <w:rPr>
                <w:rFonts w:cs="Calibri"/>
                <w:color w:val="000000"/>
                <w:sz w:val="18"/>
                <w:szCs w:val="18"/>
              </w:rPr>
            </w:pPr>
            <w:r w:rsidRPr="00847FAE">
              <w:rPr>
                <w:rFonts w:cs="Calibri"/>
                <w:color w:val="000000"/>
                <w:sz w:val="18"/>
                <w:szCs w:val="18"/>
              </w:rPr>
              <w:t>23</w:t>
            </w:r>
          </w:p>
        </w:tc>
        <w:tc>
          <w:tcPr>
            <w:tcW w:w="1135" w:type="dxa"/>
            <w:tcBorders>
              <w:top w:val="nil"/>
              <w:left w:val="nil"/>
              <w:bottom w:val="nil"/>
              <w:right w:val="nil"/>
            </w:tcBorders>
            <w:noWrap/>
            <w:vAlign w:val="center"/>
          </w:tcPr>
          <w:p w14:paraId="79DB3FA4" w14:textId="77777777" w:rsidR="00FD6F91" w:rsidRPr="00847FAE" w:rsidRDefault="00FD6F91" w:rsidP="00FD6F91">
            <w:pPr>
              <w:jc w:val="center"/>
              <w:rPr>
                <w:rFonts w:cs="Calibri"/>
                <w:color w:val="000000"/>
                <w:sz w:val="18"/>
                <w:szCs w:val="18"/>
              </w:rPr>
            </w:pPr>
            <w:r w:rsidRPr="00847FAE">
              <w:rPr>
                <w:rFonts w:cs="Calibri"/>
                <w:color w:val="000000"/>
                <w:sz w:val="18"/>
                <w:szCs w:val="18"/>
              </w:rPr>
              <w:t>-14.8%</w:t>
            </w:r>
          </w:p>
        </w:tc>
      </w:tr>
      <w:tr w:rsidR="00FD6F91" w:rsidRPr="00847FAE" w14:paraId="268428FA" w14:textId="77777777" w:rsidTr="001F1F60">
        <w:trPr>
          <w:cantSplit/>
          <w:trHeight w:val="255"/>
        </w:trPr>
        <w:tc>
          <w:tcPr>
            <w:tcW w:w="3119" w:type="dxa"/>
            <w:gridSpan w:val="4"/>
            <w:tcBorders>
              <w:top w:val="nil"/>
              <w:left w:val="nil"/>
              <w:bottom w:val="nil"/>
              <w:right w:val="nil"/>
            </w:tcBorders>
            <w:shd w:val="clear" w:color="auto" w:fill="D9D9D9" w:themeFill="background1" w:themeFillShade="D9"/>
            <w:noWrap/>
          </w:tcPr>
          <w:p w14:paraId="14370BD7" w14:textId="77777777" w:rsidR="00FD6F91" w:rsidRPr="00847FAE" w:rsidRDefault="00FD6F91" w:rsidP="00FD6F91">
            <w:pPr>
              <w:keepNext/>
              <w:widowControl w:val="0"/>
              <w:rPr>
                <w:rFonts w:cs="Calibri"/>
                <w:iCs/>
                <w:color w:val="000000"/>
                <w:sz w:val="18"/>
                <w:szCs w:val="18"/>
                <w:vertAlign w:val="superscript"/>
              </w:rPr>
            </w:pPr>
            <w:r w:rsidRPr="00847FAE">
              <w:rPr>
                <w:rFonts w:cs="Calibri"/>
                <w:iCs/>
                <w:color w:val="000000"/>
                <w:sz w:val="18"/>
                <w:szCs w:val="18"/>
              </w:rPr>
              <w:t>Breach of supervision order</w:t>
            </w:r>
            <w:r w:rsidRPr="00847FAE">
              <w:rPr>
                <w:rFonts w:cs="Calibri"/>
                <w:iCs/>
                <w:color w:val="000000"/>
                <w:sz w:val="18"/>
                <w:szCs w:val="18"/>
                <w:vertAlign w:val="superscript"/>
              </w:rPr>
              <w:t>1</w:t>
            </w:r>
          </w:p>
        </w:tc>
        <w:tc>
          <w:tcPr>
            <w:tcW w:w="992" w:type="dxa"/>
            <w:tcBorders>
              <w:top w:val="nil"/>
              <w:left w:val="nil"/>
              <w:bottom w:val="nil"/>
              <w:right w:val="nil"/>
            </w:tcBorders>
            <w:shd w:val="clear" w:color="auto" w:fill="D9D9D9" w:themeFill="background1" w:themeFillShade="D9"/>
            <w:noWrap/>
            <w:vAlign w:val="center"/>
          </w:tcPr>
          <w:p w14:paraId="1ECE01D0"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0283FB5"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0320F6F9"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22AF575F"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3BB791BC" w14:textId="77777777" w:rsidR="00FD6F91" w:rsidRPr="00847FAE" w:rsidRDefault="00FD6F91" w:rsidP="00FD6F91">
            <w:pPr>
              <w:keepNext/>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0C5EA8F3" w14:textId="77777777" w:rsidR="00FD6F91" w:rsidRPr="00847FAE" w:rsidRDefault="00FD6F91" w:rsidP="00FD6F91">
            <w:pPr>
              <w:keepNext/>
              <w:jc w:val="center"/>
              <w:rPr>
                <w:rFonts w:cs="Calibri"/>
                <w:iCs/>
                <w:color w:val="000000"/>
                <w:sz w:val="18"/>
                <w:szCs w:val="18"/>
              </w:rPr>
            </w:pPr>
          </w:p>
        </w:tc>
      </w:tr>
      <w:tr w:rsidR="00FD6F91" w:rsidRPr="00847FAE" w14:paraId="3DB4F41C" w14:textId="77777777" w:rsidTr="001F1F60">
        <w:trPr>
          <w:cantSplit/>
          <w:trHeight w:val="255"/>
        </w:trPr>
        <w:tc>
          <w:tcPr>
            <w:tcW w:w="3119" w:type="dxa"/>
            <w:gridSpan w:val="4"/>
            <w:tcBorders>
              <w:top w:val="nil"/>
              <w:left w:val="nil"/>
              <w:bottom w:val="nil"/>
              <w:right w:val="nil"/>
            </w:tcBorders>
            <w:noWrap/>
          </w:tcPr>
          <w:p w14:paraId="3724C93A"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194877B6" w14:textId="77777777" w:rsidR="00FD6F91" w:rsidRPr="00847FAE" w:rsidRDefault="00FD6F91" w:rsidP="00FD6F91">
            <w:pPr>
              <w:jc w:val="center"/>
              <w:rPr>
                <w:rFonts w:cs="Calibri"/>
                <w:color w:val="000000"/>
                <w:sz w:val="18"/>
                <w:szCs w:val="18"/>
              </w:rPr>
            </w:pPr>
            <w:r w:rsidRPr="00847FAE">
              <w:rPr>
                <w:rFonts w:cs="Calibri"/>
                <w:color w:val="000000"/>
                <w:sz w:val="18"/>
                <w:szCs w:val="18"/>
              </w:rPr>
              <w:t>24</w:t>
            </w:r>
          </w:p>
        </w:tc>
        <w:tc>
          <w:tcPr>
            <w:tcW w:w="992" w:type="dxa"/>
            <w:tcBorders>
              <w:top w:val="nil"/>
              <w:left w:val="nil"/>
              <w:bottom w:val="nil"/>
              <w:right w:val="nil"/>
            </w:tcBorders>
            <w:noWrap/>
            <w:vAlign w:val="center"/>
          </w:tcPr>
          <w:p w14:paraId="0C253918" w14:textId="77777777" w:rsidR="00FD6F91" w:rsidRPr="00847FAE" w:rsidRDefault="00FD6F91" w:rsidP="00FD6F91">
            <w:pPr>
              <w:jc w:val="center"/>
              <w:rPr>
                <w:rFonts w:cs="Calibri"/>
                <w:color w:val="000000"/>
                <w:sz w:val="18"/>
                <w:szCs w:val="18"/>
              </w:rPr>
            </w:pPr>
            <w:r w:rsidRPr="00847FAE">
              <w:rPr>
                <w:rFonts w:cs="Calibri"/>
                <w:color w:val="000000"/>
                <w:sz w:val="18"/>
                <w:szCs w:val="18"/>
              </w:rPr>
              <w:t>18</w:t>
            </w:r>
          </w:p>
        </w:tc>
        <w:tc>
          <w:tcPr>
            <w:tcW w:w="992" w:type="dxa"/>
            <w:tcBorders>
              <w:top w:val="nil"/>
              <w:left w:val="nil"/>
              <w:bottom w:val="nil"/>
              <w:right w:val="nil"/>
            </w:tcBorders>
            <w:noWrap/>
            <w:vAlign w:val="center"/>
          </w:tcPr>
          <w:p w14:paraId="0B0BF522" w14:textId="77777777" w:rsidR="00FD6F91" w:rsidRPr="00847FAE" w:rsidRDefault="00FD6F91" w:rsidP="00FD6F91">
            <w:pPr>
              <w:jc w:val="center"/>
              <w:rPr>
                <w:rFonts w:cs="Calibri"/>
                <w:color w:val="000000"/>
                <w:sz w:val="18"/>
                <w:szCs w:val="18"/>
              </w:rPr>
            </w:pPr>
            <w:r w:rsidRPr="00847FAE">
              <w:rPr>
                <w:rFonts w:cs="Calibri"/>
                <w:color w:val="000000"/>
                <w:sz w:val="18"/>
                <w:szCs w:val="18"/>
              </w:rPr>
              <w:t>14</w:t>
            </w:r>
          </w:p>
        </w:tc>
        <w:tc>
          <w:tcPr>
            <w:tcW w:w="992" w:type="dxa"/>
            <w:tcBorders>
              <w:top w:val="nil"/>
              <w:left w:val="nil"/>
              <w:bottom w:val="nil"/>
              <w:right w:val="nil"/>
            </w:tcBorders>
            <w:noWrap/>
            <w:vAlign w:val="center"/>
          </w:tcPr>
          <w:p w14:paraId="64C7E1A8" w14:textId="77777777" w:rsidR="00FD6F91" w:rsidRPr="00847FAE" w:rsidRDefault="00FD6F91" w:rsidP="00FD6F91">
            <w:pPr>
              <w:jc w:val="center"/>
              <w:rPr>
                <w:rFonts w:cs="Calibri"/>
                <w:color w:val="000000"/>
                <w:sz w:val="18"/>
                <w:szCs w:val="18"/>
              </w:rPr>
            </w:pPr>
            <w:r w:rsidRPr="00847FAE">
              <w:rPr>
                <w:rFonts w:cs="Calibri"/>
                <w:color w:val="000000"/>
                <w:sz w:val="18"/>
                <w:szCs w:val="18"/>
              </w:rPr>
              <w:t>18</w:t>
            </w:r>
          </w:p>
        </w:tc>
        <w:tc>
          <w:tcPr>
            <w:tcW w:w="992" w:type="dxa"/>
            <w:tcBorders>
              <w:top w:val="nil"/>
              <w:left w:val="nil"/>
              <w:bottom w:val="nil"/>
              <w:right w:val="nil"/>
            </w:tcBorders>
            <w:noWrap/>
            <w:vAlign w:val="center"/>
          </w:tcPr>
          <w:p w14:paraId="6328CEBC" w14:textId="77777777" w:rsidR="00FD6F91" w:rsidRPr="00847FAE" w:rsidRDefault="00FD6F91" w:rsidP="00FD6F91">
            <w:pPr>
              <w:jc w:val="center"/>
              <w:rPr>
                <w:rFonts w:cs="Calibri"/>
                <w:color w:val="000000"/>
                <w:sz w:val="18"/>
                <w:szCs w:val="18"/>
              </w:rPr>
            </w:pPr>
            <w:r w:rsidRPr="00847FAE">
              <w:rPr>
                <w:rFonts w:cs="Calibri"/>
                <w:color w:val="000000"/>
                <w:sz w:val="18"/>
                <w:szCs w:val="18"/>
              </w:rPr>
              <w:t>17</w:t>
            </w:r>
          </w:p>
        </w:tc>
        <w:tc>
          <w:tcPr>
            <w:tcW w:w="1135" w:type="dxa"/>
            <w:tcBorders>
              <w:top w:val="nil"/>
              <w:left w:val="nil"/>
              <w:bottom w:val="nil"/>
              <w:right w:val="nil"/>
            </w:tcBorders>
            <w:noWrap/>
            <w:vAlign w:val="center"/>
          </w:tcPr>
          <w:p w14:paraId="2F8FE0EF" w14:textId="77777777" w:rsidR="00FD6F91" w:rsidRPr="00847FAE" w:rsidRDefault="00FD6F91" w:rsidP="00FD6F91">
            <w:pPr>
              <w:jc w:val="center"/>
              <w:rPr>
                <w:rFonts w:cs="Calibri"/>
                <w:color w:val="000000"/>
                <w:sz w:val="18"/>
                <w:szCs w:val="18"/>
              </w:rPr>
            </w:pPr>
            <w:r w:rsidRPr="00847FAE">
              <w:rPr>
                <w:rFonts w:cs="Calibri"/>
                <w:color w:val="000000"/>
                <w:sz w:val="18"/>
                <w:szCs w:val="18"/>
              </w:rPr>
              <w:t>-5.6%</w:t>
            </w:r>
          </w:p>
        </w:tc>
      </w:tr>
      <w:tr w:rsidR="00FD6F91" w:rsidRPr="00847FAE" w14:paraId="23C5B832" w14:textId="77777777" w:rsidTr="001F1F60">
        <w:trPr>
          <w:cantSplit/>
          <w:trHeight w:val="255"/>
        </w:trPr>
        <w:tc>
          <w:tcPr>
            <w:tcW w:w="3119" w:type="dxa"/>
            <w:gridSpan w:val="4"/>
            <w:tcBorders>
              <w:top w:val="nil"/>
              <w:left w:val="nil"/>
              <w:bottom w:val="nil"/>
              <w:right w:val="nil"/>
            </w:tcBorders>
            <w:noWrap/>
          </w:tcPr>
          <w:p w14:paraId="6205B45B"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nil"/>
              <w:right w:val="nil"/>
            </w:tcBorders>
            <w:noWrap/>
            <w:vAlign w:val="center"/>
          </w:tcPr>
          <w:p w14:paraId="0FE4ED44" w14:textId="77777777" w:rsidR="00FD6F91" w:rsidRPr="00847FAE" w:rsidRDefault="00FD6F91" w:rsidP="00FD6F91">
            <w:pPr>
              <w:jc w:val="center"/>
              <w:rPr>
                <w:rFonts w:cs="Calibri"/>
                <w:color w:val="000000"/>
                <w:sz w:val="18"/>
                <w:szCs w:val="18"/>
              </w:rPr>
            </w:pPr>
            <w:r w:rsidRPr="00847FAE">
              <w:rPr>
                <w:rFonts w:cs="Calibri"/>
                <w:color w:val="000000"/>
                <w:sz w:val="18"/>
                <w:szCs w:val="18"/>
              </w:rPr>
              <w:t>13</w:t>
            </w:r>
          </w:p>
        </w:tc>
        <w:tc>
          <w:tcPr>
            <w:tcW w:w="992" w:type="dxa"/>
            <w:tcBorders>
              <w:top w:val="nil"/>
              <w:left w:val="nil"/>
              <w:bottom w:val="nil"/>
              <w:right w:val="nil"/>
            </w:tcBorders>
            <w:noWrap/>
            <w:vAlign w:val="center"/>
          </w:tcPr>
          <w:p w14:paraId="5C6EF3E3" w14:textId="77777777" w:rsidR="00FD6F91" w:rsidRPr="00847FAE" w:rsidRDefault="00FD6F91" w:rsidP="00FD6F91">
            <w:pPr>
              <w:jc w:val="center"/>
              <w:rPr>
                <w:rFonts w:cs="Calibri"/>
                <w:color w:val="000000"/>
                <w:sz w:val="18"/>
                <w:szCs w:val="18"/>
              </w:rPr>
            </w:pPr>
            <w:r w:rsidRPr="00847FAE">
              <w:rPr>
                <w:rFonts w:cs="Calibri"/>
                <w:color w:val="000000"/>
                <w:sz w:val="18"/>
                <w:szCs w:val="18"/>
              </w:rPr>
              <w:t>19</w:t>
            </w:r>
          </w:p>
        </w:tc>
        <w:tc>
          <w:tcPr>
            <w:tcW w:w="992" w:type="dxa"/>
            <w:tcBorders>
              <w:top w:val="nil"/>
              <w:left w:val="nil"/>
              <w:bottom w:val="nil"/>
              <w:right w:val="nil"/>
            </w:tcBorders>
            <w:noWrap/>
            <w:vAlign w:val="center"/>
          </w:tcPr>
          <w:p w14:paraId="278F2F6C" w14:textId="77777777" w:rsidR="00FD6F91" w:rsidRPr="00847FAE" w:rsidRDefault="00FD6F91" w:rsidP="00FD6F91">
            <w:pPr>
              <w:jc w:val="center"/>
              <w:rPr>
                <w:rFonts w:cs="Calibri"/>
                <w:color w:val="000000"/>
                <w:sz w:val="18"/>
                <w:szCs w:val="18"/>
              </w:rPr>
            </w:pPr>
            <w:r w:rsidRPr="00847FAE">
              <w:rPr>
                <w:rFonts w:cs="Calibri"/>
                <w:color w:val="000000"/>
                <w:sz w:val="18"/>
                <w:szCs w:val="18"/>
              </w:rPr>
              <w:t>14</w:t>
            </w:r>
          </w:p>
        </w:tc>
        <w:tc>
          <w:tcPr>
            <w:tcW w:w="992" w:type="dxa"/>
            <w:tcBorders>
              <w:top w:val="nil"/>
              <w:left w:val="nil"/>
              <w:bottom w:val="nil"/>
              <w:right w:val="nil"/>
            </w:tcBorders>
            <w:noWrap/>
            <w:vAlign w:val="center"/>
          </w:tcPr>
          <w:p w14:paraId="3B1B018D" w14:textId="77777777" w:rsidR="00FD6F91" w:rsidRPr="00847FAE" w:rsidRDefault="00FD6F91" w:rsidP="00FD6F91">
            <w:pPr>
              <w:jc w:val="center"/>
              <w:rPr>
                <w:rFonts w:cs="Calibri"/>
                <w:color w:val="000000"/>
                <w:sz w:val="18"/>
                <w:szCs w:val="18"/>
              </w:rPr>
            </w:pPr>
            <w:r w:rsidRPr="00847FAE">
              <w:rPr>
                <w:rFonts w:cs="Calibri"/>
                <w:color w:val="000000"/>
                <w:sz w:val="18"/>
                <w:szCs w:val="18"/>
              </w:rPr>
              <w:t>17</w:t>
            </w:r>
          </w:p>
        </w:tc>
        <w:tc>
          <w:tcPr>
            <w:tcW w:w="992" w:type="dxa"/>
            <w:tcBorders>
              <w:top w:val="nil"/>
              <w:left w:val="nil"/>
              <w:bottom w:val="nil"/>
              <w:right w:val="nil"/>
            </w:tcBorders>
            <w:noWrap/>
            <w:vAlign w:val="center"/>
          </w:tcPr>
          <w:p w14:paraId="1617445C" w14:textId="77777777" w:rsidR="00FD6F91" w:rsidRPr="00847FAE" w:rsidRDefault="00FD6F91" w:rsidP="00FD6F91">
            <w:pPr>
              <w:jc w:val="center"/>
              <w:rPr>
                <w:rFonts w:cs="Calibri"/>
                <w:color w:val="000000"/>
                <w:sz w:val="18"/>
                <w:szCs w:val="18"/>
              </w:rPr>
            </w:pPr>
            <w:r w:rsidRPr="00847FAE">
              <w:rPr>
                <w:rFonts w:cs="Calibri"/>
                <w:color w:val="000000"/>
                <w:sz w:val="18"/>
                <w:szCs w:val="18"/>
              </w:rPr>
              <w:t>16</w:t>
            </w:r>
          </w:p>
        </w:tc>
        <w:tc>
          <w:tcPr>
            <w:tcW w:w="1135" w:type="dxa"/>
            <w:tcBorders>
              <w:top w:val="nil"/>
              <w:left w:val="nil"/>
              <w:bottom w:val="nil"/>
              <w:right w:val="nil"/>
            </w:tcBorders>
            <w:noWrap/>
            <w:vAlign w:val="center"/>
          </w:tcPr>
          <w:p w14:paraId="15A63180" w14:textId="77777777" w:rsidR="00FD6F91" w:rsidRPr="00847FAE" w:rsidRDefault="00FD6F91" w:rsidP="00FD6F91">
            <w:pPr>
              <w:jc w:val="center"/>
              <w:rPr>
                <w:rFonts w:cs="Calibri"/>
                <w:color w:val="000000"/>
                <w:sz w:val="18"/>
                <w:szCs w:val="18"/>
              </w:rPr>
            </w:pPr>
            <w:r w:rsidRPr="00847FAE">
              <w:rPr>
                <w:rFonts w:cs="Calibri"/>
                <w:color w:val="000000"/>
                <w:sz w:val="18"/>
                <w:szCs w:val="18"/>
              </w:rPr>
              <w:t>-5.9%</w:t>
            </w:r>
          </w:p>
        </w:tc>
      </w:tr>
      <w:tr w:rsidR="00FD6F91" w:rsidRPr="00847FAE" w14:paraId="0F25C931" w14:textId="77777777" w:rsidTr="001F1F60">
        <w:trPr>
          <w:cantSplit/>
          <w:trHeight w:val="255"/>
        </w:trPr>
        <w:tc>
          <w:tcPr>
            <w:tcW w:w="3119" w:type="dxa"/>
            <w:gridSpan w:val="4"/>
            <w:tcBorders>
              <w:top w:val="nil"/>
              <w:left w:val="nil"/>
              <w:bottom w:val="nil"/>
              <w:right w:val="nil"/>
            </w:tcBorders>
            <w:shd w:val="clear" w:color="auto" w:fill="D9D9D9" w:themeFill="background1" w:themeFillShade="D9"/>
            <w:noWrap/>
          </w:tcPr>
          <w:p w14:paraId="73380E95"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Breach of community service order</w:t>
            </w:r>
          </w:p>
        </w:tc>
        <w:tc>
          <w:tcPr>
            <w:tcW w:w="992" w:type="dxa"/>
            <w:tcBorders>
              <w:top w:val="nil"/>
              <w:left w:val="nil"/>
              <w:bottom w:val="nil"/>
              <w:right w:val="nil"/>
            </w:tcBorders>
            <w:shd w:val="clear" w:color="auto" w:fill="D9D9D9" w:themeFill="background1" w:themeFillShade="D9"/>
            <w:noWrap/>
            <w:vAlign w:val="center"/>
          </w:tcPr>
          <w:p w14:paraId="489461B7"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7F757F6B"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59A6392F"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58ECB017"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0B2C5167" w14:textId="77777777" w:rsidR="00FD6F91" w:rsidRPr="00847FAE" w:rsidRDefault="00FD6F91" w:rsidP="00FD6F91">
            <w:pPr>
              <w:keepNext/>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3E3B973D" w14:textId="77777777" w:rsidR="00FD6F91" w:rsidRPr="00847FAE" w:rsidRDefault="00FD6F91" w:rsidP="00FD6F91">
            <w:pPr>
              <w:keepNext/>
              <w:jc w:val="center"/>
              <w:rPr>
                <w:rFonts w:cs="Calibri"/>
                <w:iCs/>
                <w:color w:val="000000"/>
                <w:sz w:val="18"/>
                <w:szCs w:val="18"/>
              </w:rPr>
            </w:pPr>
          </w:p>
        </w:tc>
      </w:tr>
      <w:tr w:rsidR="00FD6F91" w:rsidRPr="00847FAE" w14:paraId="405EE196" w14:textId="77777777" w:rsidTr="001F1F60">
        <w:trPr>
          <w:cantSplit/>
          <w:trHeight w:val="255"/>
        </w:trPr>
        <w:tc>
          <w:tcPr>
            <w:tcW w:w="3119" w:type="dxa"/>
            <w:gridSpan w:val="4"/>
            <w:tcBorders>
              <w:top w:val="nil"/>
              <w:left w:val="nil"/>
              <w:bottom w:val="nil"/>
              <w:right w:val="nil"/>
            </w:tcBorders>
            <w:noWrap/>
          </w:tcPr>
          <w:p w14:paraId="37A421F6"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Lodgements</w:t>
            </w:r>
          </w:p>
        </w:tc>
        <w:tc>
          <w:tcPr>
            <w:tcW w:w="992" w:type="dxa"/>
            <w:tcBorders>
              <w:top w:val="nil"/>
              <w:left w:val="nil"/>
              <w:bottom w:val="nil"/>
              <w:right w:val="nil"/>
            </w:tcBorders>
            <w:noWrap/>
            <w:vAlign w:val="center"/>
          </w:tcPr>
          <w:p w14:paraId="2EB7A6F2" w14:textId="77777777" w:rsidR="00FD6F91" w:rsidRPr="00847FAE" w:rsidRDefault="00FD6F91" w:rsidP="00FD6F91">
            <w:pPr>
              <w:jc w:val="center"/>
              <w:rPr>
                <w:rFonts w:cs="Calibri"/>
                <w:color w:val="000000"/>
                <w:sz w:val="18"/>
                <w:szCs w:val="18"/>
              </w:rPr>
            </w:pPr>
            <w:r w:rsidRPr="00847FAE">
              <w:rPr>
                <w:rFonts w:cs="Calibri"/>
                <w:color w:val="000000"/>
                <w:sz w:val="18"/>
                <w:szCs w:val="18"/>
              </w:rPr>
              <w:t>15</w:t>
            </w:r>
          </w:p>
        </w:tc>
        <w:tc>
          <w:tcPr>
            <w:tcW w:w="992" w:type="dxa"/>
            <w:tcBorders>
              <w:top w:val="nil"/>
              <w:left w:val="nil"/>
              <w:bottom w:val="nil"/>
              <w:right w:val="nil"/>
            </w:tcBorders>
            <w:noWrap/>
            <w:vAlign w:val="center"/>
          </w:tcPr>
          <w:p w14:paraId="568C5DD1" w14:textId="77777777" w:rsidR="00FD6F91" w:rsidRPr="00847FAE" w:rsidRDefault="00FD6F91" w:rsidP="00FD6F91">
            <w:pPr>
              <w:jc w:val="center"/>
              <w:rPr>
                <w:rFonts w:cs="Calibri"/>
                <w:color w:val="000000"/>
                <w:sz w:val="18"/>
                <w:szCs w:val="18"/>
              </w:rPr>
            </w:pPr>
            <w:r w:rsidRPr="00847FAE">
              <w:rPr>
                <w:rFonts w:cs="Calibri"/>
                <w:color w:val="000000"/>
                <w:sz w:val="18"/>
                <w:szCs w:val="18"/>
              </w:rPr>
              <w:t>11</w:t>
            </w:r>
          </w:p>
        </w:tc>
        <w:tc>
          <w:tcPr>
            <w:tcW w:w="992" w:type="dxa"/>
            <w:tcBorders>
              <w:top w:val="nil"/>
              <w:left w:val="nil"/>
              <w:bottom w:val="nil"/>
              <w:right w:val="nil"/>
            </w:tcBorders>
            <w:noWrap/>
            <w:vAlign w:val="center"/>
          </w:tcPr>
          <w:p w14:paraId="61F7F4D7" w14:textId="77777777" w:rsidR="00FD6F91" w:rsidRPr="00847FAE" w:rsidRDefault="00FD6F91" w:rsidP="00FD6F91">
            <w:pPr>
              <w:jc w:val="center"/>
              <w:rPr>
                <w:rFonts w:cs="Calibri"/>
                <w:color w:val="000000"/>
                <w:sz w:val="18"/>
                <w:szCs w:val="18"/>
              </w:rPr>
            </w:pPr>
            <w:r w:rsidRPr="00847FAE">
              <w:rPr>
                <w:rFonts w:cs="Calibri"/>
                <w:color w:val="000000"/>
                <w:sz w:val="18"/>
                <w:szCs w:val="18"/>
              </w:rPr>
              <w:t>23</w:t>
            </w:r>
          </w:p>
        </w:tc>
        <w:tc>
          <w:tcPr>
            <w:tcW w:w="992" w:type="dxa"/>
            <w:tcBorders>
              <w:top w:val="nil"/>
              <w:left w:val="nil"/>
              <w:bottom w:val="nil"/>
              <w:right w:val="nil"/>
            </w:tcBorders>
            <w:noWrap/>
            <w:vAlign w:val="center"/>
          </w:tcPr>
          <w:p w14:paraId="0078B4C0" w14:textId="77777777" w:rsidR="00FD6F91" w:rsidRPr="00847FAE" w:rsidRDefault="00FD6F91" w:rsidP="00FD6F91">
            <w:pPr>
              <w:jc w:val="center"/>
              <w:rPr>
                <w:rFonts w:cs="Calibri"/>
                <w:color w:val="000000"/>
                <w:sz w:val="18"/>
                <w:szCs w:val="18"/>
              </w:rPr>
            </w:pPr>
            <w:r w:rsidRPr="00847FAE">
              <w:rPr>
                <w:rFonts w:cs="Calibri"/>
                <w:color w:val="000000"/>
                <w:sz w:val="18"/>
                <w:szCs w:val="18"/>
              </w:rPr>
              <w:t>13</w:t>
            </w:r>
          </w:p>
        </w:tc>
        <w:tc>
          <w:tcPr>
            <w:tcW w:w="992" w:type="dxa"/>
            <w:tcBorders>
              <w:top w:val="nil"/>
              <w:left w:val="nil"/>
              <w:bottom w:val="nil"/>
              <w:right w:val="nil"/>
            </w:tcBorders>
            <w:noWrap/>
            <w:vAlign w:val="center"/>
          </w:tcPr>
          <w:p w14:paraId="31BAD8A8" w14:textId="77777777" w:rsidR="00FD6F91" w:rsidRPr="00847FAE" w:rsidRDefault="00FD6F91" w:rsidP="00FD6F91">
            <w:pPr>
              <w:jc w:val="center"/>
              <w:rPr>
                <w:rFonts w:cs="Calibri"/>
                <w:color w:val="000000"/>
                <w:sz w:val="18"/>
                <w:szCs w:val="18"/>
              </w:rPr>
            </w:pPr>
            <w:r w:rsidRPr="00847FAE">
              <w:rPr>
                <w:rFonts w:cs="Calibri"/>
                <w:color w:val="000000"/>
                <w:sz w:val="18"/>
                <w:szCs w:val="18"/>
              </w:rPr>
              <w:t>12</w:t>
            </w:r>
          </w:p>
        </w:tc>
        <w:tc>
          <w:tcPr>
            <w:tcW w:w="1135" w:type="dxa"/>
            <w:tcBorders>
              <w:top w:val="nil"/>
              <w:left w:val="nil"/>
              <w:bottom w:val="nil"/>
              <w:right w:val="nil"/>
            </w:tcBorders>
            <w:noWrap/>
            <w:vAlign w:val="center"/>
          </w:tcPr>
          <w:p w14:paraId="681673A1" w14:textId="77777777" w:rsidR="00FD6F91" w:rsidRPr="00847FAE" w:rsidRDefault="00FD6F91" w:rsidP="00FD6F91">
            <w:pPr>
              <w:jc w:val="center"/>
              <w:rPr>
                <w:rFonts w:cs="Calibri"/>
                <w:color w:val="000000"/>
                <w:sz w:val="18"/>
                <w:szCs w:val="18"/>
              </w:rPr>
            </w:pPr>
            <w:r w:rsidRPr="00847FAE">
              <w:rPr>
                <w:rFonts w:cs="Calibri"/>
                <w:color w:val="000000"/>
                <w:sz w:val="18"/>
                <w:szCs w:val="18"/>
              </w:rPr>
              <w:t>-7.7%</w:t>
            </w:r>
          </w:p>
        </w:tc>
      </w:tr>
      <w:tr w:rsidR="00FD6F91" w:rsidRPr="00847FAE" w14:paraId="54F23AF6" w14:textId="77777777" w:rsidTr="001F1F60">
        <w:trPr>
          <w:cantSplit/>
          <w:trHeight w:val="255"/>
        </w:trPr>
        <w:tc>
          <w:tcPr>
            <w:tcW w:w="3119" w:type="dxa"/>
            <w:gridSpan w:val="4"/>
            <w:tcBorders>
              <w:top w:val="nil"/>
              <w:left w:val="nil"/>
              <w:bottom w:val="nil"/>
              <w:right w:val="nil"/>
            </w:tcBorders>
            <w:noWrap/>
          </w:tcPr>
          <w:p w14:paraId="1300FD7A"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nil"/>
              <w:right w:val="nil"/>
            </w:tcBorders>
            <w:noWrap/>
            <w:vAlign w:val="center"/>
          </w:tcPr>
          <w:p w14:paraId="2808FDD3" w14:textId="77777777" w:rsidR="00FD6F91" w:rsidRPr="00847FAE" w:rsidRDefault="00FD6F91" w:rsidP="00FD6F91">
            <w:pPr>
              <w:jc w:val="center"/>
              <w:rPr>
                <w:rFonts w:cs="Calibri"/>
                <w:color w:val="000000"/>
                <w:sz w:val="18"/>
                <w:szCs w:val="18"/>
              </w:rPr>
            </w:pPr>
            <w:r w:rsidRPr="00847FAE">
              <w:rPr>
                <w:rFonts w:cs="Calibri"/>
                <w:color w:val="000000"/>
                <w:sz w:val="18"/>
                <w:szCs w:val="18"/>
              </w:rPr>
              <w:t>12</w:t>
            </w:r>
          </w:p>
        </w:tc>
        <w:tc>
          <w:tcPr>
            <w:tcW w:w="992" w:type="dxa"/>
            <w:tcBorders>
              <w:top w:val="nil"/>
              <w:left w:val="nil"/>
              <w:bottom w:val="nil"/>
              <w:right w:val="nil"/>
            </w:tcBorders>
            <w:noWrap/>
            <w:vAlign w:val="center"/>
          </w:tcPr>
          <w:p w14:paraId="7BFE4C95" w14:textId="77777777" w:rsidR="00FD6F91" w:rsidRPr="00847FAE" w:rsidRDefault="00FD6F91" w:rsidP="00FD6F91">
            <w:pPr>
              <w:jc w:val="center"/>
              <w:rPr>
                <w:rFonts w:cs="Calibri"/>
                <w:color w:val="000000"/>
                <w:sz w:val="18"/>
                <w:szCs w:val="18"/>
              </w:rPr>
            </w:pPr>
            <w:r w:rsidRPr="00847FAE">
              <w:rPr>
                <w:rFonts w:cs="Calibri"/>
                <w:color w:val="000000"/>
                <w:sz w:val="18"/>
                <w:szCs w:val="18"/>
              </w:rPr>
              <w:t>11</w:t>
            </w:r>
          </w:p>
        </w:tc>
        <w:tc>
          <w:tcPr>
            <w:tcW w:w="992" w:type="dxa"/>
            <w:tcBorders>
              <w:top w:val="nil"/>
              <w:left w:val="nil"/>
              <w:bottom w:val="nil"/>
              <w:right w:val="nil"/>
            </w:tcBorders>
            <w:noWrap/>
            <w:vAlign w:val="center"/>
          </w:tcPr>
          <w:p w14:paraId="65CCF486" w14:textId="77777777" w:rsidR="00FD6F91" w:rsidRPr="00847FAE" w:rsidRDefault="00FD6F91" w:rsidP="00FD6F91">
            <w:pPr>
              <w:jc w:val="center"/>
              <w:rPr>
                <w:rFonts w:cs="Calibri"/>
                <w:color w:val="000000"/>
                <w:sz w:val="18"/>
                <w:szCs w:val="18"/>
              </w:rPr>
            </w:pPr>
            <w:r w:rsidRPr="00847FAE">
              <w:rPr>
                <w:rFonts w:cs="Calibri"/>
                <w:color w:val="000000"/>
                <w:sz w:val="18"/>
                <w:szCs w:val="18"/>
              </w:rPr>
              <w:t>18</w:t>
            </w:r>
          </w:p>
        </w:tc>
        <w:tc>
          <w:tcPr>
            <w:tcW w:w="992" w:type="dxa"/>
            <w:tcBorders>
              <w:top w:val="nil"/>
              <w:left w:val="nil"/>
              <w:bottom w:val="nil"/>
              <w:right w:val="nil"/>
            </w:tcBorders>
            <w:noWrap/>
            <w:vAlign w:val="center"/>
          </w:tcPr>
          <w:p w14:paraId="02CDB763" w14:textId="77777777" w:rsidR="00FD6F91" w:rsidRPr="00847FAE" w:rsidRDefault="00FD6F91" w:rsidP="00FD6F91">
            <w:pPr>
              <w:jc w:val="center"/>
              <w:rPr>
                <w:rFonts w:cs="Calibri"/>
                <w:color w:val="000000"/>
                <w:sz w:val="18"/>
                <w:szCs w:val="18"/>
              </w:rPr>
            </w:pPr>
            <w:r w:rsidRPr="00847FAE">
              <w:rPr>
                <w:rFonts w:cs="Calibri"/>
                <w:color w:val="000000"/>
                <w:sz w:val="18"/>
                <w:szCs w:val="18"/>
              </w:rPr>
              <w:t>17</w:t>
            </w:r>
          </w:p>
        </w:tc>
        <w:tc>
          <w:tcPr>
            <w:tcW w:w="992" w:type="dxa"/>
            <w:tcBorders>
              <w:top w:val="nil"/>
              <w:left w:val="nil"/>
              <w:bottom w:val="nil"/>
              <w:right w:val="nil"/>
            </w:tcBorders>
            <w:noWrap/>
            <w:vAlign w:val="center"/>
          </w:tcPr>
          <w:p w14:paraId="29010A5D" w14:textId="77777777" w:rsidR="00FD6F91" w:rsidRPr="00847FAE" w:rsidRDefault="00FD6F91" w:rsidP="00FD6F91">
            <w:pPr>
              <w:jc w:val="center"/>
              <w:rPr>
                <w:rFonts w:cs="Calibri"/>
                <w:color w:val="000000"/>
                <w:sz w:val="18"/>
                <w:szCs w:val="18"/>
              </w:rPr>
            </w:pPr>
            <w:r w:rsidRPr="00847FAE">
              <w:rPr>
                <w:rFonts w:cs="Calibri"/>
                <w:color w:val="000000"/>
                <w:sz w:val="18"/>
                <w:szCs w:val="18"/>
              </w:rPr>
              <w:t>12</w:t>
            </w:r>
          </w:p>
        </w:tc>
        <w:tc>
          <w:tcPr>
            <w:tcW w:w="1135" w:type="dxa"/>
            <w:tcBorders>
              <w:top w:val="nil"/>
              <w:left w:val="nil"/>
              <w:bottom w:val="nil"/>
              <w:right w:val="nil"/>
            </w:tcBorders>
            <w:noWrap/>
            <w:vAlign w:val="center"/>
          </w:tcPr>
          <w:p w14:paraId="27F74A83" w14:textId="77777777" w:rsidR="00FD6F91" w:rsidRPr="00847FAE" w:rsidRDefault="00FD6F91" w:rsidP="00FD6F91">
            <w:pPr>
              <w:jc w:val="center"/>
              <w:rPr>
                <w:rFonts w:cs="Calibri"/>
                <w:color w:val="000000"/>
                <w:sz w:val="18"/>
                <w:szCs w:val="18"/>
              </w:rPr>
            </w:pPr>
            <w:r w:rsidRPr="00847FAE">
              <w:rPr>
                <w:rFonts w:cs="Calibri"/>
                <w:color w:val="000000"/>
                <w:sz w:val="18"/>
                <w:szCs w:val="18"/>
              </w:rPr>
              <w:t>-29.4%</w:t>
            </w:r>
          </w:p>
        </w:tc>
      </w:tr>
      <w:tr w:rsidR="00FD6F91" w:rsidRPr="00847FAE" w14:paraId="2803AE96" w14:textId="77777777" w:rsidTr="001F1F60">
        <w:trPr>
          <w:cantSplit/>
          <w:trHeight w:val="255"/>
        </w:trPr>
        <w:tc>
          <w:tcPr>
            <w:tcW w:w="3119" w:type="dxa"/>
            <w:gridSpan w:val="4"/>
            <w:tcBorders>
              <w:top w:val="nil"/>
              <w:left w:val="nil"/>
              <w:bottom w:val="nil"/>
              <w:right w:val="nil"/>
            </w:tcBorders>
            <w:shd w:val="clear" w:color="auto" w:fill="D9D9D9" w:themeFill="background1" w:themeFillShade="D9"/>
            <w:noWrap/>
          </w:tcPr>
          <w:p w14:paraId="6BCCD21F" w14:textId="77777777" w:rsidR="00FD6F91" w:rsidRPr="00847FAE" w:rsidRDefault="00FD6F91" w:rsidP="00FD6F91">
            <w:pPr>
              <w:widowControl w:val="0"/>
              <w:rPr>
                <w:rFonts w:cs="Calibri"/>
                <w:bCs/>
                <w:iCs/>
                <w:color w:val="000000"/>
                <w:sz w:val="18"/>
                <w:szCs w:val="18"/>
              </w:rPr>
            </w:pPr>
            <w:r w:rsidRPr="00847FAE">
              <w:rPr>
                <w:rFonts w:cs="Calibri"/>
                <w:bCs/>
                <w:iCs/>
                <w:color w:val="000000"/>
                <w:sz w:val="18"/>
                <w:szCs w:val="18"/>
              </w:rPr>
              <w:t>Other breaches</w:t>
            </w:r>
          </w:p>
        </w:tc>
        <w:tc>
          <w:tcPr>
            <w:tcW w:w="992" w:type="dxa"/>
            <w:tcBorders>
              <w:top w:val="nil"/>
              <w:left w:val="nil"/>
              <w:bottom w:val="nil"/>
              <w:right w:val="nil"/>
            </w:tcBorders>
            <w:shd w:val="clear" w:color="auto" w:fill="D9D9D9" w:themeFill="background1" w:themeFillShade="D9"/>
            <w:noWrap/>
            <w:vAlign w:val="center"/>
          </w:tcPr>
          <w:p w14:paraId="2BA5D88A"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1470E18E"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989B9A3"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43A36CC5" w14:textId="77777777" w:rsidR="00FD6F91" w:rsidRPr="00847FAE" w:rsidRDefault="00FD6F91" w:rsidP="00FD6F91">
            <w:pPr>
              <w:keepNext/>
              <w:jc w:val="right"/>
              <w:rPr>
                <w:rFonts w:cs="Calibri"/>
                <w:iCs/>
                <w:color w:val="000000"/>
                <w:sz w:val="18"/>
                <w:szCs w:val="18"/>
              </w:rPr>
            </w:pPr>
          </w:p>
        </w:tc>
        <w:tc>
          <w:tcPr>
            <w:tcW w:w="992" w:type="dxa"/>
            <w:tcBorders>
              <w:top w:val="nil"/>
              <w:left w:val="nil"/>
              <w:bottom w:val="nil"/>
              <w:right w:val="nil"/>
            </w:tcBorders>
            <w:shd w:val="clear" w:color="auto" w:fill="D9D9D9" w:themeFill="background1" w:themeFillShade="D9"/>
            <w:noWrap/>
            <w:vAlign w:val="center"/>
          </w:tcPr>
          <w:p w14:paraId="6F909123" w14:textId="77777777" w:rsidR="00FD6F91" w:rsidRPr="00847FAE" w:rsidRDefault="00FD6F91" w:rsidP="00FD6F91">
            <w:pPr>
              <w:keepNext/>
              <w:jc w:val="right"/>
              <w:rPr>
                <w:rFonts w:cs="Calibri"/>
                <w:iCs/>
                <w:color w:val="000000"/>
                <w:sz w:val="18"/>
                <w:szCs w:val="18"/>
              </w:rPr>
            </w:pPr>
          </w:p>
        </w:tc>
        <w:tc>
          <w:tcPr>
            <w:tcW w:w="1135" w:type="dxa"/>
            <w:tcBorders>
              <w:top w:val="nil"/>
              <w:left w:val="nil"/>
              <w:bottom w:val="nil"/>
              <w:right w:val="nil"/>
            </w:tcBorders>
            <w:shd w:val="clear" w:color="auto" w:fill="D9D9D9" w:themeFill="background1" w:themeFillShade="D9"/>
            <w:noWrap/>
            <w:vAlign w:val="center"/>
          </w:tcPr>
          <w:p w14:paraId="181CE82C" w14:textId="77777777" w:rsidR="00FD6F91" w:rsidRPr="00847FAE" w:rsidRDefault="00FD6F91" w:rsidP="00FD6F91">
            <w:pPr>
              <w:keepNext/>
              <w:jc w:val="center"/>
              <w:rPr>
                <w:rFonts w:cs="Calibri"/>
                <w:iCs/>
                <w:color w:val="000000"/>
                <w:sz w:val="18"/>
                <w:szCs w:val="18"/>
              </w:rPr>
            </w:pPr>
          </w:p>
        </w:tc>
      </w:tr>
      <w:tr w:rsidR="00FD6F91" w:rsidRPr="00847FAE" w14:paraId="1E190474" w14:textId="77777777" w:rsidTr="001F1F60">
        <w:trPr>
          <w:cantSplit/>
          <w:trHeight w:val="255"/>
        </w:trPr>
        <w:tc>
          <w:tcPr>
            <w:tcW w:w="3119" w:type="dxa"/>
            <w:gridSpan w:val="4"/>
            <w:tcBorders>
              <w:top w:val="nil"/>
              <w:left w:val="nil"/>
              <w:bottom w:val="nil"/>
              <w:right w:val="nil"/>
            </w:tcBorders>
            <w:noWrap/>
          </w:tcPr>
          <w:p w14:paraId="304D78B9"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lastRenderedPageBreak/>
              <w:t xml:space="preserve">   Lodgements</w:t>
            </w:r>
          </w:p>
        </w:tc>
        <w:tc>
          <w:tcPr>
            <w:tcW w:w="992" w:type="dxa"/>
            <w:tcBorders>
              <w:top w:val="nil"/>
              <w:left w:val="nil"/>
              <w:bottom w:val="nil"/>
              <w:right w:val="nil"/>
            </w:tcBorders>
            <w:noWrap/>
            <w:vAlign w:val="center"/>
          </w:tcPr>
          <w:p w14:paraId="271D2EF2" w14:textId="77777777" w:rsidR="00FD6F91" w:rsidRPr="00847FAE" w:rsidRDefault="00FD6F91" w:rsidP="00FD6F91">
            <w:pPr>
              <w:jc w:val="center"/>
              <w:rPr>
                <w:rFonts w:cs="Calibri"/>
                <w:color w:val="000000"/>
                <w:sz w:val="18"/>
                <w:szCs w:val="18"/>
              </w:rPr>
            </w:pPr>
            <w:r w:rsidRPr="00847FAE">
              <w:rPr>
                <w:rFonts w:cs="Calibri"/>
                <w:color w:val="000000"/>
                <w:sz w:val="18"/>
                <w:szCs w:val="18"/>
              </w:rPr>
              <w:t>7</w:t>
            </w:r>
          </w:p>
        </w:tc>
        <w:tc>
          <w:tcPr>
            <w:tcW w:w="992" w:type="dxa"/>
            <w:tcBorders>
              <w:top w:val="nil"/>
              <w:left w:val="nil"/>
              <w:bottom w:val="nil"/>
              <w:right w:val="nil"/>
            </w:tcBorders>
            <w:noWrap/>
            <w:vAlign w:val="center"/>
          </w:tcPr>
          <w:p w14:paraId="259EB64F" w14:textId="77777777" w:rsidR="00FD6F91" w:rsidRPr="00847FAE" w:rsidRDefault="00FD6F91" w:rsidP="00FD6F91">
            <w:pPr>
              <w:jc w:val="center"/>
              <w:rPr>
                <w:rFonts w:cs="Calibri"/>
                <w:color w:val="000000"/>
                <w:sz w:val="18"/>
                <w:szCs w:val="18"/>
              </w:rPr>
            </w:pPr>
            <w:r w:rsidRPr="00847FAE">
              <w:rPr>
                <w:rFonts w:cs="Calibri"/>
                <w:color w:val="000000"/>
                <w:sz w:val="18"/>
                <w:szCs w:val="18"/>
              </w:rPr>
              <w:t>10</w:t>
            </w:r>
          </w:p>
        </w:tc>
        <w:tc>
          <w:tcPr>
            <w:tcW w:w="992" w:type="dxa"/>
            <w:tcBorders>
              <w:top w:val="nil"/>
              <w:left w:val="nil"/>
              <w:bottom w:val="nil"/>
              <w:right w:val="nil"/>
            </w:tcBorders>
            <w:noWrap/>
            <w:vAlign w:val="center"/>
          </w:tcPr>
          <w:p w14:paraId="54C4B79C" w14:textId="77777777" w:rsidR="00FD6F91" w:rsidRPr="00847FAE" w:rsidRDefault="00FD6F91" w:rsidP="00FD6F91">
            <w:pPr>
              <w:jc w:val="center"/>
              <w:rPr>
                <w:rFonts w:cs="Calibri"/>
                <w:color w:val="000000"/>
                <w:sz w:val="18"/>
                <w:szCs w:val="18"/>
              </w:rPr>
            </w:pPr>
            <w:r w:rsidRPr="00847FAE">
              <w:rPr>
                <w:rFonts w:cs="Calibri"/>
                <w:color w:val="000000"/>
                <w:sz w:val="18"/>
                <w:szCs w:val="18"/>
              </w:rPr>
              <w:t>25</w:t>
            </w:r>
          </w:p>
        </w:tc>
        <w:tc>
          <w:tcPr>
            <w:tcW w:w="992" w:type="dxa"/>
            <w:tcBorders>
              <w:top w:val="nil"/>
              <w:left w:val="nil"/>
              <w:bottom w:val="nil"/>
              <w:right w:val="nil"/>
            </w:tcBorders>
            <w:noWrap/>
            <w:vAlign w:val="center"/>
          </w:tcPr>
          <w:p w14:paraId="19C4BD62" w14:textId="77777777" w:rsidR="00FD6F91" w:rsidRPr="00847FAE" w:rsidRDefault="00FD6F91" w:rsidP="00FD6F91">
            <w:pPr>
              <w:jc w:val="center"/>
              <w:rPr>
                <w:rFonts w:cs="Calibri"/>
                <w:color w:val="000000"/>
                <w:sz w:val="18"/>
                <w:szCs w:val="18"/>
              </w:rPr>
            </w:pPr>
            <w:r w:rsidRPr="00847FAE">
              <w:rPr>
                <w:rFonts w:cs="Calibri"/>
                <w:color w:val="000000"/>
                <w:sz w:val="18"/>
                <w:szCs w:val="18"/>
              </w:rPr>
              <w:t>39</w:t>
            </w:r>
          </w:p>
        </w:tc>
        <w:tc>
          <w:tcPr>
            <w:tcW w:w="992" w:type="dxa"/>
            <w:tcBorders>
              <w:top w:val="nil"/>
              <w:left w:val="nil"/>
              <w:bottom w:val="nil"/>
              <w:right w:val="nil"/>
            </w:tcBorders>
            <w:noWrap/>
            <w:vAlign w:val="center"/>
          </w:tcPr>
          <w:p w14:paraId="2BA206AF" w14:textId="77777777" w:rsidR="00FD6F91" w:rsidRPr="00847FAE" w:rsidRDefault="00FD6F91" w:rsidP="00FD6F91">
            <w:pPr>
              <w:jc w:val="center"/>
              <w:rPr>
                <w:rFonts w:cs="Calibri"/>
                <w:color w:val="000000"/>
                <w:sz w:val="18"/>
                <w:szCs w:val="18"/>
              </w:rPr>
            </w:pPr>
            <w:r w:rsidRPr="00847FAE">
              <w:rPr>
                <w:rFonts w:cs="Calibri"/>
                <w:color w:val="000000"/>
                <w:sz w:val="18"/>
                <w:szCs w:val="18"/>
              </w:rPr>
              <w:t>13</w:t>
            </w:r>
          </w:p>
        </w:tc>
        <w:tc>
          <w:tcPr>
            <w:tcW w:w="1135" w:type="dxa"/>
            <w:tcBorders>
              <w:top w:val="nil"/>
              <w:left w:val="nil"/>
              <w:bottom w:val="nil"/>
              <w:right w:val="nil"/>
            </w:tcBorders>
            <w:noWrap/>
            <w:vAlign w:val="center"/>
          </w:tcPr>
          <w:p w14:paraId="01E73641" w14:textId="77777777" w:rsidR="00FD6F91" w:rsidRPr="00847FAE" w:rsidRDefault="00FD6F91" w:rsidP="00FD6F91">
            <w:pPr>
              <w:jc w:val="center"/>
              <w:rPr>
                <w:rFonts w:cs="Calibri"/>
                <w:color w:val="000000"/>
                <w:sz w:val="18"/>
                <w:szCs w:val="18"/>
              </w:rPr>
            </w:pPr>
            <w:r w:rsidRPr="00847FAE">
              <w:rPr>
                <w:rFonts w:cs="Calibri"/>
                <w:color w:val="000000"/>
                <w:sz w:val="18"/>
                <w:szCs w:val="18"/>
              </w:rPr>
              <w:t>-66.7%</w:t>
            </w:r>
          </w:p>
        </w:tc>
      </w:tr>
      <w:tr w:rsidR="00FD6F91" w:rsidRPr="00847FAE" w14:paraId="6FF3A40B" w14:textId="77777777" w:rsidTr="001F1F60">
        <w:trPr>
          <w:cantSplit/>
          <w:trHeight w:val="255"/>
        </w:trPr>
        <w:tc>
          <w:tcPr>
            <w:tcW w:w="3119" w:type="dxa"/>
            <w:gridSpan w:val="4"/>
            <w:tcBorders>
              <w:top w:val="nil"/>
              <w:left w:val="nil"/>
              <w:bottom w:val="single" w:sz="4" w:space="0" w:color="auto"/>
              <w:right w:val="nil"/>
            </w:tcBorders>
            <w:noWrap/>
          </w:tcPr>
          <w:p w14:paraId="40CC8965" w14:textId="77777777" w:rsidR="00FD6F91" w:rsidRPr="00847FAE" w:rsidRDefault="00FD6F91" w:rsidP="00FD6F91">
            <w:pPr>
              <w:keepNext/>
              <w:widowControl w:val="0"/>
              <w:rPr>
                <w:rFonts w:cs="Calibri"/>
                <w:iCs/>
                <w:color w:val="000000"/>
                <w:sz w:val="18"/>
                <w:szCs w:val="18"/>
              </w:rPr>
            </w:pPr>
            <w:r w:rsidRPr="00847FAE">
              <w:rPr>
                <w:rFonts w:cs="Calibri"/>
                <w:iCs/>
                <w:color w:val="000000"/>
                <w:sz w:val="18"/>
                <w:szCs w:val="18"/>
              </w:rPr>
              <w:t xml:space="preserve">   Finalisations</w:t>
            </w:r>
          </w:p>
        </w:tc>
        <w:tc>
          <w:tcPr>
            <w:tcW w:w="992" w:type="dxa"/>
            <w:tcBorders>
              <w:top w:val="nil"/>
              <w:left w:val="nil"/>
              <w:bottom w:val="single" w:sz="4" w:space="0" w:color="auto"/>
              <w:right w:val="nil"/>
            </w:tcBorders>
            <w:noWrap/>
            <w:vAlign w:val="center"/>
          </w:tcPr>
          <w:p w14:paraId="01BFBB77" w14:textId="77777777" w:rsidR="00FD6F91" w:rsidRPr="00847FAE" w:rsidRDefault="00FD6F91" w:rsidP="00FD6F91">
            <w:pPr>
              <w:jc w:val="center"/>
              <w:rPr>
                <w:rFonts w:cs="Calibri"/>
                <w:color w:val="000000"/>
                <w:sz w:val="18"/>
                <w:szCs w:val="18"/>
              </w:rPr>
            </w:pPr>
            <w:r w:rsidRPr="00847FAE">
              <w:rPr>
                <w:rFonts w:cs="Calibri"/>
                <w:color w:val="000000"/>
                <w:sz w:val="18"/>
                <w:szCs w:val="18"/>
              </w:rPr>
              <w:t>12</w:t>
            </w:r>
          </w:p>
        </w:tc>
        <w:tc>
          <w:tcPr>
            <w:tcW w:w="992" w:type="dxa"/>
            <w:tcBorders>
              <w:top w:val="nil"/>
              <w:left w:val="nil"/>
              <w:bottom w:val="single" w:sz="4" w:space="0" w:color="auto"/>
              <w:right w:val="nil"/>
            </w:tcBorders>
            <w:noWrap/>
            <w:vAlign w:val="center"/>
          </w:tcPr>
          <w:p w14:paraId="33877A8E"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992" w:type="dxa"/>
            <w:tcBorders>
              <w:top w:val="nil"/>
              <w:left w:val="nil"/>
              <w:bottom w:val="single" w:sz="4" w:space="0" w:color="auto"/>
              <w:right w:val="nil"/>
            </w:tcBorders>
            <w:noWrap/>
            <w:vAlign w:val="center"/>
          </w:tcPr>
          <w:p w14:paraId="6F756783" w14:textId="77777777" w:rsidR="00FD6F91" w:rsidRPr="00847FAE" w:rsidRDefault="00FD6F91" w:rsidP="00FD6F91">
            <w:pPr>
              <w:jc w:val="center"/>
              <w:rPr>
                <w:rFonts w:cs="Calibri"/>
                <w:color w:val="000000"/>
                <w:sz w:val="18"/>
                <w:szCs w:val="18"/>
              </w:rPr>
            </w:pPr>
            <w:r w:rsidRPr="00847FAE">
              <w:rPr>
                <w:rFonts w:cs="Calibri"/>
                <w:color w:val="000000"/>
                <w:sz w:val="18"/>
                <w:szCs w:val="18"/>
              </w:rPr>
              <w:t>20</w:t>
            </w:r>
          </w:p>
        </w:tc>
        <w:tc>
          <w:tcPr>
            <w:tcW w:w="992" w:type="dxa"/>
            <w:tcBorders>
              <w:top w:val="nil"/>
              <w:left w:val="nil"/>
              <w:bottom w:val="single" w:sz="4" w:space="0" w:color="auto"/>
              <w:right w:val="nil"/>
            </w:tcBorders>
            <w:noWrap/>
            <w:vAlign w:val="center"/>
          </w:tcPr>
          <w:p w14:paraId="0610F9D7" w14:textId="77777777" w:rsidR="00FD6F91" w:rsidRPr="00847FAE" w:rsidRDefault="00FD6F91" w:rsidP="00FD6F91">
            <w:pPr>
              <w:jc w:val="center"/>
              <w:rPr>
                <w:rFonts w:cs="Calibri"/>
                <w:color w:val="000000"/>
                <w:sz w:val="18"/>
                <w:szCs w:val="18"/>
              </w:rPr>
            </w:pPr>
            <w:r w:rsidRPr="00847FAE">
              <w:rPr>
                <w:rFonts w:cs="Calibri"/>
                <w:color w:val="000000"/>
                <w:sz w:val="18"/>
                <w:szCs w:val="18"/>
              </w:rPr>
              <w:t>38</w:t>
            </w:r>
          </w:p>
        </w:tc>
        <w:tc>
          <w:tcPr>
            <w:tcW w:w="992" w:type="dxa"/>
            <w:tcBorders>
              <w:top w:val="nil"/>
              <w:left w:val="nil"/>
              <w:bottom w:val="single" w:sz="4" w:space="0" w:color="auto"/>
              <w:right w:val="nil"/>
            </w:tcBorders>
            <w:noWrap/>
            <w:vAlign w:val="center"/>
          </w:tcPr>
          <w:p w14:paraId="544D5A49" w14:textId="77777777" w:rsidR="00FD6F91" w:rsidRPr="00847FAE" w:rsidRDefault="00FD6F91" w:rsidP="00FD6F91">
            <w:pPr>
              <w:jc w:val="center"/>
              <w:rPr>
                <w:rFonts w:cs="Calibri"/>
                <w:color w:val="000000"/>
                <w:sz w:val="18"/>
                <w:szCs w:val="18"/>
              </w:rPr>
            </w:pPr>
            <w:r w:rsidRPr="00847FAE">
              <w:rPr>
                <w:rFonts w:cs="Calibri"/>
                <w:color w:val="000000"/>
                <w:sz w:val="18"/>
                <w:szCs w:val="18"/>
              </w:rPr>
              <w:t>14</w:t>
            </w:r>
          </w:p>
        </w:tc>
        <w:tc>
          <w:tcPr>
            <w:tcW w:w="1135" w:type="dxa"/>
            <w:tcBorders>
              <w:top w:val="nil"/>
              <w:left w:val="nil"/>
              <w:bottom w:val="single" w:sz="4" w:space="0" w:color="auto"/>
              <w:right w:val="nil"/>
            </w:tcBorders>
            <w:noWrap/>
            <w:vAlign w:val="center"/>
          </w:tcPr>
          <w:p w14:paraId="368D90AA" w14:textId="77777777" w:rsidR="00FD6F91" w:rsidRPr="00847FAE" w:rsidRDefault="00FD6F91" w:rsidP="00FD6F91">
            <w:pPr>
              <w:jc w:val="center"/>
              <w:rPr>
                <w:rFonts w:cs="Calibri"/>
                <w:color w:val="000000"/>
                <w:sz w:val="18"/>
                <w:szCs w:val="18"/>
              </w:rPr>
            </w:pPr>
            <w:r w:rsidRPr="00847FAE">
              <w:rPr>
                <w:rFonts w:cs="Calibri"/>
                <w:color w:val="000000"/>
                <w:sz w:val="18"/>
                <w:szCs w:val="18"/>
              </w:rPr>
              <w:t>-63.2%</w:t>
            </w:r>
          </w:p>
        </w:tc>
      </w:tr>
      <w:tr w:rsidR="00FD6F91" w:rsidRPr="00847FAE" w14:paraId="74A3D6E1" w14:textId="77777777" w:rsidTr="001F1F60">
        <w:trPr>
          <w:cantSplit/>
          <w:trHeight w:val="20"/>
        </w:trPr>
        <w:tc>
          <w:tcPr>
            <w:tcW w:w="9214" w:type="dxa"/>
            <w:gridSpan w:val="10"/>
            <w:tcBorders>
              <w:top w:val="single" w:sz="4" w:space="0" w:color="auto"/>
              <w:left w:val="nil"/>
              <w:bottom w:val="nil"/>
              <w:right w:val="nil"/>
            </w:tcBorders>
            <w:noWrap/>
            <w:vAlign w:val="center"/>
          </w:tcPr>
          <w:p w14:paraId="70E9357A" w14:textId="77777777" w:rsidR="00FD6F91" w:rsidRPr="00847FAE" w:rsidRDefault="00FD6F91" w:rsidP="00FD6F91">
            <w:pPr>
              <w:keepNext/>
              <w:rPr>
                <w:rFonts w:cs="Calibri"/>
                <w:iCs/>
                <w:color w:val="000000"/>
                <w:sz w:val="15"/>
                <w:szCs w:val="15"/>
              </w:rPr>
            </w:pPr>
            <w:r w:rsidRPr="00847FAE">
              <w:rPr>
                <w:rFonts w:cs="Calibri"/>
                <w:b/>
                <w:iCs/>
                <w:color w:val="000000"/>
                <w:sz w:val="18"/>
                <w:szCs w:val="18"/>
                <w:vertAlign w:val="superscript"/>
              </w:rPr>
              <w:t xml:space="preserve">1 </w:t>
            </w:r>
            <w:r w:rsidRPr="00847FAE">
              <w:rPr>
                <w:rFonts w:cs="Calibri"/>
                <w:iCs/>
                <w:color w:val="000000"/>
                <w:sz w:val="18"/>
                <w:szCs w:val="18"/>
              </w:rPr>
              <w:t>‘</w:t>
            </w:r>
            <w:r w:rsidRPr="00847FAE">
              <w:rPr>
                <w:rFonts w:cs="Calibri"/>
                <w:iCs/>
                <w:color w:val="000000"/>
                <w:sz w:val="15"/>
                <w:szCs w:val="15"/>
              </w:rPr>
              <w:t xml:space="preserve">Supervision orders’ include probation and parole orders. </w:t>
            </w:r>
          </w:p>
          <w:p w14:paraId="3DB57059" w14:textId="77777777" w:rsidR="00FD6F91" w:rsidRPr="00847FAE" w:rsidRDefault="00FD6F91" w:rsidP="00FD6F91">
            <w:pPr>
              <w:keepNext/>
              <w:rPr>
                <w:rFonts w:cs="Calibri"/>
                <w:iCs/>
                <w:color w:val="000000"/>
                <w:sz w:val="18"/>
                <w:szCs w:val="18"/>
              </w:rPr>
            </w:pPr>
            <w:r w:rsidRPr="00847FAE">
              <w:rPr>
                <w:rFonts w:cs="Calibri"/>
                <w:i/>
                <w:color w:val="000000"/>
                <w:sz w:val="15"/>
                <w:szCs w:val="15"/>
              </w:rPr>
              <w:t>Source: CRIMESStats database</w:t>
            </w:r>
          </w:p>
        </w:tc>
      </w:tr>
    </w:tbl>
    <w:p w14:paraId="4C7759B1" w14:textId="77777777" w:rsidR="00FD6F91" w:rsidRPr="00847FAE" w:rsidRDefault="00FD6F91" w:rsidP="00FD6F91">
      <w:pPr>
        <w:rPr>
          <w:rFonts w:eastAsiaTheme="minorHAnsi"/>
          <w:lang w:eastAsia="en-US"/>
        </w:rPr>
      </w:pPr>
    </w:p>
    <w:p w14:paraId="7A8483AD" w14:textId="77777777" w:rsidR="0035730E" w:rsidRPr="00847FAE" w:rsidRDefault="0035730E">
      <w:pPr>
        <w:rPr>
          <w:rFonts w:eastAsiaTheme="minorHAnsi"/>
          <w:lang w:eastAsia="en-US"/>
        </w:rPr>
      </w:pPr>
      <w:r w:rsidRPr="00847FAE">
        <w:rPr>
          <w:rFonts w:eastAsiaTheme="minorHAnsi"/>
          <w:lang w:eastAsia="en-US"/>
        </w:rPr>
        <w:br w:type="page"/>
      </w:r>
    </w:p>
    <w:p w14:paraId="168B0E1D" w14:textId="35422A92" w:rsidR="005F6773" w:rsidRPr="00847FAE" w:rsidRDefault="005F6773" w:rsidP="005F6773">
      <w:pPr>
        <w:pStyle w:val="Heading3"/>
      </w:pPr>
      <w:bookmarkStart w:id="382" w:name="_Toc1041189"/>
      <w:r w:rsidRPr="00847FAE">
        <w:lastRenderedPageBreak/>
        <w:t>Coronial Division</w:t>
      </w:r>
      <w:bookmarkEnd w:id="382"/>
    </w:p>
    <w:p w14:paraId="6FA9284D" w14:textId="6ECED522" w:rsidR="005F6773" w:rsidRPr="00F70E6C" w:rsidRDefault="005F6773" w:rsidP="00F70E6C">
      <w:pPr>
        <w:keepNext/>
        <w:keepLines/>
        <w:spacing w:before="40"/>
        <w:outlineLvl w:val="2"/>
        <w:rPr>
          <w:rFonts w:eastAsiaTheme="majorEastAsia" w:cstheme="majorBidi"/>
          <w:lang w:eastAsia="en-US"/>
        </w:rPr>
      </w:pPr>
      <w:bookmarkStart w:id="383" w:name="_Toc1041190"/>
      <w:r w:rsidRPr="00F70E6C">
        <w:rPr>
          <w:rFonts w:eastAsiaTheme="majorEastAsia" w:cstheme="majorBidi"/>
          <w:lang w:eastAsia="en-US"/>
        </w:rPr>
        <w:t>Ta</w:t>
      </w:r>
      <w:r w:rsidR="00A64135" w:rsidRPr="00F70E6C">
        <w:rPr>
          <w:rFonts w:eastAsiaTheme="majorEastAsia" w:cstheme="majorBidi"/>
          <w:lang w:eastAsia="en-US"/>
        </w:rPr>
        <w:t>ble 1</w:t>
      </w:r>
      <w:r w:rsidR="000D3B2B" w:rsidRPr="00F70E6C">
        <w:rPr>
          <w:rFonts w:eastAsiaTheme="majorEastAsia" w:cstheme="majorBidi"/>
          <w:lang w:eastAsia="en-US"/>
        </w:rPr>
        <w:t xml:space="preserve">1: </w:t>
      </w:r>
      <w:r w:rsidRPr="00F70E6C">
        <w:rPr>
          <w:rFonts w:eastAsiaTheme="majorEastAsia" w:cstheme="majorBidi"/>
          <w:lang w:eastAsia="en-US"/>
        </w:rPr>
        <w:t>Coronial – Summary of coronial activity 2013</w:t>
      </w:r>
      <w:r w:rsidR="0037416A" w:rsidRPr="00F70E6C">
        <w:rPr>
          <w:rFonts w:eastAsiaTheme="majorEastAsia" w:cstheme="majorBidi"/>
          <w:lang w:eastAsia="en-US"/>
        </w:rPr>
        <w:t>-4 to 2017-</w:t>
      </w:r>
      <w:r w:rsidRPr="00F70E6C">
        <w:rPr>
          <w:rFonts w:eastAsiaTheme="majorEastAsia" w:cstheme="majorBidi"/>
          <w:lang w:eastAsia="en-US"/>
        </w:rPr>
        <w:t>2018</w:t>
      </w:r>
      <w:bookmarkEnd w:id="383"/>
      <w:r w:rsidRPr="00F70E6C">
        <w:rPr>
          <w:rFonts w:eastAsiaTheme="majorEastAsia" w:cstheme="majorBidi"/>
          <w:lang w:eastAsia="en-US"/>
        </w:rPr>
        <w:t xml:space="preserve"> </w:t>
      </w:r>
    </w:p>
    <w:tbl>
      <w:tblPr>
        <w:tblStyle w:val="TableGrid1"/>
        <w:tblW w:w="7797" w:type="dxa"/>
        <w:tblLayout w:type="fixed"/>
        <w:tblCellMar>
          <w:top w:w="11" w:type="dxa"/>
          <w:bottom w:w="11" w:type="dxa"/>
        </w:tblCellMar>
        <w:tblLook w:val="04A0" w:firstRow="1" w:lastRow="0" w:firstColumn="1" w:lastColumn="0" w:noHBand="0" w:noVBand="1"/>
        <w:tblCaption w:val="Table11CoronialSummaryofcoronialactivity"/>
        <w:tblDescription w:val="Tabledescribingcoronialsummaryofcoronialactivity2013_14to2017_18"/>
      </w:tblPr>
      <w:tblGrid>
        <w:gridCol w:w="326"/>
        <w:gridCol w:w="977"/>
        <w:gridCol w:w="824"/>
        <w:gridCol w:w="1275"/>
        <w:gridCol w:w="879"/>
        <w:gridCol w:w="879"/>
        <w:gridCol w:w="879"/>
        <w:gridCol w:w="879"/>
        <w:gridCol w:w="879"/>
      </w:tblGrid>
      <w:tr w:rsidR="0037416A" w:rsidRPr="00847FAE" w14:paraId="48C92574"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54EB110E"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58FA1B21"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0DEFA10D"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1275" w:type="dxa"/>
            <w:tcBorders>
              <w:top w:val="single" w:sz="4" w:space="0" w:color="auto"/>
              <w:left w:val="nil"/>
              <w:bottom w:val="single" w:sz="4" w:space="0" w:color="auto"/>
              <w:right w:val="nil"/>
            </w:tcBorders>
            <w:noWrap/>
            <w:hideMark/>
          </w:tcPr>
          <w:p w14:paraId="3D021DF4"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bottom"/>
            <w:hideMark/>
          </w:tcPr>
          <w:p w14:paraId="1543F641" w14:textId="77777777" w:rsidR="0037416A" w:rsidRPr="00847FAE" w:rsidRDefault="0037416A" w:rsidP="004B6F5F">
            <w:pPr>
              <w:widowControl w:val="0"/>
              <w:jc w:val="right"/>
              <w:rPr>
                <w:rFonts w:cs="Calibri"/>
                <w:bCs/>
                <w:color w:val="000000"/>
                <w:sz w:val="18"/>
                <w:szCs w:val="18"/>
                <w:vertAlign w:val="superscript"/>
              </w:rPr>
            </w:pPr>
            <w:r w:rsidRPr="00847FAE">
              <w:rPr>
                <w:rFonts w:cs="Calibri"/>
                <w:bCs/>
                <w:color w:val="000000"/>
                <w:sz w:val="18"/>
                <w:szCs w:val="18"/>
              </w:rPr>
              <w:t>2013-14</w:t>
            </w:r>
          </w:p>
        </w:tc>
        <w:tc>
          <w:tcPr>
            <w:tcW w:w="879" w:type="dxa"/>
            <w:tcBorders>
              <w:top w:val="single" w:sz="4" w:space="0" w:color="auto"/>
              <w:left w:val="nil"/>
              <w:bottom w:val="single" w:sz="4" w:space="0" w:color="auto"/>
              <w:right w:val="nil"/>
            </w:tcBorders>
            <w:noWrap/>
            <w:vAlign w:val="bottom"/>
            <w:hideMark/>
          </w:tcPr>
          <w:p w14:paraId="6B4AE291" w14:textId="77777777" w:rsidR="0037416A" w:rsidRPr="00847FAE" w:rsidRDefault="0037416A" w:rsidP="004B6F5F">
            <w:pPr>
              <w:widowControl w:val="0"/>
              <w:jc w:val="right"/>
              <w:rPr>
                <w:rFonts w:cs="Calibri"/>
                <w:bCs/>
                <w:color w:val="000000"/>
                <w:sz w:val="18"/>
                <w:szCs w:val="18"/>
              </w:rPr>
            </w:pPr>
            <w:r w:rsidRPr="00847FAE">
              <w:rPr>
                <w:rFonts w:cs="Calibri"/>
                <w:bCs/>
                <w:color w:val="000000"/>
                <w:sz w:val="18"/>
                <w:szCs w:val="18"/>
              </w:rPr>
              <w:t>2014-15</w:t>
            </w:r>
          </w:p>
        </w:tc>
        <w:tc>
          <w:tcPr>
            <w:tcW w:w="879" w:type="dxa"/>
            <w:tcBorders>
              <w:top w:val="single" w:sz="4" w:space="0" w:color="auto"/>
              <w:left w:val="nil"/>
              <w:bottom w:val="single" w:sz="4" w:space="0" w:color="auto"/>
              <w:right w:val="nil"/>
            </w:tcBorders>
            <w:noWrap/>
            <w:vAlign w:val="bottom"/>
            <w:hideMark/>
          </w:tcPr>
          <w:p w14:paraId="32E2D567" w14:textId="77777777" w:rsidR="0037416A" w:rsidRPr="00847FAE" w:rsidRDefault="0037416A" w:rsidP="004B6F5F">
            <w:pPr>
              <w:widowControl w:val="0"/>
              <w:jc w:val="right"/>
              <w:rPr>
                <w:rFonts w:cs="Calibri"/>
                <w:bCs/>
                <w:color w:val="000000"/>
                <w:sz w:val="18"/>
                <w:szCs w:val="18"/>
              </w:rPr>
            </w:pPr>
            <w:r w:rsidRPr="00847FAE">
              <w:rPr>
                <w:rFonts w:cs="Calibri"/>
                <w:bCs/>
                <w:color w:val="000000"/>
                <w:sz w:val="18"/>
                <w:szCs w:val="18"/>
              </w:rPr>
              <w:t>2015-16</w:t>
            </w:r>
          </w:p>
        </w:tc>
        <w:tc>
          <w:tcPr>
            <w:tcW w:w="879" w:type="dxa"/>
            <w:tcBorders>
              <w:top w:val="single" w:sz="4" w:space="0" w:color="auto"/>
              <w:left w:val="nil"/>
              <w:bottom w:val="single" w:sz="4" w:space="0" w:color="auto"/>
              <w:right w:val="nil"/>
            </w:tcBorders>
            <w:noWrap/>
            <w:vAlign w:val="bottom"/>
            <w:hideMark/>
          </w:tcPr>
          <w:p w14:paraId="4321ACA8" w14:textId="77777777" w:rsidR="0037416A" w:rsidRPr="00847FAE" w:rsidRDefault="0037416A" w:rsidP="004B6F5F">
            <w:pPr>
              <w:widowControl w:val="0"/>
              <w:jc w:val="right"/>
              <w:rPr>
                <w:rFonts w:cs="Calibri"/>
                <w:bCs/>
                <w:color w:val="000000"/>
                <w:sz w:val="18"/>
                <w:szCs w:val="18"/>
              </w:rPr>
            </w:pPr>
            <w:r w:rsidRPr="00847FAE">
              <w:rPr>
                <w:rFonts w:cs="Calibri"/>
                <w:bCs/>
                <w:color w:val="000000"/>
                <w:sz w:val="18"/>
                <w:szCs w:val="18"/>
              </w:rPr>
              <w:t>2016-17</w:t>
            </w:r>
          </w:p>
        </w:tc>
        <w:tc>
          <w:tcPr>
            <w:tcW w:w="879" w:type="dxa"/>
            <w:tcBorders>
              <w:top w:val="single" w:sz="4" w:space="0" w:color="auto"/>
              <w:left w:val="nil"/>
              <w:bottom w:val="single" w:sz="4" w:space="0" w:color="auto"/>
              <w:right w:val="nil"/>
            </w:tcBorders>
            <w:noWrap/>
            <w:vAlign w:val="bottom"/>
            <w:hideMark/>
          </w:tcPr>
          <w:p w14:paraId="7DE97382" w14:textId="77777777" w:rsidR="0037416A" w:rsidRPr="00847FAE" w:rsidRDefault="0037416A" w:rsidP="004B6F5F">
            <w:pPr>
              <w:widowControl w:val="0"/>
              <w:rPr>
                <w:rFonts w:cs="Calibri"/>
                <w:bCs/>
                <w:color w:val="000000"/>
                <w:sz w:val="18"/>
                <w:szCs w:val="18"/>
              </w:rPr>
            </w:pPr>
            <w:r w:rsidRPr="00847FAE">
              <w:rPr>
                <w:rFonts w:cs="Calibri"/>
                <w:bCs/>
                <w:color w:val="000000"/>
                <w:sz w:val="18"/>
                <w:szCs w:val="18"/>
              </w:rPr>
              <w:t>2017-18</w:t>
            </w:r>
          </w:p>
        </w:tc>
      </w:tr>
      <w:tr w:rsidR="0037416A" w:rsidRPr="00847FAE" w14:paraId="6C49216A" w14:textId="77777777" w:rsidTr="001F1F60">
        <w:trPr>
          <w:cantSplit/>
          <w:trHeight w:val="255"/>
        </w:trPr>
        <w:tc>
          <w:tcPr>
            <w:tcW w:w="3402" w:type="dxa"/>
            <w:gridSpan w:val="4"/>
            <w:tcBorders>
              <w:top w:val="single" w:sz="4" w:space="0" w:color="auto"/>
              <w:left w:val="nil"/>
              <w:bottom w:val="single" w:sz="4" w:space="0" w:color="auto"/>
              <w:right w:val="nil"/>
            </w:tcBorders>
            <w:noWrap/>
            <w:vAlign w:val="center"/>
            <w:hideMark/>
          </w:tcPr>
          <w:p w14:paraId="67AEA842" w14:textId="30AA921B" w:rsidR="0037416A" w:rsidRPr="00847FAE" w:rsidRDefault="0037416A" w:rsidP="0037416A">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3279E0DE"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08B465EA"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0BB67D81"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72F979E1"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67C59988"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r>
      <w:tr w:rsidR="0037416A" w:rsidRPr="00847FAE" w14:paraId="5819BBC0" w14:textId="77777777" w:rsidTr="001F1F60">
        <w:trPr>
          <w:cantSplit/>
          <w:trHeight w:val="255"/>
        </w:trPr>
        <w:tc>
          <w:tcPr>
            <w:tcW w:w="3402" w:type="dxa"/>
            <w:gridSpan w:val="4"/>
            <w:tcBorders>
              <w:top w:val="single" w:sz="4" w:space="0" w:color="auto"/>
              <w:left w:val="nil"/>
              <w:bottom w:val="nil"/>
              <w:right w:val="nil"/>
            </w:tcBorders>
            <w:shd w:val="clear" w:color="auto" w:fill="D9D9D9" w:themeFill="background1" w:themeFillShade="D9"/>
            <w:noWrap/>
            <w:hideMark/>
          </w:tcPr>
          <w:p w14:paraId="4C93BFCA" w14:textId="7012223D" w:rsidR="0037416A" w:rsidRPr="00847FAE" w:rsidRDefault="0037416A" w:rsidP="004B6F5F">
            <w:pPr>
              <w:widowControl w:val="0"/>
              <w:rPr>
                <w:rFonts w:cs="Calibri"/>
                <w:color w:val="000000"/>
                <w:sz w:val="18"/>
                <w:szCs w:val="18"/>
                <w:vertAlign w:val="superscript"/>
              </w:rPr>
            </w:pPr>
            <w:r>
              <w:rPr>
                <w:rFonts w:cs="Calibri"/>
                <w:color w:val="000000"/>
                <w:sz w:val="18"/>
                <w:szCs w:val="18"/>
              </w:rPr>
              <w:t>Deaths reported to the Coroner</w:t>
            </w:r>
          </w:p>
        </w:tc>
        <w:tc>
          <w:tcPr>
            <w:tcW w:w="879" w:type="dxa"/>
            <w:tcBorders>
              <w:top w:val="single" w:sz="4" w:space="0" w:color="auto"/>
              <w:left w:val="nil"/>
              <w:bottom w:val="nil"/>
              <w:right w:val="nil"/>
            </w:tcBorders>
            <w:shd w:val="clear" w:color="auto" w:fill="D9D9D9" w:themeFill="background1" w:themeFillShade="D9"/>
            <w:noWrap/>
            <w:vAlign w:val="center"/>
          </w:tcPr>
          <w:p w14:paraId="5B3191F5" w14:textId="77777777" w:rsidR="0037416A" w:rsidRPr="00847FAE" w:rsidRDefault="0037416A" w:rsidP="004B6F5F">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17B93B39" w14:textId="77777777" w:rsidR="0037416A" w:rsidRPr="00847FAE" w:rsidRDefault="0037416A" w:rsidP="004B6F5F">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3821BDAB" w14:textId="77777777" w:rsidR="0037416A" w:rsidRPr="00847FAE" w:rsidRDefault="0037416A" w:rsidP="004B6F5F">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0176194C" w14:textId="77777777" w:rsidR="0037416A" w:rsidRPr="00847FAE" w:rsidRDefault="0037416A" w:rsidP="004B6F5F">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2AB539B9" w14:textId="77777777" w:rsidR="0037416A" w:rsidRPr="00847FAE" w:rsidRDefault="0037416A" w:rsidP="004B6F5F">
            <w:pPr>
              <w:jc w:val="right"/>
              <w:rPr>
                <w:rFonts w:cs="Calibri"/>
                <w:iCs/>
                <w:color w:val="000000"/>
                <w:sz w:val="18"/>
                <w:szCs w:val="18"/>
              </w:rPr>
            </w:pPr>
          </w:p>
        </w:tc>
      </w:tr>
      <w:tr w:rsidR="0037416A" w:rsidRPr="00847FAE" w14:paraId="0E5278AF" w14:textId="77777777" w:rsidTr="001F1F60">
        <w:trPr>
          <w:cantSplit/>
          <w:trHeight w:val="255"/>
        </w:trPr>
        <w:tc>
          <w:tcPr>
            <w:tcW w:w="3402" w:type="dxa"/>
            <w:gridSpan w:val="4"/>
            <w:tcBorders>
              <w:top w:val="nil"/>
              <w:left w:val="nil"/>
              <w:bottom w:val="nil"/>
              <w:right w:val="nil"/>
            </w:tcBorders>
            <w:noWrap/>
            <w:hideMark/>
          </w:tcPr>
          <w:p w14:paraId="6E448914" w14:textId="77777777" w:rsidR="0037416A" w:rsidRPr="00847FAE" w:rsidRDefault="0037416A" w:rsidP="004B6F5F">
            <w:pPr>
              <w:widowControl w:val="0"/>
              <w:rPr>
                <w:rFonts w:cs="Calibri"/>
                <w:color w:val="000000"/>
                <w:sz w:val="18"/>
                <w:szCs w:val="18"/>
              </w:rPr>
            </w:pPr>
            <w:r w:rsidRPr="00847FAE">
              <w:rPr>
                <w:rFonts w:cs="Calibri"/>
                <w:iCs/>
                <w:color w:val="000000"/>
                <w:sz w:val="18"/>
                <w:szCs w:val="18"/>
              </w:rPr>
              <w:t xml:space="preserve">   Lodgements</w:t>
            </w:r>
          </w:p>
        </w:tc>
        <w:tc>
          <w:tcPr>
            <w:tcW w:w="879" w:type="dxa"/>
            <w:tcBorders>
              <w:top w:val="nil"/>
              <w:left w:val="nil"/>
              <w:bottom w:val="nil"/>
              <w:right w:val="nil"/>
            </w:tcBorders>
            <w:noWrap/>
            <w:vAlign w:val="center"/>
          </w:tcPr>
          <w:p w14:paraId="564BC1FF" w14:textId="78BF095C" w:rsidR="0037416A" w:rsidRPr="00847FAE" w:rsidRDefault="0037416A" w:rsidP="004B6F5F">
            <w:pPr>
              <w:jc w:val="center"/>
              <w:rPr>
                <w:rFonts w:cs="Calibri"/>
                <w:color w:val="000000"/>
                <w:sz w:val="18"/>
                <w:szCs w:val="18"/>
              </w:rPr>
            </w:pPr>
            <w:r>
              <w:rPr>
                <w:rFonts w:cs="Calibri"/>
                <w:color w:val="000000"/>
                <w:sz w:val="18"/>
                <w:szCs w:val="18"/>
              </w:rPr>
              <w:t>581</w:t>
            </w:r>
          </w:p>
        </w:tc>
        <w:tc>
          <w:tcPr>
            <w:tcW w:w="879" w:type="dxa"/>
            <w:tcBorders>
              <w:top w:val="nil"/>
              <w:left w:val="nil"/>
              <w:bottom w:val="nil"/>
              <w:right w:val="nil"/>
            </w:tcBorders>
            <w:noWrap/>
            <w:vAlign w:val="center"/>
          </w:tcPr>
          <w:p w14:paraId="335E25AF" w14:textId="4BAF8B53" w:rsidR="0037416A" w:rsidRPr="00847FAE" w:rsidRDefault="0037416A" w:rsidP="004B6F5F">
            <w:pPr>
              <w:jc w:val="center"/>
              <w:rPr>
                <w:rFonts w:cs="Calibri"/>
                <w:color w:val="000000"/>
                <w:sz w:val="18"/>
                <w:szCs w:val="18"/>
              </w:rPr>
            </w:pPr>
            <w:r>
              <w:rPr>
                <w:rFonts w:cs="Calibri"/>
                <w:color w:val="000000"/>
                <w:sz w:val="18"/>
                <w:szCs w:val="18"/>
              </w:rPr>
              <w:t>542</w:t>
            </w:r>
          </w:p>
        </w:tc>
        <w:tc>
          <w:tcPr>
            <w:tcW w:w="879" w:type="dxa"/>
            <w:tcBorders>
              <w:top w:val="nil"/>
              <w:left w:val="nil"/>
              <w:bottom w:val="nil"/>
              <w:right w:val="nil"/>
            </w:tcBorders>
            <w:noWrap/>
            <w:vAlign w:val="center"/>
          </w:tcPr>
          <w:p w14:paraId="3DD88071" w14:textId="14F98B4B" w:rsidR="0037416A" w:rsidRPr="00847FAE" w:rsidRDefault="0037416A" w:rsidP="004B6F5F">
            <w:pPr>
              <w:jc w:val="center"/>
              <w:rPr>
                <w:rFonts w:cs="Calibri"/>
                <w:color w:val="000000"/>
                <w:sz w:val="18"/>
                <w:szCs w:val="18"/>
              </w:rPr>
            </w:pPr>
            <w:r>
              <w:rPr>
                <w:rFonts w:cs="Calibri"/>
                <w:color w:val="000000"/>
                <w:sz w:val="18"/>
                <w:szCs w:val="18"/>
              </w:rPr>
              <w:t>568</w:t>
            </w:r>
          </w:p>
        </w:tc>
        <w:tc>
          <w:tcPr>
            <w:tcW w:w="879" w:type="dxa"/>
            <w:tcBorders>
              <w:top w:val="nil"/>
              <w:left w:val="nil"/>
              <w:bottom w:val="nil"/>
              <w:right w:val="nil"/>
            </w:tcBorders>
            <w:noWrap/>
            <w:vAlign w:val="center"/>
          </w:tcPr>
          <w:p w14:paraId="35C44F09" w14:textId="08F311DC" w:rsidR="0037416A" w:rsidRPr="00847FAE" w:rsidRDefault="0037416A" w:rsidP="004B6F5F">
            <w:pPr>
              <w:jc w:val="center"/>
              <w:rPr>
                <w:rFonts w:cs="Calibri"/>
                <w:color w:val="000000"/>
                <w:sz w:val="18"/>
                <w:szCs w:val="18"/>
              </w:rPr>
            </w:pPr>
            <w:r>
              <w:rPr>
                <w:rFonts w:cs="Calibri"/>
                <w:color w:val="000000"/>
                <w:sz w:val="18"/>
                <w:szCs w:val="18"/>
              </w:rPr>
              <w:t>579</w:t>
            </w:r>
          </w:p>
        </w:tc>
        <w:tc>
          <w:tcPr>
            <w:tcW w:w="879" w:type="dxa"/>
            <w:tcBorders>
              <w:top w:val="nil"/>
              <w:left w:val="nil"/>
              <w:bottom w:val="nil"/>
              <w:right w:val="nil"/>
            </w:tcBorders>
            <w:noWrap/>
            <w:vAlign w:val="center"/>
          </w:tcPr>
          <w:p w14:paraId="4718D9E5" w14:textId="1C71D50F" w:rsidR="0037416A" w:rsidRPr="00847FAE" w:rsidRDefault="0037416A" w:rsidP="004B6F5F">
            <w:pPr>
              <w:jc w:val="center"/>
              <w:rPr>
                <w:rFonts w:cs="Calibri"/>
                <w:color w:val="000000"/>
                <w:sz w:val="18"/>
                <w:szCs w:val="18"/>
              </w:rPr>
            </w:pPr>
            <w:r>
              <w:rPr>
                <w:rFonts w:cs="Calibri"/>
                <w:color w:val="000000"/>
                <w:sz w:val="18"/>
                <w:szCs w:val="18"/>
              </w:rPr>
              <w:t>598</w:t>
            </w:r>
          </w:p>
        </w:tc>
      </w:tr>
      <w:tr w:rsidR="0037416A" w:rsidRPr="00847FAE" w14:paraId="583E7E2D" w14:textId="77777777" w:rsidTr="001F1F60">
        <w:trPr>
          <w:cantSplit/>
          <w:trHeight w:val="255"/>
        </w:trPr>
        <w:tc>
          <w:tcPr>
            <w:tcW w:w="3402" w:type="dxa"/>
            <w:gridSpan w:val="4"/>
            <w:tcBorders>
              <w:top w:val="nil"/>
              <w:left w:val="nil"/>
              <w:bottom w:val="nil"/>
              <w:right w:val="nil"/>
            </w:tcBorders>
            <w:noWrap/>
          </w:tcPr>
          <w:p w14:paraId="6FC400FD" w14:textId="6647E2E0" w:rsidR="0037416A" w:rsidRPr="00847FAE" w:rsidRDefault="0037416A" w:rsidP="0037416A">
            <w:pPr>
              <w:widowControl w:val="0"/>
              <w:rPr>
                <w:rFonts w:cs="Calibri"/>
                <w:iCs/>
                <w:color w:val="000000"/>
                <w:sz w:val="18"/>
                <w:szCs w:val="18"/>
              </w:rPr>
            </w:pPr>
            <w:r>
              <w:rPr>
                <w:rFonts w:cs="Calibri"/>
                <w:iCs/>
                <w:color w:val="000000"/>
                <w:sz w:val="18"/>
                <w:szCs w:val="18"/>
              </w:rPr>
              <w:tab/>
              <w:t>Deaths in Custody or Care</w:t>
            </w:r>
          </w:p>
        </w:tc>
        <w:tc>
          <w:tcPr>
            <w:tcW w:w="879" w:type="dxa"/>
            <w:tcBorders>
              <w:top w:val="nil"/>
              <w:left w:val="nil"/>
              <w:bottom w:val="nil"/>
              <w:right w:val="nil"/>
            </w:tcBorders>
            <w:noWrap/>
            <w:vAlign w:val="center"/>
          </w:tcPr>
          <w:p w14:paraId="4D66CB9E" w14:textId="69D6D944" w:rsidR="0037416A" w:rsidRDefault="002820E0" w:rsidP="004B6F5F">
            <w:pPr>
              <w:jc w:val="center"/>
              <w:rPr>
                <w:rFonts w:cs="Calibri"/>
                <w:color w:val="000000"/>
                <w:sz w:val="18"/>
                <w:szCs w:val="18"/>
              </w:rPr>
            </w:pPr>
            <w:r>
              <w:rPr>
                <w:rFonts w:cs="Calibri"/>
                <w:color w:val="000000"/>
                <w:sz w:val="18"/>
                <w:szCs w:val="18"/>
              </w:rPr>
              <w:t>6</w:t>
            </w:r>
          </w:p>
        </w:tc>
        <w:tc>
          <w:tcPr>
            <w:tcW w:w="879" w:type="dxa"/>
            <w:tcBorders>
              <w:top w:val="nil"/>
              <w:left w:val="nil"/>
              <w:bottom w:val="nil"/>
              <w:right w:val="nil"/>
            </w:tcBorders>
            <w:noWrap/>
            <w:vAlign w:val="center"/>
          </w:tcPr>
          <w:p w14:paraId="7B9E40D7" w14:textId="6A9A4AC1" w:rsidR="0037416A" w:rsidRDefault="002820E0" w:rsidP="004B6F5F">
            <w:pPr>
              <w:jc w:val="center"/>
              <w:rPr>
                <w:rFonts w:cs="Calibri"/>
                <w:color w:val="000000"/>
                <w:sz w:val="18"/>
                <w:szCs w:val="18"/>
              </w:rPr>
            </w:pPr>
            <w:r>
              <w:rPr>
                <w:rFonts w:cs="Calibri"/>
                <w:color w:val="000000"/>
                <w:sz w:val="18"/>
                <w:szCs w:val="18"/>
              </w:rPr>
              <w:t>8</w:t>
            </w:r>
          </w:p>
        </w:tc>
        <w:tc>
          <w:tcPr>
            <w:tcW w:w="879" w:type="dxa"/>
            <w:tcBorders>
              <w:top w:val="nil"/>
              <w:left w:val="nil"/>
              <w:bottom w:val="nil"/>
              <w:right w:val="nil"/>
            </w:tcBorders>
            <w:noWrap/>
            <w:vAlign w:val="center"/>
          </w:tcPr>
          <w:p w14:paraId="012A6D26" w14:textId="06FFFDA5" w:rsidR="0037416A" w:rsidRDefault="002820E0" w:rsidP="004B6F5F">
            <w:pPr>
              <w:jc w:val="center"/>
              <w:rPr>
                <w:rFonts w:cs="Calibri"/>
                <w:color w:val="000000"/>
                <w:sz w:val="18"/>
                <w:szCs w:val="18"/>
              </w:rPr>
            </w:pPr>
            <w:r>
              <w:rPr>
                <w:rFonts w:cs="Calibri"/>
                <w:color w:val="000000"/>
                <w:sz w:val="18"/>
                <w:szCs w:val="18"/>
              </w:rPr>
              <w:t>8</w:t>
            </w:r>
          </w:p>
        </w:tc>
        <w:tc>
          <w:tcPr>
            <w:tcW w:w="879" w:type="dxa"/>
            <w:tcBorders>
              <w:top w:val="nil"/>
              <w:left w:val="nil"/>
              <w:bottom w:val="nil"/>
              <w:right w:val="nil"/>
            </w:tcBorders>
            <w:noWrap/>
            <w:vAlign w:val="center"/>
          </w:tcPr>
          <w:p w14:paraId="53A9F3CA" w14:textId="5A598CA0" w:rsidR="0037416A" w:rsidRDefault="002820E0" w:rsidP="004B6F5F">
            <w:pPr>
              <w:jc w:val="center"/>
              <w:rPr>
                <w:rFonts w:cs="Calibri"/>
                <w:color w:val="000000"/>
                <w:sz w:val="18"/>
                <w:szCs w:val="18"/>
              </w:rPr>
            </w:pPr>
            <w:r>
              <w:rPr>
                <w:rFonts w:cs="Calibri"/>
                <w:color w:val="000000"/>
                <w:sz w:val="18"/>
                <w:szCs w:val="18"/>
              </w:rPr>
              <w:t>4</w:t>
            </w:r>
          </w:p>
        </w:tc>
        <w:tc>
          <w:tcPr>
            <w:tcW w:w="879" w:type="dxa"/>
            <w:tcBorders>
              <w:top w:val="nil"/>
              <w:left w:val="nil"/>
              <w:bottom w:val="nil"/>
              <w:right w:val="nil"/>
            </w:tcBorders>
            <w:noWrap/>
            <w:vAlign w:val="center"/>
          </w:tcPr>
          <w:p w14:paraId="39FA73F0" w14:textId="1631A8AD" w:rsidR="0037416A" w:rsidRDefault="002820E0" w:rsidP="004B6F5F">
            <w:pPr>
              <w:jc w:val="center"/>
              <w:rPr>
                <w:rFonts w:cs="Calibri"/>
                <w:color w:val="000000"/>
                <w:sz w:val="18"/>
                <w:szCs w:val="18"/>
              </w:rPr>
            </w:pPr>
            <w:r>
              <w:rPr>
                <w:rFonts w:cs="Calibri"/>
                <w:color w:val="000000"/>
                <w:sz w:val="18"/>
                <w:szCs w:val="18"/>
              </w:rPr>
              <w:t>2</w:t>
            </w:r>
          </w:p>
        </w:tc>
      </w:tr>
      <w:tr w:rsidR="002820E0" w:rsidRPr="00847FAE" w14:paraId="17B8D822" w14:textId="77777777" w:rsidTr="001F1F60">
        <w:trPr>
          <w:cantSplit/>
          <w:trHeight w:val="255"/>
        </w:trPr>
        <w:tc>
          <w:tcPr>
            <w:tcW w:w="3402" w:type="dxa"/>
            <w:gridSpan w:val="4"/>
            <w:tcBorders>
              <w:top w:val="nil"/>
              <w:left w:val="nil"/>
              <w:bottom w:val="nil"/>
              <w:right w:val="nil"/>
            </w:tcBorders>
            <w:noWrap/>
          </w:tcPr>
          <w:p w14:paraId="468CFDA4" w14:textId="31BD09B8" w:rsidR="002820E0" w:rsidRDefault="002820E0" w:rsidP="002820E0">
            <w:pPr>
              <w:widowControl w:val="0"/>
              <w:rPr>
                <w:rFonts w:cs="Calibri"/>
                <w:iCs/>
                <w:color w:val="000000"/>
                <w:sz w:val="18"/>
                <w:szCs w:val="18"/>
              </w:rPr>
            </w:pPr>
            <w:r>
              <w:rPr>
                <w:rFonts w:cs="Calibri"/>
                <w:iCs/>
                <w:color w:val="000000"/>
                <w:sz w:val="18"/>
                <w:szCs w:val="18"/>
              </w:rPr>
              <w:tab/>
              <w:t xml:space="preserve">Fires/Explosions </w:t>
            </w:r>
          </w:p>
        </w:tc>
        <w:tc>
          <w:tcPr>
            <w:tcW w:w="879" w:type="dxa"/>
            <w:tcBorders>
              <w:top w:val="nil"/>
              <w:left w:val="nil"/>
              <w:bottom w:val="nil"/>
              <w:right w:val="nil"/>
            </w:tcBorders>
            <w:noWrap/>
            <w:vAlign w:val="center"/>
          </w:tcPr>
          <w:p w14:paraId="29EB63FB" w14:textId="25D6CF24" w:rsidR="002820E0" w:rsidRDefault="002820E0"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46676123" w14:textId="5E2D1B5A" w:rsidR="002820E0" w:rsidRDefault="002820E0"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07064419" w14:textId="3774A0AD" w:rsidR="002820E0" w:rsidRDefault="002820E0"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166F3865" w14:textId="529FD1B2" w:rsidR="002820E0" w:rsidRDefault="002820E0"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43D32ED7" w14:textId="284B24DC" w:rsidR="002820E0" w:rsidRDefault="002820E0" w:rsidP="004B6F5F">
            <w:pPr>
              <w:jc w:val="center"/>
              <w:rPr>
                <w:rFonts w:cs="Calibri"/>
                <w:color w:val="000000"/>
                <w:sz w:val="18"/>
                <w:szCs w:val="18"/>
              </w:rPr>
            </w:pPr>
            <w:r>
              <w:rPr>
                <w:rFonts w:cs="Calibri"/>
                <w:color w:val="000000"/>
                <w:sz w:val="18"/>
                <w:szCs w:val="18"/>
              </w:rPr>
              <w:t>0</w:t>
            </w:r>
          </w:p>
        </w:tc>
      </w:tr>
      <w:tr w:rsidR="0037416A" w:rsidRPr="00847FAE" w14:paraId="2BAE9187"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172AE2B0" w14:textId="76A7DB84" w:rsidR="0037416A" w:rsidRPr="00847FAE" w:rsidRDefault="002820E0" w:rsidP="004B6F5F">
            <w:pPr>
              <w:widowControl w:val="0"/>
              <w:rPr>
                <w:rFonts w:cs="Calibri"/>
                <w:iCs/>
                <w:color w:val="000000"/>
                <w:sz w:val="18"/>
                <w:szCs w:val="18"/>
              </w:rPr>
            </w:pPr>
            <w:r>
              <w:rPr>
                <w:rFonts w:cs="Calibri"/>
                <w:iCs/>
                <w:color w:val="000000"/>
                <w:sz w:val="18"/>
                <w:szCs w:val="18"/>
              </w:rPr>
              <w:t>Number of inquests held</w:t>
            </w:r>
          </w:p>
        </w:tc>
        <w:tc>
          <w:tcPr>
            <w:tcW w:w="879" w:type="dxa"/>
            <w:tcBorders>
              <w:top w:val="nil"/>
              <w:left w:val="nil"/>
              <w:bottom w:val="nil"/>
              <w:right w:val="nil"/>
            </w:tcBorders>
            <w:shd w:val="clear" w:color="auto" w:fill="D9D9D9" w:themeFill="background1" w:themeFillShade="D9"/>
            <w:noWrap/>
            <w:vAlign w:val="center"/>
          </w:tcPr>
          <w:p w14:paraId="634725B2" w14:textId="7F32E9DA" w:rsidR="0037416A" w:rsidRPr="00847FAE" w:rsidRDefault="0037416A" w:rsidP="002820E0">
            <w:pPr>
              <w:jc w:val="center"/>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3B7DFA80" w14:textId="77777777" w:rsidR="0037416A" w:rsidRPr="00847FAE" w:rsidRDefault="0037416A" w:rsidP="004B6F5F">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AFFDC5C" w14:textId="77777777" w:rsidR="0037416A" w:rsidRPr="00847FAE" w:rsidRDefault="0037416A" w:rsidP="004B6F5F">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74B5A9C8" w14:textId="77777777" w:rsidR="0037416A" w:rsidRPr="00847FAE" w:rsidRDefault="0037416A" w:rsidP="004B6F5F">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783F614D" w14:textId="77777777" w:rsidR="0037416A" w:rsidRPr="00847FAE" w:rsidRDefault="0037416A" w:rsidP="004B6F5F">
            <w:pPr>
              <w:jc w:val="right"/>
              <w:rPr>
                <w:rFonts w:cs="Calibri"/>
                <w:iCs/>
                <w:color w:val="000000"/>
                <w:sz w:val="18"/>
                <w:szCs w:val="18"/>
              </w:rPr>
            </w:pPr>
          </w:p>
        </w:tc>
      </w:tr>
      <w:tr w:rsidR="0037416A" w:rsidRPr="00847FAE" w14:paraId="1E179EE8" w14:textId="77777777" w:rsidTr="001F1F60">
        <w:trPr>
          <w:cantSplit/>
          <w:trHeight w:val="255"/>
        </w:trPr>
        <w:tc>
          <w:tcPr>
            <w:tcW w:w="3402" w:type="dxa"/>
            <w:gridSpan w:val="4"/>
            <w:tcBorders>
              <w:top w:val="nil"/>
              <w:left w:val="nil"/>
              <w:bottom w:val="nil"/>
              <w:right w:val="nil"/>
            </w:tcBorders>
            <w:noWrap/>
          </w:tcPr>
          <w:p w14:paraId="6311A3FC" w14:textId="7E104032" w:rsidR="0037416A" w:rsidRPr="00847FAE" w:rsidRDefault="0037416A" w:rsidP="002820E0">
            <w:pPr>
              <w:widowControl w:val="0"/>
              <w:rPr>
                <w:rFonts w:cs="Calibri"/>
                <w:color w:val="000000"/>
                <w:sz w:val="18"/>
                <w:szCs w:val="18"/>
              </w:rPr>
            </w:pPr>
            <w:r w:rsidRPr="00847FAE">
              <w:rPr>
                <w:rFonts w:cs="Calibri"/>
                <w:iCs/>
                <w:color w:val="000000"/>
                <w:sz w:val="18"/>
                <w:szCs w:val="18"/>
              </w:rPr>
              <w:t xml:space="preserve">   </w:t>
            </w:r>
          </w:p>
        </w:tc>
        <w:tc>
          <w:tcPr>
            <w:tcW w:w="879" w:type="dxa"/>
            <w:tcBorders>
              <w:top w:val="nil"/>
              <w:left w:val="nil"/>
              <w:bottom w:val="nil"/>
              <w:right w:val="nil"/>
            </w:tcBorders>
            <w:noWrap/>
            <w:vAlign w:val="center"/>
          </w:tcPr>
          <w:p w14:paraId="36CCE060" w14:textId="3467EB23" w:rsidR="0037416A" w:rsidRPr="00847FAE" w:rsidRDefault="002820E0" w:rsidP="004B6F5F">
            <w:pPr>
              <w:jc w:val="center"/>
              <w:rPr>
                <w:rFonts w:cs="Calibri"/>
                <w:color w:val="000000"/>
                <w:sz w:val="18"/>
                <w:szCs w:val="18"/>
              </w:rPr>
            </w:pPr>
            <w:r>
              <w:rPr>
                <w:rFonts w:cs="Calibri"/>
                <w:color w:val="000000"/>
                <w:sz w:val="18"/>
                <w:szCs w:val="18"/>
              </w:rPr>
              <w:t>5</w:t>
            </w:r>
          </w:p>
        </w:tc>
        <w:tc>
          <w:tcPr>
            <w:tcW w:w="879" w:type="dxa"/>
            <w:tcBorders>
              <w:top w:val="nil"/>
              <w:left w:val="nil"/>
              <w:bottom w:val="nil"/>
              <w:right w:val="nil"/>
            </w:tcBorders>
            <w:noWrap/>
            <w:vAlign w:val="center"/>
          </w:tcPr>
          <w:p w14:paraId="6CC896F1" w14:textId="1B7F7C5E" w:rsidR="0037416A" w:rsidRPr="00847FAE" w:rsidRDefault="002820E0" w:rsidP="004B6F5F">
            <w:pPr>
              <w:jc w:val="center"/>
              <w:rPr>
                <w:rFonts w:cs="Calibri"/>
                <w:color w:val="000000"/>
                <w:sz w:val="18"/>
                <w:szCs w:val="18"/>
              </w:rPr>
            </w:pPr>
            <w:r>
              <w:rPr>
                <w:rFonts w:cs="Calibri"/>
                <w:color w:val="000000"/>
                <w:sz w:val="18"/>
                <w:szCs w:val="18"/>
              </w:rPr>
              <w:t>10</w:t>
            </w:r>
          </w:p>
        </w:tc>
        <w:tc>
          <w:tcPr>
            <w:tcW w:w="879" w:type="dxa"/>
            <w:tcBorders>
              <w:top w:val="nil"/>
              <w:left w:val="nil"/>
              <w:bottom w:val="nil"/>
              <w:right w:val="nil"/>
            </w:tcBorders>
            <w:noWrap/>
            <w:vAlign w:val="center"/>
          </w:tcPr>
          <w:p w14:paraId="6653941C" w14:textId="4E42AAEA" w:rsidR="0037416A" w:rsidRPr="00847FAE" w:rsidRDefault="002820E0" w:rsidP="004B6F5F">
            <w:pPr>
              <w:jc w:val="center"/>
              <w:rPr>
                <w:rFonts w:cs="Calibri"/>
                <w:color w:val="000000"/>
                <w:sz w:val="18"/>
                <w:szCs w:val="18"/>
              </w:rPr>
            </w:pPr>
            <w:r>
              <w:rPr>
                <w:rFonts w:cs="Calibri"/>
                <w:color w:val="000000"/>
                <w:sz w:val="18"/>
                <w:szCs w:val="18"/>
              </w:rPr>
              <w:t>11</w:t>
            </w:r>
          </w:p>
        </w:tc>
        <w:tc>
          <w:tcPr>
            <w:tcW w:w="879" w:type="dxa"/>
            <w:tcBorders>
              <w:top w:val="nil"/>
              <w:left w:val="nil"/>
              <w:bottom w:val="nil"/>
              <w:right w:val="nil"/>
            </w:tcBorders>
            <w:noWrap/>
            <w:vAlign w:val="center"/>
          </w:tcPr>
          <w:p w14:paraId="2F65DA0D" w14:textId="0E86BDC4" w:rsidR="0037416A" w:rsidRPr="00847FAE" w:rsidRDefault="002820E0" w:rsidP="004B6F5F">
            <w:pPr>
              <w:jc w:val="center"/>
              <w:rPr>
                <w:rFonts w:cs="Calibri"/>
                <w:color w:val="000000"/>
                <w:sz w:val="18"/>
                <w:szCs w:val="18"/>
              </w:rPr>
            </w:pPr>
            <w:r>
              <w:rPr>
                <w:rFonts w:cs="Calibri"/>
                <w:color w:val="000000"/>
                <w:sz w:val="18"/>
                <w:szCs w:val="18"/>
              </w:rPr>
              <w:t>22</w:t>
            </w:r>
          </w:p>
        </w:tc>
        <w:tc>
          <w:tcPr>
            <w:tcW w:w="879" w:type="dxa"/>
            <w:tcBorders>
              <w:top w:val="nil"/>
              <w:left w:val="nil"/>
              <w:bottom w:val="nil"/>
              <w:right w:val="nil"/>
            </w:tcBorders>
            <w:noWrap/>
            <w:vAlign w:val="center"/>
          </w:tcPr>
          <w:p w14:paraId="716B036E" w14:textId="5D36780D" w:rsidR="0037416A" w:rsidRPr="00847FAE" w:rsidRDefault="002820E0" w:rsidP="004B6F5F">
            <w:pPr>
              <w:jc w:val="center"/>
              <w:rPr>
                <w:rFonts w:cs="Calibri"/>
                <w:color w:val="000000"/>
                <w:sz w:val="18"/>
                <w:szCs w:val="18"/>
              </w:rPr>
            </w:pPr>
            <w:r>
              <w:rPr>
                <w:rFonts w:cs="Calibri"/>
                <w:color w:val="000000"/>
                <w:sz w:val="18"/>
                <w:szCs w:val="18"/>
              </w:rPr>
              <w:t>19</w:t>
            </w:r>
          </w:p>
        </w:tc>
      </w:tr>
      <w:tr w:rsidR="0037416A" w:rsidRPr="00847FAE" w14:paraId="26A9ED1C" w14:textId="77777777" w:rsidTr="001F1F60">
        <w:trPr>
          <w:cantSplit/>
          <w:trHeight w:val="255"/>
        </w:trPr>
        <w:tc>
          <w:tcPr>
            <w:tcW w:w="3402" w:type="dxa"/>
            <w:gridSpan w:val="4"/>
            <w:tcBorders>
              <w:top w:val="nil"/>
              <w:left w:val="nil"/>
              <w:bottom w:val="nil"/>
              <w:right w:val="nil"/>
            </w:tcBorders>
            <w:shd w:val="clear" w:color="auto" w:fill="D9D9D9" w:themeFill="background1" w:themeFillShade="D9"/>
            <w:noWrap/>
          </w:tcPr>
          <w:p w14:paraId="471827D5" w14:textId="7A01B1FD" w:rsidR="0037416A" w:rsidRPr="00847FAE" w:rsidRDefault="002820E0" w:rsidP="004B6F5F">
            <w:pPr>
              <w:widowControl w:val="0"/>
              <w:rPr>
                <w:rFonts w:cs="Calibri"/>
                <w:iCs/>
                <w:color w:val="000000"/>
                <w:sz w:val="18"/>
                <w:szCs w:val="18"/>
              </w:rPr>
            </w:pPr>
            <w:r>
              <w:rPr>
                <w:rFonts w:cs="Calibri"/>
                <w:iCs/>
                <w:color w:val="000000"/>
                <w:sz w:val="18"/>
                <w:szCs w:val="18"/>
              </w:rPr>
              <w:t>Number of cases closed</w:t>
            </w:r>
          </w:p>
        </w:tc>
        <w:tc>
          <w:tcPr>
            <w:tcW w:w="879" w:type="dxa"/>
            <w:tcBorders>
              <w:top w:val="nil"/>
              <w:left w:val="nil"/>
              <w:bottom w:val="nil"/>
              <w:right w:val="nil"/>
            </w:tcBorders>
            <w:shd w:val="clear" w:color="auto" w:fill="D9D9D9" w:themeFill="background1" w:themeFillShade="D9"/>
            <w:noWrap/>
            <w:vAlign w:val="center"/>
          </w:tcPr>
          <w:p w14:paraId="04BCF7B7" w14:textId="77777777" w:rsidR="0037416A" w:rsidRPr="00847FAE" w:rsidRDefault="0037416A" w:rsidP="004B6F5F">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6077D915" w14:textId="77777777" w:rsidR="0037416A" w:rsidRPr="00847FAE" w:rsidRDefault="0037416A" w:rsidP="004B6F5F">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70CFDDE8" w14:textId="77777777" w:rsidR="0037416A" w:rsidRPr="00847FAE" w:rsidRDefault="0037416A" w:rsidP="004B6F5F">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718100F8" w14:textId="77777777" w:rsidR="0037416A" w:rsidRPr="00847FAE" w:rsidRDefault="0037416A" w:rsidP="004B6F5F">
            <w:pPr>
              <w:jc w:val="right"/>
              <w:rPr>
                <w:rFonts w:cs="Calibri"/>
                <w:iCs/>
                <w:color w:val="000000"/>
                <w:sz w:val="18"/>
                <w:szCs w:val="18"/>
              </w:rPr>
            </w:pPr>
          </w:p>
        </w:tc>
        <w:tc>
          <w:tcPr>
            <w:tcW w:w="879" w:type="dxa"/>
            <w:tcBorders>
              <w:top w:val="nil"/>
              <w:left w:val="nil"/>
              <w:bottom w:val="nil"/>
              <w:right w:val="nil"/>
            </w:tcBorders>
            <w:shd w:val="clear" w:color="auto" w:fill="D9D9D9" w:themeFill="background1" w:themeFillShade="D9"/>
            <w:noWrap/>
            <w:vAlign w:val="center"/>
          </w:tcPr>
          <w:p w14:paraId="7D0F1550" w14:textId="77777777" w:rsidR="0037416A" w:rsidRPr="00847FAE" w:rsidRDefault="0037416A" w:rsidP="004B6F5F">
            <w:pPr>
              <w:jc w:val="right"/>
              <w:rPr>
                <w:rFonts w:cs="Calibri"/>
                <w:iCs/>
                <w:color w:val="000000"/>
                <w:sz w:val="18"/>
                <w:szCs w:val="18"/>
              </w:rPr>
            </w:pPr>
          </w:p>
        </w:tc>
      </w:tr>
      <w:tr w:rsidR="002820E0" w:rsidRPr="00847FAE" w14:paraId="0CB3CAC0" w14:textId="77777777" w:rsidTr="001F1F60">
        <w:trPr>
          <w:cantSplit/>
          <w:trHeight w:val="255"/>
        </w:trPr>
        <w:tc>
          <w:tcPr>
            <w:tcW w:w="3402" w:type="dxa"/>
            <w:gridSpan w:val="4"/>
            <w:tcBorders>
              <w:top w:val="nil"/>
              <w:left w:val="nil"/>
              <w:bottom w:val="single" w:sz="4" w:space="0" w:color="auto"/>
              <w:right w:val="nil"/>
            </w:tcBorders>
            <w:noWrap/>
          </w:tcPr>
          <w:p w14:paraId="623C7B19" w14:textId="55AA592B" w:rsidR="002820E0" w:rsidRPr="00847FAE" w:rsidRDefault="002820E0" w:rsidP="002820E0">
            <w:pPr>
              <w:widowControl w:val="0"/>
              <w:rPr>
                <w:rFonts w:cs="Calibri"/>
                <w:color w:val="000000"/>
                <w:sz w:val="18"/>
                <w:szCs w:val="18"/>
              </w:rPr>
            </w:pPr>
          </w:p>
        </w:tc>
        <w:tc>
          <w:tcPr>
            <w:tcW w:w="879" w:type="dxa"/>
            <w:tcBorders>
              <w:top w:val="nil"/>
              <w:left w:val="nil"/>
              <w:bottom w:val="single" w:sz="4" w:space="0" w:color="auto"/>
              <w:right w:val="nil"/>
            </w:tcBorders>
            <w:noWrap/>
            <w:vAlign w:val="center"/>
          </w:tcPr>
          <w:p w14:paraId="454B5D5A" w14:textId="1618B282" w:rsidR="002820E0" w:rsidRPr="00847FAE" w:rsidRDefault="002820E0" w:rsidP="002820E0">
            <w:pPr>
              <w:jc w:val="center"/>
              <w:rPr>
                <w:rFonts w:cs="Calibri"/>
                <w:color w:val="000000"/>
                <w:sz w:val="18"/>
                <w:szCs w:val="18"/>
              </w:rPr>
            </w:pPr>
            <w:r>
              <w:rPr>
                <w:rFonts w:cs="Calibri"/>
                <w:color w:val="000000"/>
                <w:sz w:val="18"/>
                <w:szCs w:val="18"/>
              </w:rPr>
              <w:t>536</w:t>
            </w:r>
          </w:p>
        </w:tc>
        <w:tc>
          <w:tcPr>
            <w:tcW w:w="879" w:type="dxa"/>
            <w:tcBorders>
              <w:top w:val="nil"/>
              <w:left w:val="nil"/>
              <w:bottom w:val="single" w:sz="4" w:space="0" w:color="auto"/>
              <w:right w:val="nil"/>
            </w:tcBorders>
            <w:noWrap/>
            <w:vAlign w:val="center"/>
          </w:tcPr>
          <w:p w14:paraId="7749156A" w14:textId="4C84E25E" w:rsidR="002820E0" w:rsidRPr="00847FAE" w:rsidRDefault="002820E0" w:rsidP="002820E0">
            <w:pPr>
              <w:jc w:val="center"/>
              <w:rPr>
                <w:rFonts w:cs="Calibri"/>
                <w:color w:val="000000"/>
                <w:sz w:val="18"/>
                <w:szCs w:val="18"/>
              </w:rPr>
            </w:pPr>
            <w:r>
              <w:rPr>
                <w:rFonts w:cs="Calibri"/>
                <w:color w:val="000000"/>
                <w:sz w:val="18"/>
                <w:szCs w:val="18"/>
              </w:rPr>
              <w:t>489</w:t>
            </w:r>
          </w:p>
        </w:tc>
        <w:tc>
          <w:tcPr>
            <w:tcW w:w="879" w:type="dxa"/>
            <w:tcBorders>
              <w:top w:val="nil"/>
              <w:left w:val="nil"/>
              <w:bottom w:val="single" w:sz="4" w:space="0" w:color="auto"/>
              <w:right w:val="nil"/>
            </w:tcBorders>
            <w:noWrap/>
            <w:vAlign w:val="center"/>
          </w:tcPr>
          <w:p w14:paraId="49C78DE6" w14:textId="20ED1262" w:rsidR="002820E0" w:rsidRPr="00847FAE" w:rsidRDefault="002820E0" w:rsidP="002820E0">
            <w:pPr>
              <w:jc w:val="center"/>
              <w:rPr>
                <w:rFonts w:cs="Calibri"/>
                <w:color w:val="000000"/>
                <w:sz w:val="18"/>
                <w:szCs w:val="18"/>
              </w:rPr>
            </w:pPr>
            <w:r>
              <w:rPr>
                <w:rFonts w:cs="Calibri"/>
                <w:color w:val="000000"/>
                <w:sz w:val="18"/>
                <w:szCs w:val="18"/>
              </w:rPr>
              <w:t>494</w:t>
            </w:r>
          </w:p>
        </w:tc>
        <w:tc>
          <w:tcPr>
            <w:tcW w:w="879" w:type="dxa"/>
            <w:tcBorders>
              <w:top w:val="nil"/>
              <w:left w:val="nil"/>
              <w:bottom w:val="single" w:sz="4" w:space="0" w:color="auto"/>
              <w:right w:val="nil"/>
            </w:tcBorders>
            <w:noWrap/>
            <w:vAlign w:val="center"/>
          </w:tcPr>
          <w:p w14:paraId="079B9D48" w14:textId="41E6F219" w:rsidR="002820E0" w:rsidRPr="00847FAE" w:rsidRDefault="002820E0" w:rsidP="002820E0">
            <w:pPr>
              <w:jc w:val="center"/>
              <w:rPr>
                <w:rFonts w:cs="Calibri"/>
                <w:color w:val="000000"/>
                <w:sz w:val="18"/>
                <w:szCs w:val="18"/>
              </w:rPr>
            </w:pPr>
            <w:r>
              <w:rPr>
                <w:rFonts w:cs="Calibri"/>
                <w:color w:val="000000"/>
                <w:sz w:val="18"/>
                <w:szCs w:val="18"/>
              </w:rPr>
              <w:t>582</w:t>
            </w:r>
          </w:p>
        </w:tc>
        <w:tc>
          <w:tcPr>
            <w:tcW w:w="879" w:type="dxa"/>
            <w:tcBorders>
              <w:top w:val="nil"/>
              <w:left w:val="nil"/>
              <w:bottom w:val="single" w:sz="4" w:space="0" w:color="auto"/>
              <w:right w:val="nil"/>
            </w:tcBorders>
            <w:noWrap/>
            <w:vAlign w:val="center"/>
          </w:tcPr>
          <w:p w14:paraId="77ED75C5" w14:textId="53E28146" w:rsidR="002820E0" w:rsidRPr="00847FAE" w:rsidRDefault="002820E0" w:rsidP="002820E0">
            <w:pPr>
              <w:jc w:val="center"/>
              <w:rPr>
                <w:rFonts w:cs="Calibri"/>
                <w:color w:val="000000"/>
                <w:sz w:val="18"/>
                <w:szCs w:val="18"/>
              </w:rPr>
            </w:pPr>
            <w:r>
              <w:rPr>
                <w:rFonts w:cs="Calibri"/>
                <w:color w:val="000000"/>
                <w:sz w:val="18"/>
                <w:szCs w:val="18"/>
              </w:rPr>
              <w:t>605</w:t>
            </w:r>
          </w:p>
        </w:tc>
      </w:tr>
    </w:tbl>
    <w:p w14:paraId="6BE7533F" w14:textId="77777777" w:rsidR="000D3B2B" w:rsidRPr="000D3B2B" w:rsidRDefault="000D3B2B" w:rsidP="005F6773"/>
    <w:p w14:paraId="1E7C9EF6" w14:textId="77777777" w:rsidR="005B312D" w:rsidRDefault="005B312D" w:rsidP="005F6773"/>
    <w:p w14:paraId="58C58B20" w14:textId="77777777" w:rsidR="005B312D" w:rsidRDefault="005B312D" w:rsidP="005F6773"/>
    <w:p w14:paraId="16F38099" w14:textId="40E4FEFF" w:rsidR="005F6773" w:rsidRPr="00F70E6C" w:rsidRDefault="005F6773" w:rsidP="00F70E6C">
      <w:pPr>
        <w:keepNext/>
        <w:keepLines/>
        <w:spacing w:before="40"/>
        <w:outlineLvl w:val="2"/>
        <w:rPr>
          <w:rFonts w:eastAsiaTheme="majorEastAsia" w:cstheme="majorBidi"/>
          <w:lang w:eastAsia="en-US"/>
        </w:rPr>
      </w:pPr>
      <w:bookmarkStart w:id="384" w:name="_Toc1041191"/>
      <w:r w:rsidRPr="00F70E6C">
        <w:rPr>
          <w:rFonts w:eastAsiaTheme="majorEastAsia" w:cstheme="majorBidi"/>
          <w:lang w:eastAsia="en-US"/>
        </w:rPr>
        <w:t>Table 1</w:t>
      </w:r>
      <w:r w:rsidR="000D3B2B" w:rsidRPr="00F70E6C">
        <w:rPr>
          <w:rFonts w:eastAsiaTheme="majorEastAsia" w:cstheme="majorBidi"/>
          <w:lang w:eastAsia="en-US"/>
        </w:rPr>
        <w:t xml:space="preserve">2: </w:t>
      </w:r>
      <w:r w:rsidRPr="00F70E6C">
        <w:rPr>
          <w:rFonts w:eastAsiaTheme="majorEastAsia" w:cstheme="majorBidi"/>
          <w:lang w:eastAsia="en-US"/>
        </w:rPr>
        <w:t>Coronial – Inquests &amp; Investigations Completed 2013 – 2017</w:t>
      </w:r>
      <w:bookmarkEnd w:id="384"/>
      <w:r w:rsidRPr="00F70E6C">
        <w:rPr>
          <w:rFonts w:eastAsiaTheme="majorEastAsia" w:cstheme="majorBidi"/>
          <w:lang w:eastAsia="en-US"/>
        </w:rPr>
        <w:t xml:space="preserve"> </w:t>
      </w:r>
    </w:p>
    <w:tbl>
      <w:tblPr>
        <w:tblStyle w:val="TableGrid1"/>
        <w:tblW w:w="7797" w:type="dxa"/>
        <w:tblLayout w:type="fixed"/>
        <w:tblCellMar>
          <w:top w:w="11" w:type="dxa"/>
          <w:bottom w:w="11" w:type="dxa"/>
        </w:tblCellMar>
        <w:tblLook w:val="04A0" w:firstRow="1" w:lastRow="0" w:firstColumn="1" w:lastColumn="0" w:noHBand="0" w:noVBand="1"/>
        <w:tblCaption w:val="Table12CoronialInquestsandInvestigationsCompleted2013_2017"/>
        <w:tblDescription w:val="TabledescribingCoronialInquestsandInvestigationsCompleted2013_2017"/>
      </w:tblPr>
      <w:tblGrid>
        <w:gridCol w:w="326"/>
        <w:gridCol w:w="977"/>
        <w:gridCol w:w="824"/>
        <w:gridCol w:w="1275"/>
        <w:gridCol w:w="879"/>
        <w:gridCol w:w="879"/>
        <w:gridCol w:w="879"/>
        <w:gridCol w:w="879"/>
        <w:gridCol w:w="879"/>
      </w:tblGrid>
      <w:tr w:rsidR="002820E0" w:rsidRPr="00847FAE" w14:paraId="5D1ED049"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186D6972"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38730831"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300E081C"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1275" w:type="dxa"/>
            <w:tcBorders>
              <w:top w:val="single" w:sz="4" w:space="0" w:color="auto"/>
              <w:left w:val="nil"/>
              <w:bottom w:val="single" w:sz="4" w:space="0" w:color="auto"/>
              <w:right w:val="nil"/>
            </w:tcBorders>
            <w:noWrap/>
            <w:hideMark/>
          </w:tcPr>
          <w:p w14:paraId="2559D884"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bottom"/>
            <w:hideMark/>
          </w:tcPr>
          <w:p w14:paraId="02D3F83A" w14:textId="77777777" w:rsidR="002820E0" w:rsidRPr="00847FAE" w:rsidRDefault="002820E0" w:rsidP="004B6F5F">
            <w:pPr>
              <w:widowControl w:val="0"/>
              <w:jc w:val="right"/>
              <w:rPr>
                <w:rFonts w:cs="Calibri"/>
                <w:bCs/>
                <w:color w:val="000000"/>
                <w:sz w:val="18"/>
                <w:szCs w:val="18"/>
                <w:vertAlign w:val="superscript"/>
              </w:rPr>
            </w:pPr>
            <w:r w:rsidRPr="00847FAE">
              <w:rPr>
                <w:rFonts w:cs="Calibri"/>
                <w:bCs/>
                <w:color w:val="000000"/>
                <w:sz w:val="18"/>
                <w:szCs w:val="18"/>
              </w:rPr>
              <w:t>2013-14</w:t>
            </w:r>
          </w:p>
        </w:tc>
        <w:tc>
          <w:tcPr>
            <w:tcW w:w="879" w:type="dxa"/>
            <w:tcBorders>
              <w:top w:val="single" w:sz="4" w:space="0" w:color="auto"/>
              <w:left w:val="nil"/>
              <w:bottom w:val="single" w:sz="4" w:space="0" w:color="auto"/>
              <w:right w:val="nil"/>
            </w:tcBorders>
            <w:noWrap/>
            <w:vAlign w:val="bottom"/>
            <w:hideMark/>
          </w:tcPr>
          <w:p w14:paraId="18E68C5C" w14:textId="77777777" w:rsidR="002820E0" w:rsidRPr="00847FAE" w:rsidRDefault="002820E0" w:rsidP="004B6F5F">
            <w:pPr>
              <w:widowControl w:val="0"/>
              <w:jc w:val="right"/>
              <w:rPr>
                <w:rFonts w:cs="Calibri"/>
                <w:bCs/>
                <w:color w:val="000000"/>
                <w:sz w:val="18"/>
                <w:szCs w:val="18"/>
              </w:rPr>
            </w:pPr>
            <w:r w:rsidRPr="00847FAE">
              <w:rPr>
                <w:rFonts w:cs="Calibri"/>
                <w:bCs/>
                <w:color w:val="000000"/>
                <w:sz w:val="18"/>
                <w:szCs w:val="18"/>
              </w:rPr>
              <w:t>2014-15</w:t>
            </w:r>
          </w:p>
        </w:tc>
        <w:tc>
          <w:tcPr>
            <w:tcW w:w="879" w:type="dxa"/>
            <w:tcBorders>
              <w:top w:val="single" w:sz="4" w:space="0" w:color="auto"/>
              <w:left w:val="nil"/>
              <w:bottom w:val="single" w:sz="4" w:space="0" w:color="auto"/>
              <w:right w:val="nil"/>
            </w:tcBorders>
            <w:noWrap/>
            <w:vAlign w:val="bottom"/>
            <w:hideMark/>
          </w:tcPr>
          <w:p w14:paraId="5FA35D3F" w14:textId="77777777" w:rsidR="002820E0" w:rsidRPr="00847FAE" w:rsidRDefault="002820E0" w:rsidP="004B6F5F">
            <w:pPr>
              <w:widowControl w:val="0"/>
              <w:jc w:val="right"/>
              <w:rPr>
                <w:rFonts w:cs="Calibri"/>
                <w:bCs/>
                <w:color w:val="000000"/>
                <w:sz w:val="18"/>
                <w:szCs w:val="18"/>
              </w:rPr>
            </w:pPr>
            <w:r w:rsidRPr="00847FAE">
              <w:rPr>
                <w:rFonts w:cs="Calibri"/>
                <w:bCs/>
                <w:color w:val="000000"/>
                <w:sz w:val="18"/>
                <w:szCs w:val="18"/>
              </w:rPr>
              <w:t>2015-16</w:t>
            </w:r>
          </w:p>
        </w:tc>
        <w:tc>
          <w:tcPr>
            <w:tcW w:w="879" w:type="dxa"/>
            <w:tcBorders>
              <w:top w:val="single" w:sz="4" w:space="0" w:color="auto"/>
              <w:left w:val="nil"/>
              <w:bottom w:val="single" w:sz="4" w:space="0" w:color="auto"/>
              <w:right w:val="nil"/>
            </w:tcBorders>
            <w:noWrap/>
            <w:vAlign w:val="bottom"/>
            <w:hideMark/>
          </w:tcPr>
          <w:p w14:paraId="193D10BB" w14:textId="77777777" w:rsidR="002820E0" w:rsidRPr="00847FAE" w:rsidRDefault="002820E0" w:rsidP="004B6F5F">
            <w:pPr>
              <w:widowControl w:val="0"/>
              <w:jc w:val="right"/>
              <w:rPr>
                <w:rFonts w:cs="Calibri"/>
                <w:bCs/>
                <w:color w:val="000000"/>
                <w:sz w:val="18"/>
                <w:szCs w:val="18"/>
              </w:rPr>
            </w:pPr>
            <w:r w:rsidRPr="00847FAE">
              <w:rPr>
                <w:rFonts w:cs="Calibri"/>
                <w:bCs/>
                <w:color w:val="000000"/>
                <w:sz w:val="18"/>
                <w:szCs w:val="18"/>
              </w:rPr>
              <w:t>2016-17</w:t>
            </w:r>
          </w:p>
        </w:tc>
        <w:tc>
          <w:tcPr>
            <w:tcW w:w="879" w:type="dxa"/>
            <w:tcBorders>
              <w:top w:val="single" w:sz="4" w:space="0" w:color="auto"/>
              <w:left w:val="nil"/>
              <w:bottom w:val="single" w:sz="4" w:space="0" w:color="auto"/>
              <w:right w:val="nil"/>
            </w:tcBorders>
            <w:noWrap/>
            <w:vAlign w:val="bottom"/>
            <w:hideMark/>
          </w:tcPr>
          <w:p w14:paraId="56B79D6A" w14:textId="77777777" w:rsidR="002820E0" w:rsidRPr="00847FAE" w:rsidRDefault="002820E0" w:rsidP="004B6F5F">
            <w:pPr>
              <w:widowControl w:val="0"/>
              <w:rPr>
                <w:rFonts w:cs="Calibri"/>
                <w:bCs/>
                <w:color w:val="000000"/>
                <w:sz w:val="18"/>
                <w:szCs w:val="18"/>
              </w:rPr>
            </w:pPr>
            <w:r w:rsidRPr="00847FAE">
              <w:rPr>
                <w:rFonts w:cs="Calibri"/>
                <w:bCs/>
                <w:color w:val="000000"/>
                <w:sz w:val="18"/>
                <w:szCs w:val="18"/>
              </w:rPr>
              <w:t>2017-18</w:t>
            </w:r>
          </w:p>
        </w:tc>
      </w:tr>
      <w:tr w:rsidR="002820E0" w:rsidRPr="00847FAE" w14:paraId="33908FDE" w14:textId="77777777" w:rsidTr="001F1F60">
        <w:trPr>
          <w:cantSplit/>
          <w:trHeight w:val="255"/>
        </w:trPr>
        <w:tc>
          <w:tcPr>
            <w:tcW w:w="3402" w:type="dxa"/>
            <w:gridSpan w:val="4"/>
            <w:tcBorders>
              <w:top w:val="single" w:sz="4" w:space="0" w:color="auto"/>
              <w:left w:val="nil"/>
              <w:bottom w:val="single" w:sz="4" w:space="0" w:color="auto"/>
              <w:right w:val="nil"/>
            </w:tcBorders>
            <w:noWrap/>
            <w:vAlign w:val="center"/>
            <w:hideMark/>
          </w:tcPr>
          <w:p w14:paraId="02296620"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093F98CB"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67D55BF1"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7F352639"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35084907"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19E64FD0" w14:textId="77777777" w:rsidR="002820E0" w:rsidRPr="00847FAE" w:rsidRDefault="002820E0" w:rsidP="004B6F5F">
            <w:pPr>
              <w:widowControl w:val="0"/>
              <w:rPr>
                <w:rFonts w:cs="Calibri"/>
                <w:color w:val="000000"/>
                <w:sz w:val="18"/>
                <w:szCs w:val="18"/>
              </w:rPr>
            </w:pPr>
            <w:r w:rsidRPr="00847FAE">
              <w:rPr>
                <w:rFonts w:cs="Calibri"/>
                <w:color w:val="000000"/>
                <w:sz w:val="18"/>
                <w:szCs w:val="18"/>
              </w:rPr>
              <w:t> </w:t>
            </w:r>
          </w:p>
        </w:tc>
      </w:tr>
      <w:tr w:rsidR="002820E0" w:rsidRPr="00847FAE" w14:paraId="5016A775" w14:textId="77777777" w:rsidTr="001F1F60">
        <w:trPr>
          <w:cantSplit/>
          <w:trHeight w:val="255"/>
        </w:trPr>
        <w:tc>
          <w:tcPr>
            <w:tcW w:w="3402" w:type="dxa"/>
            <w:gridSpan w:val="4"/>
            <w:tcBorders>
              <w:top w:val="single" w:sz="4" w:space="0" w:color="auto"/>
              <w:left w:val="nil"/>
              <w:bottom w:val="nil"/>
              <w:right w:val="nil"/>
            </w:tcBorders>
            <w:shd w:val="clear" w:color="auto" w:fill="D9D9D9" w:themeFill="background1" w:themeFillShade="D9"/>
            <w:noWrap/>
            <w:hideMark/>
          </w:tcPr>
          <w:p w14:paraId="4BEBFF0E" w14:textId="62707E17" w:rsidR="002820E0" w:rsidRPr="00847FAE" w:rsidRDefault="002820E0" w:rsidP="004B6F5F">
            <w:pPr>
              <w:widowControl w:val="0"/>
              <w:rPr>
                <w:rFonts w:cs="Calibri"/>
                <w:color w:val="000000"/>
                <w:sz w:val="18"/>
                <w:szCs w:val="18"/>
                <w:vertAlign w:val="superscript"/>
              </w:rPr>
            </w:pPr>
            <w:r>
              <w:rPr>
                <w:rFonts w:cs="Calibri"/>
                <w:color w:val="000000"/>
                <w:sz w:val="18"/>
                <w:szCs w:val="18"/>
              </w:rPr>
              <w:t>Inquests and Investigations Completed</w:t>
            </w:r>
          </w:p>
        </w:tc>
        <w:tc>
          <w:tcPr>
            <w:tcW w:w="879" w:type="dxa"/>
            <w:tcBorders>
              <w:top w:val="single" w:sz="4" w:space="0" w:color="auto"/>
              <w:left w:val="nil"/>
              <w:bottom w:val="nil"/>
              <w:right w:val="nil"/>
            </w:tcBorders>
            <w:shd w:val="clear" w:color="auto" w:fill="D9D9D9" w:themeFill="background1" w:themeFillShade="D9"/>
            <w:noWrap/>
            <w:vAlign w:val="center"/>
          </w:tcPr>
          <w:p w14:paraId="37A499E6" w14:textId="77777777" w:rsidR="002820E0" w:rsidRPr="00847FAE" w:rsidRDefault="002820E0" w:rsidP="004B6F5F">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40B0CFEA" w14:textId="77777777" w:rsidR="002820E0" w:rsidRPr="00847FAE" w:rsidRDefault="002820E0" w:rsidP="004B6F5F">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5A252929" w14:textId="77777777" w:rsidR="002820E0" w:rsidRPr="00847FAE" w:rsidRDefault="002820E0" w:rsidP="004B6F5F">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5EA8EBF9" w14:textId="77777777" w:rsidR="002820E0" w:rsidRPr="00847FAE" w:rsidRDefault="002820E0" w:rsidP="004B6F5F">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1171A6BF" w14:textId="77777777" w:rsidR="002820E0" w:rsidRPr="00847FAE" w:rsidRDefault="002820E0" w:rsidP="004B6F5F">
            <w:pPr>
              <w:jc w:val="right"/>
              <w:rPr>
                <w:rFonts w:cs="Calibri"/>
                <w:iCs/>
                <w:color w:val="000000"/>
                <w:sz w:val="18"/>
                <w:szCs w:val="18"/>
              </w:rPr>
            </w:pPr>
          </w:p>
        </w:tc>
      </w:tr>
      <w:tr w:rsidR="002820E0" w:rsidRPr="00847FAE" w14:paraId="085303D9" w14:textId="77777777" w:rsidTr="001F1F60">
        <w:trPr>
          <w:cantSplit/>
          <w:trHeight w:val="255"/>
        </w:trPr>
        <w:tc>
          <w:tcPr>
            <w:tcW w:w="3402" w:type="dxa"/>
            <w:gridSpan w:val="4"/>
            <w:tcBorders>
              <w:top w:val="nil"/>
              <w:left w:val="nil"/>
              <w:bottom w:val="nil"/>
              <w:right w:val="nil"/>
            </w:tcBorders>
            <w:noWrap/>
            <w:hideMark/>
          </w:tcPr>
          <w:p w14:paraId="10230494" w14:textId="6189D9C3" w:rsidR="002820E0" w:rsidRPr="00847FAE" w:rsidRDefault="004B6F5F" w:rsidP="004B6F5F">
            <w:pPr>
              <w:widowControl w:val="0"/>
              <w:tabs>
                <w:tab w:val="left" w:pos="180"/>
              </w:tabs>
              <w:rPr>
                <w:rFonts w:cs="Calibri"/>
                <w:color w:val="000000"/>
                <w:sz w:val="18"/>
                <w:szCs w:val="18"/>
              </w:rPr>
            </w:pPr>
            <w:r>
              <w:rPr>
                <w:rFonts w:cs="Calibri"/>
                <w:iCs/>
                <w:color w:val="000000"/>
                <w:sz w:val="18"/>
                <w:szCs w:val="18"/>
              </w:rPr>
              <w:tab/>
            </w:r>
            <w:r w:rsidR="002820E0">
              <w:rPr>
                <w:rFonts w:cs="Calibri"/>
                <w:iCs/>
                <w:color w:val="000000"/>
                <w:sz w:val="18"/>
                <w:szCs w:val="18"/>
              </w:rPr>
              <w:t>Aircraft</w:t>
            </w:r>
          </w:p>
        </w:tc>
        <w:tc>
          <w:tcPr>
            <w:tcW w:w="879" w:type="dxa"/>
            <w:tcBorders>
              <w:top w:val="nil"/>
              <w:left w:val="nil"/>
              <w:bottom w:val="nil"/>
              <w:right w:val="nil"/>
            </w:tcBorders>
            <w:noWrap/>
            <w:vAlign w:val="center"/>
          </w:tcPr>
          <w:p w14:paraId="2A7369C6" w14:textId="1E97D051" w:rsidR="002820E0" w:rsidRPr="00847FAE" w:rsidRDefault="002820E0" w:rsidP="004B6F5F">
            <w:pPr>
              <w:jc w:val="center"/>
              <w:rPr>
                <w:rFonts w:cs="Calibri"/>
                <w:color w:val="000000"/>
                <w:sz w:val="18"/>
                <w:szCs w:val="18"/>
              </w:rPr>
            </w:pPr>
            <w:r>
              <w:rPr>
                <w:rFonts w:cs="Calibri"/>
                <w:color w:val="000000"/>
                <w:sz w:val="18"/>
                <w:szCs w:val="18"/>
              </w:rPr>
              <w:t>1</w:t>
            </w:r>
          </w:p>
        </w:tc>
        <w:tc>
          <w:tcPr>
            <w:tcW w:w="879" w:type="dxa"/>
            <w:tcBorders>
              <w:top w:val="nil"/>
              <w:left w:val="nil"/>
              <w:bottom w:val="nil"/>
              <w:right w:val="nil"/>
            </w:tcBorders>
            <w:noWrap/>
            <w:vAlign w:val="center"/>
          </w:tcPr>
          <w:p w14:paraId="28AD99C3" w14:textId="2EFC5362" w:rsidR="002820E0" w:rsidRPr="00847FAE" w:rsidRDefault="002820E0" w:rsidP="004B6F5F">
            <w:pPr>
              <w:jc w:val="center"/>
              <w:rPr>
                <w:rFonts w:cs="Calibri"/>
                <w:color w:val="000000"/>
                <w:sz w:val="18"/>
                <w:szCs w:val="18"/>
              </w:rPr>
            </w:pPr>
            <w:r>
              <w:rPr>
                <w:rFonts w:cs="Calibri"/>
                <w:color w:val="000000"/>
                <w:sz w:val="18"/>
                <w:szCs w:val="18"/>
              </w:rPr>
              <w:t>1</w:t>
            </w:r>
          </w:p>
        </w:tc>
        <w:tc>
          <w:tcPr>
            <w:tcW w:w="879" w:type="dxa"/>
            <w:tcBorders>
              <w:top w:val="nil"/>
              <w:left w:val="nil"/>
              <w:bottom w:val="nil"/>
              <w:right w:val="nil"/>
            </w:tcBorders>
            <w:noWrap/>
            <w:vAlign w:val="center"/>
          </w:tcPr>
          <w:p w14:paraId="26F09699" w14:textId="05BF1E12" w:rsidR="002820E0" w:rsidRPr="00847FAE" w:rsidRDefault="002820E0"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76CE2D5E" w14:textId="6120DD39" w:rsidR="002820E0" w:rsidRPr="00847FAE" w:rsidRDefault="002820E0"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5EAF5B6B" w14:textId="5D2C36DF" w:rsidR="002820E0" w:rsidRPr="00847FAE" w:rsidRDefault="002820E0" w:rsidP="004B6F5F">
            <w:pPr>
              <w:jc w:val="center"/>
              <w:rPr>
                <w:rFonts w:cs="Calibri"/>
                <w:color w:val="000000"/>
                <w:sz w:val="18"/>
                <w:szCs w:val="18"/>
              </w:rPr>
            </w:pPr>
            <w:r>
              <w:rPr>
                <w:rFonts w:cs="Calibri"/>
                <w:color w:val="000000"/>
                <w:sz w:val="18"/>
                <w:szCs w:val="18"/>
              </w:rPr>
              <w:t>3</w:t>
            </w:r>
          </w:p>
        </w:tc>
      </w:tr>
      <w:tr w:rsidR="002820E0" w:rsidRPr="00847FAE" w14:paraId="1DC77A19" w14:textId="77777777" w:rsidTr="001F1F60">
        <w:trPr>
          <w:cantSplit/>
          <w:trHeight w:val="255"/>
        </w:trPr>
        <w:tc>
          <w:tcPr>
            <w:tcW w:w="3402" w:type="dxa"/>
            <w:gridSpan w:val="4"/>
            <w:tcBorders>
              <w:top w:val="nil"/>
              <w:left w:val="nil"/>
              <w:bottom w:val="nil"/>
              <w:right w:val="nil"/>
            </w:tcBorders>
            <w:noWrap/>
          </w:tcPr>
          <w:p w14:paraId="73C7457D" w14:textId="71AB68C9" w:rsidR="002820E0" w:rsidRPr="00847FAE" w:rsidRDefault="004B6F5F" w:rsidP="004B6F5F">
            <w:pPr>
              <w:widowControl w:val="0"/>
              <w:tabs>
                <w:tab w:val="left" w:pos="180"/>
              </w:tabs>
              <w:rPr>
                <w:rFonts w:cs="Calibri"/>
                <w:iCs/>
                <w:color w:val="000000"/>
                <w:sz w:val="18"/>
                <w:szCs w:val="18"/>
              </w:rPr>
            </w:pPr>
            <w:r>
              <w:rPr>
                <w:rFonts w:cs="Calibri"/>
                <w:iCs/>
                <w:color w:val="000000"/>
                <w:sz w:val="18"/>
                <w:szCs w:val="18"/>
              </w:rPr>
              <w:tab/>
              <w:t>Death in Custody/Care</w:t>
            </w:r>
          </w:p>
        </w:tc>
        <w:tc>
          <w:tcPr>
            <w:tcW w:w="879" w:type="dxa"/>
            <w:tcBorders>
              <w:top w:val="nil"/>
              <w:left w:val="nil"/>
              <w:bottom w:val="nil"/>
              <w:right w:val="nil"/>
            </w:tcBorders>
            <w:noWrap/>
            <w:vAlign w:val="center"/>
          </w:tcPr>
          <w:p w14:paraId="3EC1CC50" w14:textId="2635515B" w:rsidR="002820E0" w:rsidRDefault="004B6F5F" w:rsidP="004B6F5F">
            <w:pPr>
              <w:jc w:val="center"/>
              <w:rPr>
                <w:rFonts w:cs="Calibri"/>
                <w:color w:val="000000"/>
                <w:sz w:val="18"/>
                <w:szCs w:val="18"/>
              </w:rPr>
            </w:pPr>
            <w:r>
              <w:rPr>
                <w:rFonts w:cs="Calibri"/>
                <w:color w:val="000000"/>
                <w:sz w:val="18"/>
                <w:szCs w:val="18"/>
              </w:rPr>
              <w:t>7</w:t>
            </w:r>
          </w:p>
        </w:tc>
        <w:tc>
          <w:tcPr>
            <w:tcW w:w="879" w:type="dxa"/>
            <w:tcBorders>
              <w:top w:val="nil"/>
              <w:left w:val="nil"/>
              <w:bottom w:val="nil"/>
              <w:right w:val="nil"/>
            </w:tcBorders>
            <w:noWrap/>
            <w:vAlign w:val="center"/>
          </w:tcPr>
          <w:p w14:paraId="2BC7F54D" w14:textId="42CC22FA" w:rsidR="002820E0" w:rsidRDefault="00CA3614" w:rsidP="004B6F5F">
            <w:pPr>
              <w:jc w:val="center"/>
              <w:rPr>
                <w:rFonts w:cs="Calibri"/>
                <w:color w:val="000000"/>
                <w:sz w:val="18"/>
                <w:szCs w:val="18"/>
              </w:rPr>
            </w:pPr>
            <w:r>
              <w:rPr>
                <w:rFonts w:cs="Calibri"/>
                <w:color w:val="000000"/>
                <w:sz w:val="18"/>
                <w:szCs w:val="18"/>
              </w:rPr>
              <w:t>4</w:t>
            </w:r>
          </w:p>
        </w:tc>
        <w:tc>
          <w:tcPr>
            <w:tcW w:w="879" w:type="dxa"/>
            <w:tcBorders>
              <w:top w:val="nil"/>
              <w:left w:val="nil"/>
              <w:bottom w:val="nil"/>
              <w:right w:val="nil"/>
            </w:tcBorders>
            <w:noWrap/>
            <w:vAlign w:val="center"/>
          </w:tcPr>
          <w:p w14:paraId="311A5574" w14:textId="0C14837D" w:rsidR="002820E0" w:rsidRDefault="00CA3614" w:rsidP="004B6F5F">
            <w:pPr>
              <w:jc w:val="center"/>
              <w:rPr>
                <w:rFonts w:cs="Calibri"/>
                <w:color w:val="000000"/>
                <w:sz w:val="18"/>
                <w:szCs w:val="18"/>
              </w:rPr>
            </w:pPr>
            <w:r>
              <w:rPr>
                <w:rFonts w:cs="Calibri"/>
                <w:color w:val="000000"/>
                <w:sz w:val="18"/>
                <w:szCs w:val="18"/>
              </w:rPr>
              <w:t>3</w:t>
            </w:r>
          </w:p>
        </w:tc>
        <w:tc>
          <w:tcPr>
            <w:tcW w:w="879" w:type="dxa"/>
            <w:tcBorders>
              <w:top w:val="nil"/>
              <w:left w:val="nil"/>
              <w:bottom w:val="nil"/>
              <w:right w:val="nil"/>
            </w:tcBorders>
            <w:noWrap/>
            <w:vAlign w:val="center"/>
          </w:tcPr>
          <w:p w14:paraId="5A4D0BBF" w14:textId="62B6E9CC" w:rsidR="002820E0" w:rsidRDefault="00CA3614" w:rsidP="004B6F5F">
            <w:pPr>
              <w:jc w:val="center"/>
              <w:rPr>
                <w:rFonts w:cs="Calibri"/>
                <w:color w:val="000000"/>
                <w:sz w:val="18"/>
                <w:szCs w:val="18"/>
              </w:rPr>
            </w:pPr>
            <w:r>
              <w:rPr>
                <w:rFonts w:cs="Calibri"/>
                <w:color w:val="000000"/>
                <w:sz w:val="18"/>
                <w:szCs w:val="18"/>
              </w:rPr>
              <w:t>6*</w:t>
            </w:r>
          </w:p>
        </w:tc>
        <w:tc>
          <w:tcPr>
            <w:tcW w:w="879" w:type="dxa"/>
            <w:tcBorders>
              <w:top w:val="nil"/>
              <w:left w:val="nil"/>
              <w:bottom w:val="nil"/>
              <w:right w:val="nil"/>
            </w:tcBorders>
            <w:noWrap/>
            <w:vAlign w:val="center"/>
          </w:tcPr>
          <w:p w14:paraId="58C87899" w14:textId="7E612C4A" w:rsidR="002820E0" w:rsidRDefault="00CA3614" w:rsidP="004B6F5F">
            <w:pPr>
              <w:jc w:val="center"/>
              <w:rPr>
                <w:rFonts w:cs="Calibri"/>
                <w:color w:val="000000"/>
                <w:sz w:val="18"/>
                <w:szCs w:val="18"/>
              </w:rPr>
            </w:pPr>
            <w:r>
              <w:rPr>
                <w:rFonts w:cs="Calibri"/>
                <w:color w:val="000000"/>
                <w:sz w:val="18"/>
                <w:szCs w:val="18"/>
              </w:rPr>
              <w:t>2</w:t>
            </w:r>
          </w:p>
        </w:tc>
      </w:tr>
      <w:tr w:rsidR="004B6F5F" w:rsidRPr="00847FAE" w14:paraId="49856CC1" w14:textId="77777777" w:rsidTr="001F1F60">
        <w:trPr>
          <w:cantSplit/>
          <w:trHeight w:val="255"/>
        </w:trPr>
        <w:tc>
          <w:tcPr>
            <w:tcW w:w="3402" w:type="dxa"/>
            <w:gridSpan w:val="4"/>
            <w:tcBorders>
              <w:top w:val="nil"/>
              <w:left w:val="nil"/>
              <w:bottom w:val="nil"/>
              <w:right w:val="nil"/>
            </w:tcBorders>
            <w:noWrap/>
          </w:tcPr>
          <w:p w14:paraId="410376E6" w14:textId="66620178"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Domestic Accident</w:t>
            </w:r>
          </w:p>
        </w:tc>
        <w:tc>
          <w:tcPr>
            <w:tcW w:w="879" w:type="dxa"/>
            <w:tcBorders>
              <w:top w:val="nil"/>
              <w:left w:val="nil"/>
              <w:bottom w:val="nil"/>
              <w:right w:val="nil"/>
            </w:tcBorders>
            <w:noWrap/>
            <w:vAlign w:val="center"/>
          </w:tcPr>
          <w:p w14:paraId="3CF53A69" w14:textId="5D74A0AB" w:rsidR="004B6F5F" w:rsidRDefault="004B6F5F" w:rsidP="004B6F5F">
            <w:pPr>
              <w:jc w:val="center"/>
              <w:rPr>
                <w:rFonts w:cs="Calibri"/>
                <w:color w:val="000000"/>
                <w:sz w:val="18"/>
                <w:szCs w:val="18"/>
              </w:rPr>
            </w:pPr>
            <w:r>
              <w:rPr>
                <w:rFonts w:cs="Calibri"/>
                <w:color w:val="000000"/>
                <w:sz w:val="18"/>
                <w:szCs w:val="18"/>
              </w:rPr>
              <w:t>3</w:t>
            </w:r>
          </w:p>
        </w:tc>
        <w:tc>
          <w:tcPr>
            <w:tcW w:w="879" w:type="dxa"/>
            <w:tcBorders>
              <w:top w:val="nil"/>
              <w:left w:val="nil"/>
              <w:bottom w:val="nil"/>
              <w:right w:val="nil"/>
            </w:tcBorders>
            <w:noWrap/>
            <w:vAlign w:val="center"/>
          </w:tcPr>
          <w:p w14:paraId="26CE945B" w14:textId="28AFF275" w:rsidR="004B6F5F" w:rsidRDefault="00CA3614" w:rsidP="004B6F5F">
            <w:pPr>
              <w:jc w:val="center"/>
              <w:rPr>
                <w:rFonts w:cs="Calibri"/>
                <w:color w:val="000000"/>
                <w:sz w:val="18"/>
                <w:szCs w:val="18"/>
              </w:rPr>
            </w:pPr>
            <w:r>
              <w:rPr>
                <w:rFonts w:cs="Calibri"/>
                <w:color w:val="000000"/>
                <w:sz w:val="18"/>
                <w:szCs w:val="18"/>
              </w:rPr>
              <w:t>3</w:t>
            </w:r>
          </w:p>
        </w:tc>
        <w:tc>
          <w:tcPr>
            <w:tcW w:w="879" w:type="dxa"/>
            <w:tcBorders>
              <w:top w:val="nil"/>
              <w:left w:val="nil"/>
              <w:bottom w:val="nil"/>
              <w:right w:val="nil"/>
            </w:tcBorders>
            <w:noWrap/>
            <w:vAlign w:val="center"/>
          </w:tcPr>
          <w:p w14:paraId="5E1E221A" w14:textId="52CADF14" w:rsidR="004B6F5F" w:rsidRDefault="00CA3614" w:rsidP="004B6F5F">
            <w:pPr>
              <w:jc w:val="center"/>
              <w:rPr>
                <w:rFonts w:cs="Calibri"/>
                <w:color w:val="000000"/>
                <w:sz w:val="18"/>
                <w:szCs w:val="18"/>
              </w:rPr>
            </w:pPr>
            <w:r>
              <w:rPr>
                <w:rFonts w:cs="Calibri"/>
                <w:color w:val="000000"/>
                <w:sz w:val="18"/>
                <w:szCs w:val="18"/>
              </w:rPr>
              <w:t>4</w:t>
            </w:r>
          </w:p>
        </w:tc>
        <w:tc>
          <w:tcPr>
            <w:tcW w:w="879" w:type="dxa"/>
            <w:tcBorders>
              <w:top w:val="nil"/>
              <w:left w:val="nil"/>
              <w:bottom w:val="nil"/>
              <w:right w:val="nil"/>
            </w:tcBorders>
            <w:noWrap/>
            <w:vAlign w:val="center"/>
          </w:tcPr>
          <w:p w14:paraId="450F1E61" w14:textId="47CC9C0E" w:rsidR="004B6F5F" w:rsidRDefault="00CA3614"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700D4E65" w14:textId="4D3B5693" w:rsidR="004B6F5F" w:rsidRDefault="00CA3614" w:rsidP="004B6F5F">
            <w:pPr>
              <w:jc w:val="center"/>
              <w:rPr>
                <w:rFonts w:cs="Calibri"/>
                <w:color w:val="000000"/>
                <w:sz w:val="18"/>
                <w:szCs w:val="18"/>
              </w:rPr>
            </w:pPr>
            <w:r>
              <w:rPr>
                <w:rFonts w:cs="Calibri"/>
                <w:color w:val="000000"/>
                <w:sz w:val="18"/>
                <w:szCs w:val="18"/>
              </w:rPr>
              <w:t>7</w:t>
            </w:r>
          </w:p>
        </w:tc>
      </w:tr>
      <w:tr w:rsidR="004B6F5F" w:rsidRPr="00847FAE" w14:paraId="681A70B3" w14:textId="77777777" w:rsidTr="001F1F60">
        <w:trPr>
          <w:cantSplit/>
          <w:trHeight w:val="255"/>
        </w:trPr>
        <w:tc>
          <w:tcPr>
            <w:tcW w:w="3402" w:type="dxa"/>
            <w:gridSpan w:val="4"/>
            <w:tcBorders>
              <w:top w:val="nil"/>
              <w:left w:val="nil"/>
              <w:bottom w:val="nil"/>
              <w:right w:val="nil"/>
            </w:tcBorders>
            <w:noWrap/>
          </w:tcPr>
          <w:p w14:paraId="3C426151" w14:textId="0D85CE25"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Drowning</w:t>
            </w:r>
          </w:p>
        </w:tc>
        <w:tc>
          <w:tcPr>
            <w:tcW w:w="879" w:type="dxa"/>
            <w:tcBorders>
              <w:top w:val="nil"/>
              <w:left w:val="nil"/>
              <w:bottom w:val="nil"/>
              <w:right w:val="nil"/>
            </w:tcBorders>
            <w:noWrap/>
            <w:vAlign w:val="center"/>
          </w:tcPr>
          <w:p w14:paraId="599C377E" w14:textId="1CD7043E" w:rsidR="004B6F5F" w:rsidRDefault="004B6F5F" w:rsidP="004B6F5F">
            <w:pPr>
              <w:jc w:val="center"/>
              <w:rPr>
                <w:rFonts w:cs="Calibri"/>
                <w:color w:val="000000"/>
                <w:sz w:val="18"/>
                <w:szCs w:val="18"/>
              </w:rPr>
            </w:pPr>
            <w:r>
              <w:rPr>
                <w:rFonts w:cs="Calibri"/>
                <w:color w:val="000000"/>
                <w:sz w:val="18"/>
                <w:szCs w:val="18"/>
              </w:rPr>
              <w:t>8</w:t>
            </w:r>
          </w:p>
        </w:tc>
        <w:tc>
          <w:tcPr>
            <w:tcW w:w="879" w:type="dxa"/>
            <w:tcBorders>
              <w:top w:val="nil"/>
              <w:left w:val="nil"/>
              <w:bottom w:val="nil"/>
              <w:right w:val="nil"/>
            </w:tcBorders>
            <w:noWrap/>
            <w:vAlign w:val="center"/>
          </w:tcPr>
          <w:p w14:paraId="5909D029" w14:textId="6FF14DF6" w:rsidR="004B6F5F" w:rsidRDefault="00CA3614" w:rsidP="004B6F5F">
            <w:pPr>
              <w:jc w:val="center"/>
              <w:rPr>
                <w:rFonts w:cs="Calibri"/>
                <w:color w:val="000000"/>
                <w:sz w:val="18"/>
                <w:szCs w:val="18"/>
              </w:rPr>
            </w:pPr>
            <w:r>
              <w:rPr>
                <w:rFonts w:cs="Calibri"/>
                <w:color w:val="000000"/>
                <w:sz w:val="18"/>
                <w:szCs w:val="18"/>
              </w:rPr>
              <w:t>13</w:t>
            </w:r>
          </w:p>
        </w:tc>
        <w:tc>
          <w:tcPr>
            <w:tcW w:w="879" w:type="dxa"/>
            <w:tcBorders>
              <w:top w:val="nil"/>
              <w:left w:val="nil"/>
              <w:bottom w:val="nil"/>
              <w:right w:val="nil"/>
            </w:tcBorders>
            <w:noWrap/>
            <w:vAlign w:val="center"/>
          </w:tcPr>
          <w:p w14:paraId="6883AA9B" w14:textId="2BD5A555" w:rsidR="004B6F5F" w:rsidRDefault="00CA3614" w:rsidP="004B6F5F">
            <w:pPr>
              <w:jc w:val="center"/>
              <w:rPr>
                <w:rFonts w:cs="Calibri"/>
                <w:color w:val="000000"/>
                <w:sz w:val="18"/>
                <w:szCs w:val="18"/>
              </w:rPr>
            </w:pPr>
            <w:r>
              <w:rPr>
                <w:rFonts w:cs="Calibri"/>
                <w:color w:val="000000"/>
                <w:sz w:val="18"/>
                <w:szCs w:val="18"/>
              </w:rPr>
              <w:t>13</w:t>
            </w:r>
          </w:p>
        </w:tc>
        <w:tc>
          <w:tcPr>
            <w:tcW w:w="879" w:type="dxa"/>
            <w:tcBorders>
              <w:top w:val="nil"/>
              <w:left w:val="nil"/>
              <w:bottom w:val="nil"/>
              <w:right w:val="nil"/>
            </w:tcBorders>
            <w:noWrap/>
            <w:vAlign w:val="center"/>
          </w:tcPr>
          <w:p w14:paraId="1E34E3DD" w14:textId="553FF68F" w:rsidR="004B6F5F" w:rsidRDefault="00CA3614" w:rsidP="004B6F5F">
            <w:pPr>
              <w:jc w:val="center"/>
              <w:rPr>
                <w:rFonts w:cs="Calibri"/>
                <w:color w:val="000000"/>
                <w:sz w:val="18"/>
                <w:szCs w:val="18"/>
              </w:rPr>
            </w:pPr>
            <w:r>
              <w:rPr>
                <w:rFonts w:cs="Calibri"/>
                <w:color w:val="000000"/>
                <w:sz w:val="18"/>
                <w:szCs w:val="18"/>
              </w:rPr>
              <w:t>9</w:t>
            </w:r>
          </w:p>
        </w:tc>
        <w:tc>
          <w:tcPr>
            <w:tcW w:w="879" w:type="dxa"/>
            <w:tcBorders>
              <w:top w:val="nil"/>
              <w:left w:val="nil"/>
              <w:bottom w:val="nil"/>
              <w:right w:val="nil"/>
            </w:tcBorders>
            <w:noWrap/>
            <w:vAlign w:val="center"/>
          </w:tcPr>
          <w:p w14:paraId="6E1649CF" w14:textId="76403E6E" w:rsidR="004B6F5F" w:rsidRDefault="00CA3614" w:rsidP="004B6F5F">
            <w:pPr>
              <w:jc w:val="center"/>
              <w:rPr>
                <w:rFonts w:cs="Calibri"/>
                <w:color w:val="000000"/>
                <w:sz w:val="18"/>
                <w:szCs w:val="18"/>
              </w:rPr>
            </w:pPr>
            <w:r>
              <w:rPr>
                <w:rFonts w:cs="Calibri"/>
                <w:color w:val="000000"/>
                <w:sz w:val="18"/>
                <w:szCs w:val="18"/>
              </w:rPr>
              <w:t>6</w:t>
            </w:r>
          </w:p>
        </w:tc>
      </w:tr>
      <w:tr w:rsidR="004B6F5F" w:rsidRPr="00847FAE" w14:paraId="45A86934" w14:textId="77777777" w:rsidTr="001F1F60">
        <w:trPr>
          <w:cantSplit/>
          <w:trHeight w:val="255"/>
        </w:trPr>
        <w:tc>
          <w:tcPr>
            <w:tcW w:w="3402" w:type="dxa"/>
            <w:gridSpan w:val="4"/>
            <w:tcBorders>
              <w:top w:val="nil"/>
              <w:left w:val="nil"/>
              <w:bottom w:val="nil"/>
              <w:right w:val="nil"/>
            </w:tcBorders>
            <w:noWrap/>
          </w:tcPr>
          <w:p w14:paraId="08E3627D" w14:textId="20A1CF4D"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Drug Overdose</w:t>
            </w:r>
          </w:p>
        </w:tc>
        <w:tc>
          <w:tcPr>
            <w:tcW w:w="879" w:type="dxa"/>
            <w:tcBorders>
              <w:top w:val="nil"/>
              <w:left w:val="nil"/>
              <w:bottom w:val="nil"/>
              <w:right w:val="nil"/>
            </w:tcBorders>
            <w:noWrap/>
            <w:vAlign w:val="center"/>
          </w:tcPr>
          <w:p w14:paraId="16460272" w14:textId="522823E1" w:rsidR="004B6F5F" w:rsidRDefault="004B6F5F" w:rsidP="004B6F5F">
            <w:pPr>
              <w:jc w:val="center"/>
              <w:rPr>
                <w:rFonts w:cs="Calibri"/>
                <w:color w:val="000000"/>
                <w:sz w:val="18"/>
                <w:szCs w:val="18"/>
              </w:rPr>
            </w:pPr>
            <w:r>
              <w:rPr>
                <w:rFonts w:cs="Calibri"/>
                <w:color w:val="000000"/>
                <w:sz w:val="18"/>
                <w:szCs w:val="18"/>
              </w:rPr>
              <w:t>18</w:t>
            </w:r>
          </w:p>
        </w:tc>
        <w:tc>
          <w:tcPr>
            <w:tcW w:w="879" w:type="dxa"/>
            <w:tcBorders>
              <w:top w:val="nil"/>
              <w:left w:val="nil"/>
              <w:bottom w:val="nil"/>
              <w:right w:val="nil"/>
            </w:tcBorders>
            <w:noWrap/>
            <w:vAlign w:val="center"/>
          </w:tcPr>
          <w:p w14:paraId="16D88943" w14:textId="0ECFDB0F" w:rsidR="004B6F5F" w:rsidRDefault="00CA3614" w:rsidP="004B6F5F">
            <w:pPr>
              <w:jc w:val="center"/>
              <w:rPr>
                <w:rFonts w:cs="Calibri"/>
                <w:color w:val="000000"/>
                <w:sz w:val="18"/>
                <w:szCs w:val="18"/>
              </w:rPr>
            </w:pPr>
            <w:r>
              <w:rPr>
                <w:rFonts w:cs="Calibri"/>
                <w:color w:val="000000"/>
                <w:sz w:val="18"/>
                <w:szCs w:val="18"/>
              </w:rPr>
              <w:t>29</w:t>
            </w:r>
          </w:p>
        </w:tc>
        <w:tc>
          <w:tcPr>
            <w:tcW w:w="879" w:type="dxa"/>
            <w:tcBorders>
              <w:top w:val="nil"/>
              <w:left w:val="nil"/>
              <w:bottom w:val="nil"/>
              <w:right w:val="nil"/>
            </w:tcBorders>
            <w:noWrap/>
            <w:vAlign w:val="center"/>
          </w:tcPr>
          <w:p w14:paraId="0C168B83" w14:textId="1C190F6A" w:rsidR="004B6F5F" w:rsidRDefault="00CA3614" w:rsidP="004B6F5F">
            <w:pPr>
              <w:jc w:val="center"/>
              <w:rPr>
                <w:rFonts w:cs="Calibri"/>
                <w:color w:val="000000"/>
                <w:sz w:val="18"/>
                <w:szCs w:val="18"/>
              </w:rPr>
            </w:pPr>
            <w:r>
              <w:rPr>
                <w:rFonts w:cs="Calibri"/>
                <w:color w:val="000000"/>
                <w:sz w:val="18"/>
                <w:szCs w:val="18"/>
              </w:rPr>
              <w:t>23</w:t>
            </w:r>
          </w:p>
        </w:tc>
        <w:tc>
          <w:tcPr>
            <w:tcW w:w="879" w:type="dxa"/>
            <w:tcBorders>
              <w:top w:val="nil"/>
              <w:left w:val="nil"/>
              <w:bottom w:val="nil"/>
              <w:right w:val="nil"/>
            </w:tcBorders>
            <w:noWrap/>
            <w:vAlign w:val="center"/>
          </w:tcPr>
          <w:p w14:paraId="57F2CE98" w14:textId="79C7289F" w:rsidR="004B6F5F" w:rsidRDefault="00CA3614" w:rsidP="004B6F5F">
            <w:pPr>
              <w:jc w:val="center"/>
              <w:rPr>
                <w:rFonts w:cs="Calibri"/>
                <w:color w:val="000000"/>
                <w:sz w:val="18"/>
                <w:szCs w:val="18"/>
              </w:rPr>
            </w:pPr>
            <w:r>
              <w:rPr>
                <w:rFonts w:cs="Calibri"/>
                <w:color w:val="000000"/>
                <w:sz w:val="18"/>
                <w:szCs w:val="18"/>
              </w:rPr>
              <w:t>25</w:t>
            </w:r>
          </w:p>
        </w:tc>
        <w:tc>
          <w:tcPr>
            <w:tcW w:w="879" w:type="dxa"/>
            <w:tcBorders>
              <w:top w:val="nil"/>
              <w:left w:val="nil"/>
              <w:bottom w:val="nil"/>
              <w:right w:val="nil"/>
            </w:tcBorders>
            <w:noWrap/>
            <w:vAlign w:val="center"/>
          </w:tcPr>
          <w:p w14:paraId="18EC8B4B" w14:textId="682CE92A" w:rsidR="004B6F5F" w:rsidRDefault="00CA3614" w:rsidP="004B6F5F">
            <w:pPr>
              <w:jc w:val="center"/>
              <w:rPr>
                <w:rFonts w:cs="Calibri"/>
                <w:color w:val="000000"/>
                <w:sz w:val="18"/>
                <w:szCs w:val="18"/>
              </w:rPr>
            </w:pPr>
            <w:r>
              <w:rPr>
                <w:rFonts w:cs="Calibri"/>
                <w:color w:val="000000"/>
                <w:sz w:val="18"/>
                <w:szCs w:val="18"/>
              </w:rPr>
              <w:t>22</w:t>
            </w:r>
          </w:p>
        </w:tc>
      </w:tr>
      <w:tr w:rsidR="004B6F5F" w:rsidRPr="00847FAE" w14:paraId="68FF8B68" w14:textId="77777777" w:rsidTr="001F1F60">
        <w:trPr>
          <w:cantSplit/>
          <w:trHeight w:val="255"/>
        </w:trPr>
        <w:tc>
          <w:tcPr>
            <w:tcW w:w="3402" w:type="dxa"/>
            <w:gridSpan w:val="4"/>
            <w:tcBorders>
              <w:top w:val="nil"/>
              <w:left w:val="nil"/>
              <w:bottom w:val="nil"/>
              <w:right w:val="nil"/>
            </w:tcBorders>
            <w:noWrap/>
          </w:tcPr>
          <w:p w14:paraId="17ADB2ED" w14:textId="6A24E7CC"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Fall</w:t>
            </w:r>
          </w:p>
        </w:tc>
        <w:tc>
          <w:tcPr>
            <w:tcW w:w="879" w:type="dxa"/>
            <w:tcBorders>
              <w:top w:val="nil"/>
              <w:left w:val="nil"/>
              <w:bottom w:val="nil"/>
              <w:right w:val="nil"/>
            </w:tcBorders>
            <w:noWrap/>
            <w:vAlign w:val="center"/>
          </w:tcPr>
          <w:p w14:paraId="7DB5E325" w14:textId="2C57C7E5" w:rsidR="004B6F5F" w:rsidRDefault="004B6F5F" w:rsidP="004B6F5F">
            <w:pPr>
              <w:jc w:val="center"/>
              <w:rPr>
                <w:rFonts w:cs="Calibri"/>
                <w:color w:val="000000"/>
                <w:sz w:val="18"/>
                <w:szCs w:val="18"/>
              </w:rPr>
            </w:pPr>
            <w:r>
              <w:rPr>
                <w:rFonts w:cs="Calibri"/>
                <w:color w:val="000000"/>
                <w:sz w:val="18"/>
                <w:szCs w:val="18"/>
              </w:rPr>
              <w:t>40</w:t>
            </w:r>
          </w:p>
        </w:tc>
        <w:tc>
          <w:tcPr>
            <w:tcW w:w="879" w:type="dxa"/>
            <w:tcBorders>
              <w:top w:val="nil"/>
              <w:left w:val="nil"/>
              <w:bottom w:val="nil"/>
              <w:right w:val="nil"/>
            </w:tcBorders>
            <w:noWrap/>
            <w:vAlign w:val="center"/>
          </w:tcPr>
          <w:p w14:paraId="45D7F35C" w14:textId="18BA76CB" w:rsidR="004B6F5F" w:rsidRDefault="00CA3614" w:rsidP="004B6F5F">
            <w:pPr>
              <w:jc w:val="center"/>
              <w:rPr>
                <w:rFonts w:cs="Calibri"/>
                <w:color w:val="000000"/>
                <w:sz w:val="18"/>
                <w:szCs w:val="18"/>
              </w:rPr>
            </w:pPr>
            <w:r>
              <w:rPr>
                <w:rFonts w:cs="Calibri"/>
                <w:color w:val="000000"/>
                <w:sz w:val="18"/>
                <w:szCs w:val="18"/>
              </w:rPr>
              <w:t>31</w:t>
            </w:r>
          </w:p>
        </w:tc>
        <w:tc>
          <w:tcPr>
            <w:tcW w:w="879" w:type="dxa"/>
            <w:tcBorders>
              <w:top w:val="nil"/>
              <w:left w:val="nil"/>
              <w:bottom w:val="nil"/>
              <w:right w:val="nil"/>
            </w:tcBorders>
            <w:noWrap/>
            <w:vAlign w:val="center"/>
          </w:tcPr>
          <w:p w14:paraId="089FE013" w14:textId="78C2C841" w:rsidR="004B6F5F" w:rsidRDefault="00CA3614" w:rsidP="004B6F5F">
            <w:pPr>
              <w:jc w:val="center"/>
              <w:rPr>
                <w:rFonts w:cs="Calibri"/>
                <w:color w:val="000000"/>
                <w:sz w:val="18"/>
                <w:szCs w:val="18"/>
              </w:rPr>
            </w:pPr>
            <w:r>
              <w:rPr>
                <w:rFonts w:cs="Calibri"/>
                <w:color w:val="000000"/>
                <w:sz w:val="18"/>
                <w:szCs w:val="18"/>
              </w:rPr>
              <w:t>32</w:t>
            </w:r>
          </w:p>
        </w:tc>
        <w:tc>
          <w:tcPr>
            <w:tcW w:w="879" w:type="dxa"/>
            <w:tcBorders>
              <w:top w:val="nil"/>
              <w:left w:val="nil"/>
              <w:bottom w:val="nil"/>
              <w:right w:val="nil"/>
            </w:tcBorders>
            <w:noWrap/>
            <w:vAlign w:val="center"/>
          </w:tcPr>
          <w:p w14:paraId="7863EF99" w14:textId="34643824" w:rsidR="004B6F5F" w:rsidRDefault="00CA3614" w:rsidP="004B6F5F">
            <w:pPr>
              <w:jc w:val="center"/>
              <w:rPr>
                <w:rFonts w:cs="Calibri"/>
                <w:color w:val="000000"/>
                <w:sz w:val="18"/>
                <w:szCs w:val="18"/>
              </w:rPr>
            </w:pPr>
            <w:r>
              <w:rPr>
                <w:rFonts w:cs="Calibri"/>
                <w:color w:val="000000"/>
                <w:sz w:val="18"/>
                <w:szCs w:val="18"/>
              </w:rPr>
              <w:t>33</w:t>
            </w:r>
          </w:p>
        </w:tc>
        <w:tc>
          <w:tcPr>
            <w:tcW w:w="879" w:type="dxa"/>
            <w:tcBorders>
              <w:top w:val="nil"/>
              <w:left w:val="nil"/>
              <w:bottom w:val="nil"/>
              <w:right w:val="nil"/>
            </w:tcBorders>
            <w:noWrap/>
            <w:vAlign w:val="center"/>
          </w:tcPr>
          <w:p w14:paraId="2CEBB15A" w14:textId="77CEADFE" w:rsidR="004B6F5F" w:rsidRDefault="00CA3614" w:rsidP="004B6F5F">
            <w:pPr>
              <w:jc w:val="center"/>
              <w:rPr>
                <w:rFonts w:cs="Calibri"/>
                <w:color w:val="000000"/>
                <w:sz w:val="18"/>
                <w:szCs w:val="18"/>
              </w:rPr>
            </w:pPr>
            <w:r>
              <w:rPr>
                <w:rFonts w:cs="Calibri"/>
                <w:color w:val="000000"/>
                <w:sz w:val="18"/>
                <w:szCs w:val="18"/>
              </w:rPr>
              <w:t>42</w:t>
            </w:r>
          </w:p>
        </w:tc>
      </w:tr>
      <w:tr w:rsidR="004B6F5F" w:rsidRPr="00847FAE" w14:paraId="67A46A3C" w14:textId="77777777" w:rsidTr="001F1F60">
        <w:trPr>
          <w:cantSplit/>
          <w:trHeight w:val="255"/>
        </w:trPr>
        <w:tc>
          <w:tcPr>
            <w:tcW w:w="3402" w:type="dxa"/>
            <w:gridSpan w:val="4"/>
            <w:tcBorders>
              <w:top w:val="nil"/>
              <w:left w:val="nil"/>
              <w:bottom w:val="nil"/>
              <w:right w:val="nil"/>
            </w:tcBorders>
            <w:noWrap/>
          </w:tcPr>
          <w:p w14:paraId="396E28EA" w14:textId="64977E1E"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Homicide</w:t>
            </w:r>
          </w:p>
        </w:tc>
        <w:tc>
          <w:tcPr>
            <w:tcW w:w="879" w:type="dxa"/>
            <w:tcBorders>
              <w:top w:val="nil"/>
              <w:left w:val="nil"/>
              <w:bottom w:val="nil"/>
              <w:right w:val="nil"/>
            </w:tcBorders>
            <w:noWrap/>
            <w:vAlign w:val="center"/>
          </w:tcPr>
          <w:p w14:paraId="52246429" w14:textId="044FDE2C" w:rsidR="004B6F5F" w:rsidRDefault="004B6F5F" w:rsidP="004B6F5F">
            <w:pPr>
              <w:jc w:val="center"/>
              <w:rPr>
                <w:rFonts w:cs="Calibri"/>
                <w:color w:val="000000"/>
                <w:sz w:val="18"/>
                <w:szCs w:val="18"/>
              </w:rPr>
            </w:pPr>
            <w:r>
              <w:rPr>
                <w:rFonts w:cs="Calibri"/>
                <w:color w:val="000000"/>
                <w:sz w:val="18"/>
                <w:szCs w:val="18"/>
              </w:rPr>
              <w:t>4</w:t>
            </w:r>
          </w:p>
        </w:tc>
        <w:tc>
          <w:tcPr>
            <w:tcW w:w="879" w:type="dxa"/>
            <w:tcBorders>
              <w:top w:val="nil"/>
              <w:left w:val="nil"/>
              <w:bottom w:val="nil"/>
              <w:right w:val="nil"/>
            </w:tcBorders>
            <w:noWrap/>
            <w:vAlign w:val="center"/>
          </w:tcPr>
          <w:p w14:paraId="592359DA" w14:textId="17EA8CE9" w:rsidR="004B6F5F" w:rsidRDefault="00CA3614" w:rsidP="004B6F5F">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vAlign w:val="center"/>
          </w:tcPr>
          <w:p w14:paraId="3C3ADBAF" w14:textId="01EE7CF4" w:rsidR="004B6F5F" w:rsidRDefault="00CA3614" w:rsidP="004B6F5F">
            <w:pPr>
              <w:jc w:val="center"/>
              <w:rPr>
                <w:rFonts w:cs="Calibri"/>
                <w:color w:val="000000"/>
                <w:sz w:val="18"/>
                <w:szCs w:val="18"/>
              </w:rPr>
            </w:pPr>
            <w:r>
              <w:rPr>
                <w:rFonts w:cs="Calibri"/>
                <w:color w:val="000000"/>
                <w:sz w:val="18"/>
                <w:szCs w:val="18"/>
              </w:rPr>
              <w:t>8</w:t>
            </w:r>
          </w:p>
        </w:tc>
        <w:tc>
          <w:tcPr>
            <w:tcW w:w="879" w:type="dxa"/>
            <w:tcBorders>
              <w:top w:val="nil"/>
              <w:left w:val="nil"/>
              <w:bottom w:val="nil"/>
              <w:right w:val="nil"/>
            </w:tcBorders>
            <w:noWrap/>
            <w:vAlign w:val="center"/>
          </w:tcPr>
          <w:p w14:paraId="390A9A19" w14:textId="77CC91F5" w:rsidR="004B6F5F" w:rsidRDefault="00CA3614" w:rsidP="004B6F5F">
            <w:pPr>
              <w:jc w:val="center"/>
              <w:rPr>
                <w:rFonts w:cs="Calibri"/>
                <w:color w:val="000000"/>
                <w:sz w:val="18"/>
                <w:szCs w:val="18"/>
              </w:rPr>
            </w:pPr>
            <w:r>
              <w:rPr>
                <w:rFonts w:cs="Calibri"/>
                <w:color w:val="000000"/>
                <w:sz w:val="18"/>
                <w:szCs w:val="18"/>
              </w:rPr>
              <w:t>7</w:t>
            </w:r>
          </w:p>
        </w:tc>
        <w:tc>
          <w:tcPr>
            <w:tcW w:w="879" w:type="dxa"/>
            <w:tcBorders>
              <w:top w:val="nil"/>
              <w:left w:val="nil"/>
              <w:bottom w:val="nil"/>
              <w:right w:val="nil"/>
            </w:tcBorders>
            <w:noWrap/>
            <w:vAlign w:val="center"/>
          </w:tcPr>
          <w:p w14:paraId="66C67C88" w14:textId="4F37E13A" w:rsidR="004B6F5F" w:rsidRDefault="00CA3614" w:rsidP="004B6F5F">
            <w:pPr>
              <w:jc w:val="center"/>
              <w:rPr>
                <w:rFonts w:cs="Calibri"/>
                <w:color w:val="000000"/>
                <w:sz w:val="18"/>
                <w:szCs w:val="18"/>
              </w:rPr>
            </w:pPr>
            <w:r>
              <w:rPr>
                <w:rFonts w:cs="Calibri"/>
                <w:color w:val="000000"/>
                <w:sz w:val="18"/>
                <w:szCs w:val="18"/>
              </w:rPr>
              <w:t>6</w:t>
            </w:r>
          </w:p>
        </w:tc>
      </w:tr>
      <w:tr w:rsidR="004B6F5F" w:rsidRPr="00847FAE" w14:paraId="578698BF" w14:textId="77777777" w:rsidTr="001F1F60">
        <w:trPr>
          <w:cantSplit/>
          <w:trHeight w:val="255"/>
        </w:trPr>
        <w:tc>
          <w:tcPr>
            <w:tcW w:w="3402" w:type="dxa"/>
            <w:gridSpan w:val="4"/>
            <w:tcBorders>
              <w:top w:val="nil"/>
              <w:left w:val="nil"/>
              <w:bottom w:val="nil"/>
              <w:right w:val="nil"/>
            </w:tcBorders>
            <w:noWrap/>
          </w:tcPr>
          <w:p w14:paraId="1B0FF3EB" w14:textId="1920123D"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Hospital</w:t>
            </w:r>
          </w:p>
        </w:tc>
        <w:tc>
          <w:tcPr>
            <w:tcW w:w="879" w:type="dxa"/>
            <w:tcBorders>
              <w:top w:val="nil"/>
              <w:left w:val="nil"/>
              <w:bottom w:val="nil"/>
              <w:right w:val="nil"/>
            </w:tcBorders>
            <w:noWrap/>
            <w:vAlign w:val="center"/>
          </w:tcPr>
          <w:p w14:paraId="4E0D3F69" w14:textId="45DCF487" w:rsidR="004B6F5F" w:rsidRDefault="004B6F5F" w:rsidP="004B6F5F">
            <w:pPr>
              <w:jc w:val="center"/>
              <w:rPr>
                <w:rFonts w:cs="Calibri"/>
                <w:color w:val="000000"/>
                <w:sz w:val="18"/>
                <w:szCs w:val="18"/>
              </w:rPr>
            </w:pPr>
            <w:r>
              <w:rPr>
                <w:rFonts w:cs="Calibri"/>
                <w:color w:val="000000"/>
                <w:sz w:val="18"/>
                <w:szCs w:val="18"/>
              </w:rPr>
              <w:t>15</w:t>
            </w:r>
          </w:p>
        </w:tc>
        <w:tc>
          <w:tcPr>
            <w:tcW w:w="879" w:type="dxa"/>
            <w:tcBorders>
              <w:top w:val="nil"/>
              <w:left w:val="nil"/>
              <w:bottom w:val="nil"/>
              <w:right w:val="nil"/>
            </w:tcBorders>
            <w:noWrap/>
            <w:vAlign w:val="center"/>
          </w:tcPr>
          <w:p w14:paraId="6D466C18" w14:textId="034DEE0F" w:rsidR="004B6F5F" w:rsidRDefault="00CA3614" w:rsidP="004B6F5F">
            <w:pPr>
              <w:jc w:val="center"/>
              <w:rPr>
                <w:rFonts w:cs="Calibri"/>
                <w:color w:val="000000"/>
                <w:sz w:val="18"/>
                <w:szCs w:val="18"/>
              </w:rPr>
            </w:pPr>
            <w:r>
              <w:rPr>
                <w:rFonts w:cs="Calibri"/>
                <w:color w:val="000000"/>
                <w:sz w:val="18"/>
                <w:szCs w:val="18"/>
              </w:rPr>
              <w:t>17</w:t>
            </w:r>
          </w:p>
        </w:tc>
        <w:tc>
          <w:tcPr>
            <w:tcW w:w="879" w:type="dxa"/>
            <w:tcBorders>
              <w:top w:val="nil"/>
              <w:left w:val="nil"/>
              <w:bottom w:val="nil"/>
              <w:right w:val="nil"/>
            </w:tcBorders>
            <w:noWrap/>
            <w:vAlign w:val="center"/>
          </w:tcPr>
          <w:p w14:paraId="41ADC377" w14:textId="44F93357" w:rsidR="004B6F5F" w:rsidRDefault="00CA3614" w:rsidP="004B6F5F">
            <w:pPr>
              <w:jc w:val="center"/>
              <w:rPr>
                <w:rFonts w:cs="Calibri"/>
                <w:color w:val="000000"/>
                <w:sz w:val="18"/>
                <w:szCs w:val="18"/>
              </w:rPr>
            </w:pPr>
            <w:r>
              <w:rPr>
                <w:rFonts w:cs="Calibri"/>
                <w:color w:val="000000"/>
                <w:sz w:val="18"/>
                <w:szCs w:val="18"/>
              </w:rPr>
              <w:t>25</w:t>
            </w:r>
          </w:p>
        </w:tc>
        <w:tc>
          <w:tcPr>
            <w:tcW w:w="879" w:type="dxa"/>
            <w:tcBorders>
              <w:top w:val="nil"/>
              <w:left w:val="nil"/>
              <w:bottom w:val="nil"/>
              <w:right w:val="nil"/>
            </w:tcBorders>
            <w:noWrap/>
            <w:vAlign w:val="center"/>
          </w:tcPr>
          <w:p w14:paraId="423071B0" w14:textId="2DA26AED" w:rsidR="004B6F5F" w:rsidRDefault="00CA3614" w:rsidP="004B6F5F">
            <w:pPr>
              <w:jc w:val="center"/>
              <w:rPr>
                <w:rFonts w:cs="Calibri"/>
                <w:color w:val="000000"/>
                <w:sz w:val="18"/>
                <w:szCs w:val="18"/>
              </w:rPr>
            </w:pPr>
            <w:r>
              <w:rPr>
                <w:rFonts w:cs="Calibri"/>
                <w:color w:val="000000"/>
                <w:sz w:val="18"/>
                <w:szCs w:val="18"/>
              </w:rPr>
              <w:t>34</w:t>
            </w:r>
          </w:p>
        </w:tc>
        <w:tc>
          <w:tcPr>
            <w:tcW w:w="879" w:type="dxa"/>
            <w:tcBorders>
              <w:top w:val="nil"/>
              <w:left w:val="nil"/>
              <w:bottom w:val="nil"/>
              <w:right w:val="nil"/>
            </w:tcBorders>
            <w:noWrap/>
            <w:vAlign w:val="center"/>
          </w:tcPr>
          <w:p w14:paraId="57865563" w14:textId="124BDD34" w:rsidR="004B6F5F" w:rsidRDefault="00CA3614" w:rsidP="004B6F5F">
            <w:pPr>
              <w:jc w:val="center"/>
              <w:rPr>
                <w:rFonts w:cs="Calibri"/>
                <w:color w:val="000000"/>
                <w:sz w:val="18"/>
                <w:szCs w:val="18"/>
              </w:rPr>
            </w:pPr>
            <w:r>
              <w:rPr>
                <w:rFonts w:cs="Calibri"/>
                <w:color w:val="000000"/>
                <w:sz w:val="18"/>
                <w:szCs w:val="18"/>
              </w:rPr>
              <w:t>19</w:t>
            </w:r>
          </w:p>
        </w:tc>
      </w:tr>
      <w:tr w:rsidR="004B6F5F" w:rsidRPr="00847FAE" w14:paraId="171B5BFF" w14:textId="77777777" w:rsidTr="001F1F60">
        <w:trPr>
          <w:cantSplit/>
          <w:trHeight w:val="255"/>
        </w:trPr>
        <w:tc>
          <w:tcPr>
            <w:tcW w:w="3402" w:type="dxa"/>
            <w:gridSpan w:val="4"/>
            <w:tcBorders>
              <w:top w:val="nil"/>
              <w:left w:val="nil"/>
              <w:bottom w:val="nil"/>
              <w:right w:val="nil"/>
            </w:tcBorders>
            <w:noWrap/>
          </w:tcPr>
          <w:p w14:paraId="35B85EBD" w14:textId="43C55728"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House Fire</w:t>
            </w:r>
          </w:p>
        </w:tc>
        <w:tc>
          <w:tcPr>
            <w:tcW w:w="879" w:type="dxa"/>
            <w:tcBorders>
              <w:top w:val="nil"/>
              <w:left w:val="nil"/>
              <w:bottom w:val="nil"/>
              <w:right w:val="nil"/>
            </w:tcBorders>
            <w:noWrap/>
            <w:vAlign w:val="center"/>
          </w:tcPr>
          <w:p w14:paraId="7D174263" w14:textId="5E84B3E8" w:rsidR="004B6F5F" w:rsidRDefault="004B6F5F" w:rsidP="004B6F5F">
            <w:pPr>
              <w:jc w:val="center"/>
              <w:rPr>
                <w:rFonts w:cs="Calibri"/>
                <w:color w:val="000000"/>
                <w:sz w:val="18"/>
                <w:szCs w:val="18"/>
              </w:rPr>
            </w:pPr>
            <w:r>
              <w:rPr>
                <w:rFonts w:cs="Calibri"/>
                <w:color w:val="000000"/>
                <w:sz w:val="18"/>
                <w:szCs w:val="18"/>
              </w:rPr>
              <w:t>1</w:t>
            </w:r>
          </w:p>
        </w:tc>
        <w:tc>
          <w:tcPr>
            <w:tcW w:w="879" w:type="dxa"/>
            <w:tcBorders>
              <w:top w:val="nil"/>
              <w:left w:val="nil"/>
              <w:bottom w:val="nil"/>
              <w:right w:val="nil"/>
            </w:tcBorders>
            <w:noWrap/>
            <w:vAlign w:val="center"/>
          </w:tcPr>
          <w:p w14:paraId="005AC5FB" w14:textId="61D66E43" w:rsidR="004B6F5F" w:rsidRDefault="00CA3614"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3569E4F5" w14:textId="22F045AA" w:rsidR="004B6F5F" w:rsidRDefault="00CA3614" w:rsidP="004B6F5F">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vAlign w:val="center"/>
          </w:tcPr>
          <w:p w14:paraId="3A815C61" w14:textId="5E14640C" w:rsidR="004B6F5F" w:rsidRDefault="00CA3614" w:rsidP="004B6F5F">
            <w:pPr>
              <w:jc w:val="center"/>
              <w:rPr>
                <w:rFonts w:cs="Calibri"/>
                <w:color w:val="000000"/>
                <w:sz w:val="18"/>
                <w:szCs w:val="18"/>
              </w:rPr>
            </w:pPr>
            <w:r>
              <w:rPr>
                <w:rFonts w:cs="Calibri"/>
                <w:color w:val="000000"/>
                <w:sz w:val="18"/>
                <w:szCs w:val="18"/>
              </w:rPr>
              <w:t>1</w:t>
            </w:r>
          </w:p>
        </w:tc>
        <w:tc>
          <w:tcPr>
            <w:tcW w:w="879" w:type="dxa"/>
            <w:tcBorders>
              <w:top w:val="nil"/>
              <w:left w:val="nil"/>
              <w:bottom w:val="nil"/>
              <w:right w:val="nil"/>
            </w:tcBorders>
            <w:noWrap/>
            <w:vAlign w:val="center"/>
          </w:tcPr>
          <w:p w14:paraId="0FC1C125" w14:textId="79D32F39" w:rsidR="004B6F5F" w:rsidRDefault="00CA3614" w:rsidP="004B6F5F">
            <w:pPr>
              <w:jc w:val="center"/>
              <w:rPr>
                <w:rFonts w:cs="Calibri"/>
                <w:color w:val="000000"/>
                <w:sz w:val="18"/>
                <w:szCs w:val="18"/>
              </w:rPr>
            </w:pPr>
            <w:r>
              <w:rPr>
                <w:rFonts w:cs="Calibri"/>
                <w:color w:val="000000"/>
                <w:sz w:val="18"/>
                <w:szCs w:val="18"/>
              </w:rPr>
              <w:t>2</w:t>
            </w:r>
          </w:p>
        </w:tc>
      </w:tr>
      <w:tr w:rsidR="004B6F5F" w:rsidRPr="00847FAE" w14:paraId="4C11284F" w14:textId="77777777" w:rsidTr="001F1F60">
        <w:trPr>
          <w:cantSplit/>
          <w:trHeight w:val="255"/>
        </w:trPr>
        <w:tc>
          <w:tcPr>
            <w:tcW w:w="3402" w:type="dxa"/>
            <w:gridSpan w:val="4"/>
            <w:tcBorders>
              <w:top w:val="nil"/>
              <w:left w:val="nil"/>
              <w:bottom w:val="nil"/>
              <w:right w:val="nil"/>
            </w:tcBorders>
            <w:noWrap/>
          </w:tcPr>
          <w:p w14:paraId="588351FD" w14:textId="4D8DD184"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Marine Fatality</w:t>
            </w:r>
          </w:p>
        </w:tc>
        <w:tc>
          <w:tcPr>
            <w:tcW w:w="879" w:type="dxa"/>
            <w:tcBorders>
              <w:top w:val="nil"/>
              <w:left w:val="nil"/>
              <w:bottom w:val="nil"/>
              <w:right w:val="nil"/>
            </w:tcBorders>
            <w:noWrap/>
            <w:vAlign w:val="center"/>
          </w:tcPr>
          <w:p w14:paraId="40ED2DE7" w14:textId="1AFE58FF" w:rsidR="004B6F5F" w:rsidRDefault="004B6F5F" w:rsidP="004B6F5F">
            <w:pPr>
              <w:jc w:val="center"/>
              <w:rPr>
                <w:rFonts w:cs="Calibri"/>
                <w:color w:val="000000"/>
                <w:sz w:val="18"/>
                <w:szCs w:val="18"/>
              </w:rPr>
            </w:pPr>
            <w:r>
              <w:rPr>
                <w:rFonts w:cs="Calibri"/>
                <w:color w:val="000000"/>
                <w:sz w:val="18"/>
                <w:szCs w:val="18"/>
              </w:rPr>
              <w:t>1</w:t>
            </w:r>
          </w:p>
        </w:tc>
        <w:tc>
          <w:tcPr>
            <w:tcW w:w="879" w:type="dxa"/>
            <w:tcBorders>
              <w:top w:val="nil"/>
              <w:left w:val="nil"/>
              <w:bottom w:val="nil"/>
              <w:right w:val="nil"/>
            </w:tcBorders>
            <w:noWrap/>
            <w:vAlign w:val="center"/>
          </w:tcPr>
          <w:p w14:paraId="6606CC56" w14:textId="148E996E" w:rsidR="004B6F5F" w:rsidRDefault="00CA3614" w:rsidP="004B6F5F">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vAlign w:val="center"/>
          </w:tcPr>
          <w:p w14:paraId="2DD9DBC8" w14:textId="5FDD5DE2" w:rsidR="004B6F5F" w:rsidRDefault="00CA3614"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19D147A6" w14:textId="38D8D8A3" w:rsidR="004B6F5F" w:rsidRDefault="00CA3614"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0CB6636E" w14:textId="04DD9232" w:rsidR="004B6F5F" w:rsidRDefault="00CA3614" w:rsidP="004B6F5F">
            <w:pPr>
              <w:jc w:val="center"/>
              <w:rPr>
                <w:rFonts w:cs="Calibri"/>
                <w:color w:val="000000"/>
                <w:sz w:val="18"/>
                <w:szCs w:val="18"/>
              </w:rPr>
            </w:pPr>
            <w:r>
              <w:rPr>
                <w:rFonts w:cs="Calibri"/>
                <w:color w:val="000000"/>
                <w:sz w:val="18"/>
                <w:szCs w:val="18"/>
              </w:rPr>
              <w:t>0</w:t>
            </w:r>
          </w:p>
        </w:tc>
      </w:tr>
      <w:tr w:rsidR="004B6F5F" w:rsidRPr="00847FAE" w14:paraId="4B2FE13B" w14:textId="77777777" w:rsidTr="001F1F60">
        <w:trPr>
          <w:cantSplit/>
          <w:trHeight w:val="255"/>
        </w:trPr>
        <w:tc>
          <w:tcPr>
            <w:tcW w:w="3402" w:type="dxa"/>
            <w:gridSpan w:val="4"/>
            <w:tcBorders>
              <w:top w:val="nil"/>
              <w:left w:val="nil"/>
              <w:bottom w:val="nil"/>
              <w:right w:val="nil"/>
            </w:tcBorders>
            <w:noWrap/>
          </w:tcPr>
          <w:p w14:paraId="1BDF11A9" w14:textId="60EF59D1"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Industrial Accident</w:t>
            </w:r>
          </w:p>
        </w:tc>
        <w:tc>
          <w:tcPr>
            <w:tcW w:w="879" w:type="dxa"/>
            <w:tcBorders>
              <w:top w:val="nil"/>
              <w:left w:val="nil"/>
              <w:bottom w:val="nil"/>
              <w:right w:val="nil"/>
            </w:tcBorders>
            <w:noWrap/>
            <w:vAlign w:val="center"/>
          </w:tcPr>
          <w:p w14:paraId="57B533F2" w14:textId="3E245D95" w:rsidR="004B6F5F" w:rsidRDefault="004B6F5F" w:rsidP="004B6F5F">
            <w:pPr>
              <w:jc w:val="center"/>
              <w:rPr>
                <w:rFonts w:cs="Calibri"/>
                <w:color w:val="000000"/>
                <w:sz w:val="18"/>
                <w:szCs w:val="18"/>
              </w:rPr>
            </w:pPr>
            <w:r>
              <w:rPr>
                <w:rFonts w:cs="Calibri"/>
                <w:color w:val="000000"/>
                <w:sz w:val="18"/>
                <w:szCs w:val="18"/>
              </w:rPr>
              <w:t>3</w:t>
            </w:r>
          </w:p>
        </w:tc>
        <w:tc>
          <w:tcPr>
            <w:tcW w:w="879" w:type="dxa"/>
            <w:tcBorders>
              <w:top w:val="nil"/>
              <w:left w:val="nil"/>
              <w:bottom w:val="nil"/>
              <w:right w:val="nil"/>
            </w:tcBorders>
            <w:noWrap/>
            <w:vAlign w:val="center"/>
          </w:tcPr>
          <w:p w14:paraId="5D96A38E" w14:textId="54FC30D7" w:rsidR="004B6F5F" w:rsidRDefault="00CA3614" w:rsidP="004B6F5F">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vAlign w:val="center"/>
          </w:tcPr>
          <w:p w14:paraId="770D53DA" w14:textId="7D73EE65" w:rsidR="004B6F5F" w:rsidRDefault="00CA3614" w:rsidP="004B6F5F">
            <w:pPr>
              <w:jc w:val="center"/>
              <w:rPr>
                <w:rFonts w:cs="Calibri"/>
                <w:color w:val="000000"/>
                <w:sz w:val="18"/>
                <w:szCs w:val="18"/>
              </w:rPr>
            </w:pPr>
            <w:r>
              <w:rPr>
                <w:rFonts w:cs="Calibri"/>
                <w:color w:val="000000"/>
                <w:sz w:val="18"/>
                <w:szCs w:val="18"/>
              </w:rPr>
              <w:t>1</w:t>
            </w:r>
          </w:p>
        </w:tc>
        <w:tc>
          <w:tcPr>
            <w:tcW w:w="879" w:type="dxa"/>
            <w:tcBorders>
              <w:top w:val="nil"/>
              <w:left w:val="nil"/>
              <w:bottom w:val="nil"/>
              <w:right w:val="nil"/>
            </w:tcBorders>
            <w:noWrap/>
            <w:vAlign w:val="center"/>
          </w:tcPr>
          <w:p w14:paraId="5556C728" w14:textId="1FAEF82D" w:rsidR="004B6F5F" w:rsidRDefault="00CA3614" w:rsidP="004B6F5F">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vAlign w:val="center"/>
          </w:tcPr>
          <w:p w14:paraId="7D233832" w14:textId="554E4DDD" w:rsidR="004B6F5F" w:rsidRDefault="00CA3614" w:rsidP="004B6F5F">
            <w:pPr>
              <w:jc w:val="center"/>
              <w:rPr>
                <w:rFonts w:cs="Calibri"/>
                <w:color w:val="000000"/>
                <w:sz w:val="18"/>
                <w:szCs w:val="18"/>
              </w:rPr>
            </w:pPr>
            <w:r>
              <w:rPr>
                <w:rFonts w:cs="Calibri"/>
                <w:color w:val="000000"/>
                <w:sz w:val="18"/>
                <w:szCs w:val="18"/>
              </w:rPr>
              <w:t>4</w:t>
            </w:r>
          </w:p>
        </w:tc>
      </w:tr>
      <w:tr w:rsidR="004B6F5F" w:rsidRPr="00847FAE" w14:paraId="293BE0CB" w14:textId="77777777" w:rsidTr="001F1F60">
        <w:trPr>
          <w:cantSplit/>
          <w:trHeight w:val="255"/>
        </w:trPr>
        <w:tc>
          <w:tcPr>
            <w:tcW w:w="3402" w:type="dxa"/>
            <w:gridSpan w:val="4"/>
            <w:tcBorders>
              <w:top w:val="nil"/>
              <w:left w:val="nil"/>
              <w:bottom w:val="nil"/>
              <w:right w:val="nil"/>
            </w:tcBorders>
            <w:noWrap/>
          </w:tcPr>
          <w:p w14:paraId="0CEA5F2E" w14:textId="15439CDE"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Natural</w:t>
            </w:r>
          </w:p>
        </w:tc>
        <w:tc>
          <w:tcPr>
            <w:tcW w:w="879" w:type="dxa"/>
            <w:tcBorders>
              <w:top w:val="nil"/>
              <w:left w:val="nil"/>
              <w:bottom w:val="nil"/>
              <w:right w:val="nil"/>
            </w:tcBorders>
            <w:noWrap/>
            <w:vAlign w:val="center"/>
          </w:tcPr>
          <w:p w14:paraId="1652114D" w14:textId="4DE57F2D" w:rsidR="004B6F5F" w:rsidRDefault="004B6F5F" w:rsidP="004B6F5F">
            <w:pPr>
              <w:jc w:val="center"/>
              <w:rPr>
                <w:rFonts w:cs="Calibri"/>
                <w:color w:val="000000"/>
                <w:sz w:val="18"/>
                <w:szCs w:val="18"/>
              </w:rPr>
            </w:pPr>
            <w:r>
              <w:rPr>
                <w:rFonts w:cs="Calibri"/>
                <w:color w:val="000000"/>
                <w:sz w:val="18"/>
                <w:szCs w:val="18"/>
              </w:rPr>
              <w:t>317</w:t>
            </w:r>
          </w:p>
        </w:tc>
        <w:tc>
          <w:tcPr>
            <w:tcW w:w="879" w:type="dxa"/>
            <w:tcBorders>
              <w:top w:val="nil"/>
              <w:left w:val="nil"/>
              <w:bottom w:val="nil"/>
              <w:right w:val="nil"/>
            </w:tcBorders>
            <w:noWrap/>
            <w:vAlign w:val="center"/>
          </w:tcPr>
          <w:p w14:paraId="656E632E" w14:textId="3D072084" w:rsidR="004B6F5F" w:rsidRDefault="00CA3614" w:rsidP="004B6F5F">
            <w:pPr>
              <w:jc w:val="center"/>
              <w:rPr>
                <w:rFonts w:cs="Calibri"/>
                <w:color w:val="000000"/>
                <w:sz w:val="18"/>
                <w:szCs w:val="18"/>
              </w:rPr>
            </w:pPr>
            <w:r>
              <w:rPr>
                <w:rFonts w:cs="Calibri"/>
                <w:color w:val="000000"/>
                <w:sz w:val="18"/>
                <w:szCs w:val="18"/>
              </w:rPr>
              <w:t>242</w:t>
            </w:r>
          </w:p>
        </w:tc>
        <w:tc>
          <w:tcPr>
            <w:tcW w:w="879" w:type="dxa"/>
            <w:tcBorders>
              <w:top w:val="nil"/>
              <w:left w:val="nil"/>
              <w:bottom w:val="nil"/>
              <w:right w:val="nil"/>
            </w:tcBorders>
            <w:noWrap/>
            <w:vAlign w:val="center"/>
          </w:tcPr>
          <w:p w14:paraId="56DFBBFE" w14:textId="71B743B1" w:rsidR="004B6F5F" w:rsidRDefault="00CA3614" w:rsidP="004B6F5F">
            <w:pPr>
              <w:jc w:val="center"/>
              <w:rPr>
                <w:rFonts w:cs="Calibri"/>
                <w:color w:val="000000"/>
                <w:sz w:val="18"/>
                <w:szCs w:val="18"/>
              </w:rPr>
            </w:pPr>
            <w:r>
              <w:rPr>
                <w:rFonts w:cs="Calibri"/>
                <w:color w:val="000000"/>
                <w:sz w:val="18"/>
                <w:szCs w:val="18"/>
              </w:rPr>
              <w:t>251</w:t>
            </w:r>
          </w:p>
        </w:tc>
        <w:tc>
          <w:tcPr>
            <w:tcW w:w="879" w:type="dxa"/>
            <w:tcBorders>
              <w:top w:val="nil"/>
              <w:left w:val="nil"/>
              <w:bottom w:val="nil"/>
              <w:right w:val="nil"/>
            </w:tcBorders>
            <w:noWrap/>
            <w:vAlign w:val="center"/>
          </w:tcPr>
          <w:p w14:paraId="603BE8C5" w14:textId="48F99840" w:rsidR="004B6F5F" w:rsidRDefault="00CA3614" w:rsidP="004B6F5F">
            <w:pPr>
              <w:jc w:val="center"/>
              <w:rPr>
                <w:rFonts w:cs="Calibri"/>
                <w:color w:val="000000"/>
                <w:sz w:val="18"/>
                <w:szCs w:val="18"/>
              </w:rPr>
            </w:pPr>
            <w:r>
              <w:rPr>
                <w:rFonts w:cs="Calibri"/>
                <w:color w:val="000000"/>
                <w:sz w:val="18"/>
                <w:szCs w:val="18"/>
              </w:rPr>
              <w:t>343</w:t>
            </w:r>
          </w:p>
        </w:tc>
        <w:tc>
          <w:tcPr>
            <w:tcW w:w="879" w:type="dxa"/>
            <w:tcBorders>
              <w:top w:val="nil"/>
              <w:left w:val="nil"/>
              <w:bottom w:val="nil"/>
              <w:right w:val="nil"/>
            </w:tcBorders>
            <w:noWrap/>
            <w:vAlign w:val="center"/>
          </w:tcPr>
          <w:p w14:paraId="755DC42D" w14:textId="1C43C87A" w:rsidR="004B6F5F" w:rsidRDefault="00CA3614" w:rsidP="004B6F5F">
            <w:pPr>
              <w:jc w:val="center"/>
              <w:rPr>
                <w:rFonts w:cs="Calibri"/>
                <w:color w:val="000000"/>
                <w:sz w:val="18"/>
                <w:szCs w:val="18"/>
              </w:rPr>
            </w:pPr>
            <w:r>
              <w:rPr>
                <w:rFonts w:cs="Calibri"/>
                <w:color w:val="000000"/>
                <w:sz w:val="18"/>
                <w:szCs w:val="18"/>
              </w:rPr>
              <w:t>320</w:t>
            </w:r>
          </w:p>
        </w:tc>
      </w:tr>
      <w:tr w:rsidR="004B6F5F" w:rsidRPr="00847FAE" w14:paraId="38AD22BB" w14:textId="77777777" w:rsidTr="001F1F60">
        <w:trPr>
          <w:cantSplit/>
          <w:trHeight w:val="255"/>
        </w:trPr>
        <w:tc>
          <w:tcPr>
            <w:tcW w:w="3402" w:type="dxa"/>
            <w:gridSpan w:val="4"/>
            <w:tcBorders>
              <w:top w:val="nil"/>
              <w:left w:val="nil"/>
              <w:bottom w:val="nil"/>
              <w:right w:val="nil"/>
            </w:tcBorders>
            <w:noWrap/>
          </w:tcPr>
          <w:p w14:paraId="187F11AC" w14:textId="636F704B"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Other</w:t>
            </w:r>
          </w:p>
        </w:tc>
        <w:tc>
          <w:tcPr>
            <w:tcW w:w="879" w:type="dxa"/>
            <w:tcBorders>
              <w:top w:val="nil"/>
              <w:left w:val="nil"/>
              <w:bottom w:val="nil"/>
              <w:right w:val="nil"/>
            </w:tcBorders>
            <w:noWrap/>
            <w:vAlign w:val="center"/>
          </w:tcPr>
          <w:p w14:paraId="5DD5B3D9" w14:textId="599BCA3D" w:rsidR="004B6F5F" w:rsidRDefault="004B6F5F" w:rsidP="004B6F5F">
            <w:pPr>
              <w:jc w:val="center"/>
              <w:rPr>
                <w:rFonts w:cs="Calibri"/>
                <w:color w:val="000000"/>
                <w:sz w:val="18"/>
                <w:szCs w:val="18"/>
              </w:rPr>
            </w:pPr>
            <w:r>
              <w:rPr>
                <w:rFonts w:cs="Calibri"/>
                <w:color w:val="000000"/>
                <w:sz w:val="18"/>
                <w:szCs w:val="18"/>
              </w:rPr>
              <w:t>19</w:t>
            </w:r>
          </w:p>
        </w:tc>
        <w:tc>
          <w:tcPr>
            <w:tcW w:w="879" w:type="dxa"/>
            <w:tcBorders>
              <w:top w:val="nil"/>
              <w:left w:val="nil"/>
              <w:bottom w:val="nil"/>
              <w:right w:val="nil"/>
            </w:tcBorders>
            <w:noWrap/>
            <w:vAlign w:val="center"/>
          </w:tcPr>
          <w:p w14:paraId="6A6166CB" w14:textId="631B85F4" w:rsidR="004B6F5F" w:rsidRDefault="00CA3614" w:rsidP="004B6F5F">
            <w:pPr>
              <w:jc w:val="center"/>
              <w:rPr>
                <w:rFonts w:cs="Calibri"/>
                <w:color w:val="000000"/>
                <w:sz w:val="18"/>
                <w:szCs w:val="18"/>
              </w:rPr>
            </w:pPr>
            <w:r>
              <w:rPr>
                <w:rFonts w:cs="Calibri"/>
                <w:color w:val="000000"/>
                <w:sz w:val="18"/>
                <w:szCs w:val="18"/>
              </w:rPr>
              <w:t>16</w:t>
            </w:r>
          </w:p>
        </w:tc>
        <w:tc>
          <w:tcPr>
            <w:tcW w:w="879" w:type="dxa"/>
            <w:tcBorders>
              <w:top w:val="nil"/>
              <w:left w:val="nil"/>
              <w:bottom w:val="nil"/>
              <w:right w:val="nil"/>
            </w:tcBorders>
            <w:noWrap/>
            <w:vAlign w:val="center"/>
          </w:tcPr>
          <w:p w14:paraId="35B16738" w14:textId="075988F1" w:rsidR="004B6F5F" w:rsidRDefault="00CA3614" w:rsidP="004B6F5F">
            <w:pPr>
              <w:jc w:val="center"/>
              <w:rPr>
                <w:rFonts w:cs="Calibri"/>
                <w:color w:val="000000"/>
                <w:sz w:val="18"/>
                <w:szCs w:val="18"/>
              </w:rPr>
            </w:pPr>
            <w:r>
              <w:rPr>
                <w:rFonts w:cs="Calibri"/>
                <w:color w:val="000000"/>
                <w:sz w:val="18"/>
                <w:szCs w:val="18"/>
              </w:rPr>
              <w:t>11</w:t>
            </w:r>
          </w:p>
        </w:tc>
        <w:tc>
          <w:tcPr>
            <w:tcW w:w="879" w:type="dxa"/>
            <w:tcBorders>
              <w:top w:val="nil"/>
              <w:left w:val="nil"/>
              <w:bottom w:val="nil"/>
              <w:right w:val="nil"/>
            </w:tcBorders>
            <w:noWrap/>
            <w:vAlign w:val="center"/>
          </w:tcPr>
          <w:p w14:paraId="71D19147" w14:textId="4F06C40C" w:rsidR="004B6F5F" w:rsidRDefault="00CA3614" w:rsidP="004B6F5F">
            <w:pPr>
              <w:jc w:val="center"/>
              <w:rPr>
                <w:rFonts w:cs="Calibri"/>
                <w:color w:val="000000"/>
                <w:sz w:val="18"/>
                <w:szCs w:val="18"/>
              </w:rPr>
            </w:pPr>
            <w:r>
              <w:rPr>
                <w:rFonts w:cs="Calibri"/>
                <w:color w:val="000000"/>
                <w:sz w:val="18"/>
                <w:szCs w:val="18"/>
              </w:rPr>
              <w:t>12</w:t>
            </w:r>
          </w:p>
        </w:tc>
        <w:tc>
          <w:tcPr>
            <w:tcW w:w="879" w:type="dxa"/>
            <w:tcBorders>
              <w:top w:val="nil"/>
              <w:left w:val="nil"/>
              <w:bottom w:val="nil"/>
              <w:right w:val="nil"/>
            </w:tcBorders>
            <w:noWrap/>
            <w:vAlign w:val="center"/>
          </w:tcPr>
          <w:p w14:paraId="0FBF4B01" w14:textId="30EDD754" w:rsidR="004B6F5F" w:rsidRDefault="00CA3614" w:rsidP="004B6F5F">
            <w:pPr>
              <w:jc w:val="center"/>
              <w:rPr>
                <w:rFonts w:cs="Calibri"/>
                <w:color w:val="000000"/>
                <w:sz w:val="18"/>
                <w:szCs w:val="18"/>
              </w:rPr>
            </w:pPr>
            <w:r>
              <w:rPr>
                <w:rFonts w:cs="Calibri"/>
                <w:color w:val="000000"/>
                <w:sz w:val="18"/>
                <w:szCs w:val="18"/>
              </w:rPr>
              <w:t>19</w:t>
            </w:r>
          </w:p>
        </w:tc>
      </w:tr>
      <w:tr w:rsidR="004B6F5F" w:rsidRPr="00847FAE" w14:paraId="4F4EA8BB" w14:textId="77777777" w:rsidTr="001F1F60">
        <w:trPr>
          <w:cantSplit/>
          <w:trHeight w:val="255"/>
        </w:trPr>
        <w:tc>
          <w:tcPr>
            <w:tcW w:w="3402" w:type="dxa"/>
            <w:gridSpan w:val="4"/>
            <w:tcBorders>
              <w:top w:val="nil"/>
              <w:left w:val="nil"/>
              <w:bottom w:val="nil"/>
              <w:right w:val="nil"/>
            </w:tcBorders>
            <w:noWrap/>
          </w:tcPr>
          <w:p w14:paraId="05AA2323" w14:textId="0AA68A90"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SIDS/SUDI</w:t>
            </w:r>
          </w:p>
        </w:tc>
        <w:tc>
          <w:tcPr>
            <w:tcW w:w="879" w:type="dxa"/>
            <w:tcBorders>
              <w:top w:val="nil"/>
              <w:left w:val="nil"/>
              <w:bottom w:val="nil"/>
              <w:right w:val="nil"/>
            </w:tcBorders>
            <w:noWrap/>
            <w:vAlign w:val="center"/>
          </w:tcPr>
          <w:p w14:paraId="6B129868" w14:textId="3D9ABE4E" w:rsidR="004B6F5F" w:rsidRDefault="004B6F5F" w:rsidP="004B6F5F">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vAlign w:val="center"/>
          </w:tcPr>
          <w:p w14:paraId="436DAB71" w14:textId="0FB90F9C" w:rsidR="004B6F5F" w:rsidRDefault="00CA3614" w:rsidP="004B6F5F">
            <w:pPr>
              <w:jc w:val="center"/>
              <w:rPr>
                <w:rFonts w:cs="Calibri"/>
                <w:color w:val="000000"/>
                <w:sz w:val="18"/>
                <w:szCs w:val="18"/>
              </w:rPr>
            </w:pPr>
            <w:r>
              <w:rPr>
                <w:rFonts w:cs="Calibri"/>
                <w:color w:val="000000"/>
                <w:sz w:val="18"/>
                <w:szCs w:val="18"/>
              </w:rPr>
              <w:t>4</w:t>
            </w:r>
          </w:p>
        </w:tc>
        <w:tc>
          <w:tcPr>
            <w:tcW w:w="879" w:type="dxa"/>
            <w:tcBorders>
              <w:top w:val="nil"/>
              <w:left w:val="nil"/>
              <w:bottom w:val="nil"/>
              <w:right w:val="nil"/>
            </w:tcBorders>
            <w:noWrap/>
            <w:vAlign w:val="center"/>
          </w:tcPr>
          <w:p w14:paraId="6156E9FC" w14:textId="36995A64" w:rsidR="004B6F5F" w:rsidRDefault="00CA3614" w:rsidP="004B6F5F">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vAlign w:val="center"/>
          </w:tcPr>
          <w:p w14:paraId="5E5B63E1" w14:textId="0D8FF430" w:rsidR="004B6F5F" w:rsidRDefault="00CA3614" w:rsidP="004B6F5F">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vAlign w:val="center"/>
          </w:tcPr>
          <w:p w14:paraId="731387D3" w14:textId="08287D68" w:rsidR="004B6F5F" w:rsidRDefault="00CA3614" w:rsidP="004B6F5F">
            <w:pPr>
              <w:jc w:val="center"/>
              <w:rPr>
                <w:rFonts w:cs="Calibri"/>
                <w:color w:val="000000"/>
                <w:sz w:val="18"/>
                <w:szCs w:val="18"/>
              </w:rPr>
            </w:pPr>
            <w:r>
              <w:rPr>
                <w:rFonts w:cs="Calibri"/>
                <w:color w:val="000000"/>
                <w:sz w:val="18"/>
                <w:szCs w:val="18"/>
              </w:rPr>
              <w:t>2</w:t>
            </w:r>
          </w:p>
        </w:tc>
      </w:tr>
      <w:tr w:rsidR="004B6F5F" w:rsidRPr="00847FAE" w14:paraId="23D037C8" w14:textId="77777777" w:rsidTr="001F1F60">
        <w:trPr>
          <w:cantSplit/>
          <w:trHeight w:val="255"/>
        </w:trPr>
        <w:tc>
          <w:tcPr>
            <w:tcW w:w="3402" w:type="dxa"/>
            <w:gridSpan w:val="4"/>
            <w:tcBorders>
              <w:top w:val="nil"/>
              <w:left w:val="nil"/>
              <w:bottom w:val="nil"/>
              <w:right w:val="nil"/>
            </w:tcBorders>
            <w:noWrap/>
          </w:tcPr>
          <w:p w14:paraId="08A3D5DF" w14:textId="69D210EE" w:rsidR="004B6F5F" w:rsidRDefault="004B6F5F" w:rsidP="004B6F5F">
            <w:pPr>
              <w:widowControl w:val="0"/>
              <w:tabs>
                <w:tab w:val="left" w:pos="180"/>
              </w:tabs>
              <w:rPr>
                <w:rFonts w:cs="Calibri"/>
                <w:iCs/>
                <w:color w:val="000000"/>
                <w:sz w:val="18"/>
                <w:szCs w:val="18"/>
              </w:rPr>
            </w:pPr>
            <w:r>
              <w:rPr>
                <w:bCs/>
                <w:sz w:val="18"/>
                <w:szCs w:val="18"/>
              </w:rPr>
              <w:tab/>
            </w:r>
            <w:r w:rsidRPr="002820E0">
              <w:rPr>
                <w:bCs/>
                <w:sz w:val="18"/>
                <w:szCs w:val="18"/>
              </w:rPr>
              <w:t>Suicide</w:t>
            </w:r>
          </w:p>
        </w:tc>
        <w:tc>
          <w:tcPr>
            <w:tcW w:w="879" w:type="dxa"/>
            <w:tcBorders>
              <w:top w:val="nil"/>
              <w:left w:val="nil"/>
              <w:bottom w:val="nil"/>
              <w:right w:val="nil"/>
            </w:tcBorders>
            <w:noWrap/>
            <w:vAlign w:val="center"/>
          </w:tcPr>
          <w:p w14:paraId="105075C0" w14:textId="347A8165" w:rsidR="004B6F5F" w:rsidRDefault="004B6F5F" w:rsidP="004B6F5F">
            <w:pPr>
              <w:jc w:val="center"/>
              <w:rPr>
                <w:rFonts w:cs="Calibri"/>
                <w:color w:val="000000"/>
                <w:sz w:val="18"/>
                <w:szCs w:val="18"/>
              </w:rPr>
            </w:pPr>
            <w:r>
              <w:rPr>
                <w:rFonts w:cs="Calibri"/>
                <w:color w:val="000000"/>
                <w:sz w:val="18"/>
                <w:szCs w:val="18"/>
              </w:rPr>
              <w:t>68</w:t>
            </w:r>
          </w:p>
        </w:tc>
        <w:tc>
          <w:tcPr>
            <w:tcW w:w="879" w:type="dxa"/>
            <w:tcBorders>
              <w:top w:val="nil"/>
              <w:left w:val="nil"/>
              <w:bottom w:val="nil"/>
              <w:right w:val="nil"/>
            </w:tcBorders>
            <w:noWrap/>
            <w:vAlign w:val="center"/>
          </w:tcPr>
          <w:p w14:paraId="79C200E4" w14:textId="35D6E7BC" w:rsidR="004B6F5F" w:rsidRDefault="00CA3614" w:rsidP="004B6F5F">
            <w:pPr>
              <w:jc w:val="center"/>
              <w:rPr>
                <w:rFonts w:cs="Calibri"/>
                <w:color w:val="000000"/>
                <w:sz w:val="18"/>
                <w:szCs w:val="18"/>
              </w:rPr>
            </w:pPr>
            <w:r>
              <w:rPr>
                <w:rFonts w:cs="Calibri"/>
                <w:color w:val="000000"/>
                <w:sz w:val="18"/>
                <w:szCs w:val="18"/>
              </w:rPr>
              <w:t>71</w:t>
            </w:r>
          </w:p>
        </w:tc>
        <w:tc>
          <w:tcPr>
            <w:tcW w:w="879" w:type="dxa"/>
            <w:tcBorders>
              <w:top w:val="nil"/>
              <w:left w:val="nil"/>
              <w:bottom w:val="nil"/>
              <w:right w:val="nil"/>
            </w:tcBorders>
            <w:noWrap/>
            <w:vAlign w:val="center"/>
          </w:tcPr>
          <w:p w14:paraId="22A9293C" w14:textId="66855AF9" w:rsidR="004B6F5F" w:rsidRDefault="00CA3614" w:rsidP="004B6F5F">
            <w:pPr>
              <w:jc w:val="center"/>
              <w:rPr>
                <w:rFonts w:cs="Calibri"/>
                <w:color w:val="000000"/>
                <w:sz w:val="18"/>
                <w:szCs w:val="18"/>
              </w:rPr>
            </w:pPr>
            <w:r>
              <w:rPr>
                <w:rFonts w:cs="Calibri"/>
                <w:color w:val="000000"/>
                <w:sz w:val="18"/>
                <w:szCs w:val="18"/>
              </w:rPr>
              <w:t>67</w:t>
            </w:r>
          </w:p>
        </w:tc>
        <w:tc>
          <w:tcPr>
            <w:tcW w:w="879" w:type="dxa"/>
            <w:tcBorders>
              <w:top w:val="nil"/>
              <w:left w:val="nil"/>
              <w:bottom w:val="nil"/>
              <w:right w:val="nil"/>
            </w:tcBorders>
            <w:noWrap/>
            <w:vAlign w:val="center"/>
          </w:tcPr>
          <w:p w14:paraId="4E9FA6C2" w14:textId="3F5B4AEB" w:rsidR="004B6F5F" w:rsidRDefault="00CA3614" w:rsidP="004B6F5F">
            <w:pPr>
              <w:jc w:val="center"/>
              <w:rPr>
                <w:rFonts w:cs="Calibri"/>
                <w:color w:val="000000"/>
                <w:sz w:val="18"/>
                <w:szCs w:val="18"/>
              </w:rPr>
            </w:pPr>
            <w:r>
              <w:rPr>
                <w:rFonts w:cs="Calibri"/>
                <w:color w:val="000000"/>
                <w:sz w:val="18"/>
                <w:szCs w:val="18"/>
              </w:rPr>
              <w:t>73**</w:t>
            </w:r>
          </w:p>
        </w:tc>
        <w:tc>
          <w:tcPr>
            <w:tcW w:w="879" w:type="dxa"/>
            <w:tcBorders>
              <w:top w:val="nil"/>
              <w:left w:val="nil"/>
              <w:bottom w:val="nil"/>
              <w:right w:val="nil"/>
            </w:tcBorders>
            <w:noWrap/>
            <w:vAlign w:val="center"/>
          </w:tcPr>
          <w:p w14:paraId="5DCD30A6" w14:textId="01B538F0" w:rsidR="004B6F5F" w:rsidRDefault="00CA3614" w:rsidP="004B6F5F">
            <w:pPr>
              <w:jc w:val="center"/>
              <w:rPr>
                <w:rFonts w:cs="Calibri"/>
                <w:color w:val="000000"/>
                <w:sz w:val="18"/>
                <w:szCs w:val="18"/>
              </w:rPr>
            </w:pPr>
            <w:r>
              <w:rPr>
                <w:rFonts w:cs="Calibri"/>
                <w:color w:val="000000"/>
                <w:sz w:val="18"/>
                <w:szCs w:val="18"/>
              </w:rPr>
              <w:t>87</w:t>
            </w:r>
          </w:p>
        </w:tc>
      </w:tr>
      <w:tr w:rsidR="004B6F5F" w:rsidRPr="00847FAE" w14:paraId="6E682103" w14:textId="77777777" w:rsidTr="001F1F60">
        <w:trPr>
          <w:cantSplit/>
          <w:trHeight w:val="255"/>
        </w:trPr>
        <w:tc>
          <w:tcPr>
            <w:tcW w:w="3402" w:type="dxa"/>
            <w:gridSpan w:val="4"/>
            <w:tcBorders>
              <w:top w:val="nil"/>
              <w:left w:val="nil"/>
              <w:bottom w:val="nil"/>
              <w:right w:val="nil"/>
            </w:tcBorders>
            <w:noWrap/>
          </w:tcPr>
          <w:p w14:paraId="305EF8AF" w14:textId="34FA34BC" w:rsidR="004B6F5F" w:rsidRDefault="004B6F5F" w:rsidP="004B6F5F">
            <w:pPr>
              <w:widowControl w:val="0"/>
              <w:tabs>
                <w:tab w:val="left" w:pos="180"/>
              </w:tabs>
              <w:rPr>
                <w:bCs/>
                <w:sz w:val="18"/>
                <w:szCs w:val="18"/>
              </w:rPr>
            </w:pPr>
            <w:r>
              <w:rPr>
                <w:bCs/>
                <w:sz w:val="18"/>
                <w:szCs w:val="18"/>
              </w:rPr>
              <w:tab/>
            </w:r>
            <w:r w:rsidRPr="002820E0">
              <w:rPr>
                <w:bCs/>
                <w:sz w:val="18"/>
                <w:szCs w:val="18"/>
              </w:rPr>
              <w:t>Undetermined Causes</w:t>
            </w:r>
          </w:p>
        </w:tc>
        <w:tc>
          <w:tcPr>
            <w:tcW w:w="879" w:type="dxa"/>
            <w:tcBorders>
              <w:top w:val="nil"/>
              <w:left w:val="nil"/>
              <w:bottom w:val="nil"/>
              <w:right w:val="nil"/>
            </w:tcBorders>
            <w:noWrap/>
            <w:vAlign w:val="center"/>
          </w:tcPr>
          <w:p w14:paraId="46772C50" w14:textId="7A943C4B" w:rsidR="004B6F5F" w:rsidRDefault="004B6F5F" w:rsidP="004B6F5F">
            <w:pPr>
              <w:jc w:val="center"/>
              <w:rPr>
                <w:rFonts w:cs="Calibri"/>
                <w:color w:val="000000"/>
                <w:sz w:val="18"/>
                <w:szCs w:val="18"/>
              </w:rPr>
            </w:pPr>
            <w:r>
              <w:rPr>
                <w:rFonts w:cs="Calibri"/>
                <w:color w:val="000000"/>
                <w:sz w:val="18"/>
                <w:szCs w:val="18"/>
              </w:rPr>
              <w:t>6</w:t>
            </w:r>
          </w:p>
        </w:tc>
        <w:tc>
          <w:tcPr>
            <w:tcW w:w="879" w:type="dxa"/>
            <w:tcBorders>
              <w:top w:val="nil"/>
              <w:left w:val="nil"/>
              <w:bottom w:val="nil"/>
              <w:right w:val="nil"/>
            </w:tcBorders>
            <w:noWrap/>
            <w:vAlign w:val="center"/>
          </w:tcPr>
          <w:p w14:paraId="64EBD1A0" w14:textId="5E795C59" w:rsidR="004B6F5F" w:rsidRDefault="004B6F5F" w:rsidP="004B6F5F">
            <w:pPr>
              <w:jc w:val="center"/>
              <w:rPr>
                <w:rFonts w:cs="Calibri"/>
                <w:color w:val="000000"/>
                <w:sz w:val="18"/>
                <w:szCs w:val="18"/>
              </w:rPr>
            </w:pPr>
            <w:r>
              <w:rPr>
                <w:rFonts w:cs="Calibri"/>
                <w:color w:val="000000"/>
                <w:sz w:val="18"/>
                <w:szCs w:val="18"/>
              </w:rPr>
              <w:t>17</w:t>
            </w:r>
          </w:p>
        </w:tc>
        <w:tc>
          <w:tcPr>
            <w:tcW w:w="879" w:type="dxa"/>
            <w:tcBorders>
              <w:top w:val="nil"/>
              <w:left w:val="nil"/>
              <w:bottom w:val="nil"/>
              <w:right w:val="nil"/>
            </w:tcBorders>
            <w:noWrap/>
            <w:vAlign w:val="center"/>
          </w:tcPr>
          <w:p w14:paraId="45D5DBCA" w14:textId="5F2B62E3" w:rsidR="004B6F5F" w:rsidRDefault="004B6F5F" w:rsidP="004B6F5F">
            <w:pPr>
              <w:jc w:val="center"/>
              <w:rPr>
                <w:rFonts w:cs="Calibri"/>
                <w:color w:val="000000"/>
                <w:sz w:val="18"/>
                <w:szCs w:val="18"/>
              </w:rPr>
            </w:pPr>
            <w:r>
              <w:rPr>
                <w:rFonts w:cs="Calibri"/>
                <w:color w:val="000000"/>
                <w:sz w:val="18"/>
                <w:szCs w:val="18"/>
              </w:rPr>
              <w:t>11</w:t>
            </w:r>
          </w:p>
        </w:tc>
        <w:tc>
          <w:tcPr>
            <w:tcW w:w="879" w:type="dxa"/>
            <w:tcBorders>
              <w:top w:val="nil"/>
              <w:left w:val="nil"/>
              <w:bottom w:val="nil"/>
              <w:right w:val="nil"/>
            </w:tcBorders>
            <w:noWrap/>
            <w:vAlign w:val="center"/>
          </w:tcPr>
          <w:p w14:paraId="385DA71B" w14:textId="350EB81B" w:rsidR="004B6F5F" w:rsidRDefault="004B6F5F" w:rsidP="004B6F5F">
            <w:pPr>
              <w:jc w:val="center"/>
              <w:rPr>
                <w:rFonts w:cs="Calibri"/>
                <w:color w:val="000000"/>
                <w:sz w:val="18"/>
                <w:szCs w:val="18"/>
              </w:rPr>
            </w:pPr>
            <w:r>
              <w:rPr>
                <w:rFonts w:cs="Calibri"/>
                <w:color w:val="000000"/>
                <w:sz w:val="18"/>
                <w:szCs w:val="18"/>
              </w:rPr>
              <w:t>10</w:t>
            </w:r>
          </w:p>
        </w:tc>
        <w:tc>
          <w:tcPr>
            <w:tcW w:w="879" w:type="dxa"/>
            <w:tcBorders>
              <w:top w:val="nil"/>
              <w:left w:val="nil"/>
              <w:bottom w:val="nil"/>
              <w:right w:val="nil"/>
            </w:tcBorders>
            <w:noWrap/>
            <w:vAlign w:val="center"/>
          </w:tcPr>
          <w:p w14:paraId="7BE07EA9" w14:textId="62F22E3F" w:rsidR="004B6F5F" w:rsidRDefault="004B6F5F" w:rsidP="004B6F5F">
            <w:pPr>
              <w:jc w:val="center"/>
              <w:rPr>
                <w:rFonts w:cs="Calibri"/>
                <w:color w:val="000000"/>
                <w:sz w:val="18"/>
                <w:szCs w:val="18"/>
              </w:rPr>
            </w:pPr>
            <w:r>
              <w:rPr>
                <w:rFonts w:cs="Calibri"/>
                <w:color w:val="000000"/>
                <w:sz w:val="18"/>
                <w:szCs w:val="18"/>
              </w:rPr>
              <w:t>29</w:t>
            </w:r>
          </w:p>
        </w:tc>
      </w:tr>
      <w:tr w:rsidR="004B6F5F" w:rsidRPr="00847FAE" w14:paraId="1CA4041F" w14:textId="77777777" w:rsidTr="001F1F60">
        <w:trPr>
          <w:cantSplit/>
          <w:trHeight w:val="255"/>
        </w:trPr>
        <w:tc>
          <w:tcPr>
            <w:tcW w:w="3402" w:type="dxa"/>
            <w:gridSpan w:val="4"/>
            <w:tcBorders>
              <w:top w:val="nil"/>
              <w:left w:val="nil"/>
              <w:bottom w:val="nil"/>
              <w:right w:val="nil"/>
            </w:tcBorders>
            <w:noWrap/>
          </w:tcPr>
          <w:p w14:paraId="4CB1E5F5" w14:textId="3F8CCD66" w:rsidR="004B6F5F" w:rsidRDefault="004B6F5F" w:rsidP="004B6F5F">
            <w:pPr>
              <w:widowControl w:val="0"/>
              <w:tabs>
                <w:tab w:val="left" w:pos="180"/>
              </w:tabs>
              <w:rPr>
                <w:bCs/>
                <w:sz w:val="18"/>
                <w:szCs w:val="18"/>
              </w:rPr>
            </w:pPr>
            <w:r>
              <w:rPr>
                <w:bCs/>
                <w:sz w:val="18"/>
                <w:szCs w:val="18"/>
              </w:rPr>
              <w:lastRenderedPageBreak/>
              <w:tab/>
            </w:r>
            <w:r w:rsidRPr="002820E0">
              <w:rPr>
                <w:bCs/>
                <w:sz w:val="18"/>
                <w:szCs w:val="18"/>
              </w:rPr>
              <w:t>Vehicle Crash</w:t>
            </w:r>
          </w:p>
        </w:tc>
        <w:tc>
          <w:tcPr>
            <w:tcW w:w="879" w:type="dxa"/>
            <w:tcBorders>
              <w:top w:val="nil"/>
              <w:left w:val="nil"/>
              <w:bottom w:val="nil"/>
              <w:right w:val="nil"/>
            </w:tcBorders>
            <w:noWrap/>
            <w:vAlign w:val="center"/>
          </w:tcPr>
          <w:p w14:paraId="5FCFC4FD" w14:textId="32FA4190" w:rsidR="004B6F5F" w:rsidRDefault="004B6F5F" w:rsidP="004B6F5F">
            <w:pPr>
              <w:jc w:val="center"/>
              <w:rPr>
                <w:rFonts w:cs="Calibri"/>
                <w:color w:val="000000"/>
                <w:sz w:val="18"/>
                <w:szCs w:val="18"/>
              </w:rPr>
            </w:pPr>
            <w:r>
              <w:rPr>
                <w:rFonts w:cs="Calibri"/>
                <w:color w:val="000000"/>
                <w:sz w:val="18"/>
                <w:szCs w:val="18"/>
              </w:rPr>
              <w:t>23</w:t>
            </w:r>
          </w:p>
        </w:tc>
        <w:tc>
          <w:tcPr>
            <w:tcW w:w="879" w:type="dxa"/>
            <w:tcBorders>
              <w:top w:val="nil"/>
              <w:left w:val="nil"/>
              <w:bottom w:val="nil"/>
              <w:right w:val="nil"/>
            </w:tcBorders>
            <w:noWrap/>
            <w:vAlign w:val="center"/>
          </w:tcPr>
          <w:p w14:paraId="40C507B6" w14:textId="492D6CCC" w:rsidR="004B6F5F" w:rsidRDefault="004B6F5F" w:rsidP="004B6F5F">
            <w:pPr>
              <w:jc w:val="center"/>
              <w:rPr>
                <w:rFonts w:cs="Calibri"/>
                <w:color w:val="000000"/>
                <w:sz w:val="18"/>
                <w:szCs w:val="18"/>
              </w:rPr>
            </w:pPr>
            <w:r>
              <w:rPr>
                <w:rFonts w:cs="Calibri"/>
                <w:color w:val="000000"/>
                <w:sz w:val="18"/>
                <w:szCs w:val="18"/>
              </w:rPr>
              <w:t>34</w:t>
            </w:r>
          </w:p>
        </w:tc>
        <w:tc>
          <w:tcPr>
            <w:tcW w:w="879" w:type="dxa"/>
            <w:tcBorders>
              <w:top w:val="nil"/>
              <w:left w:val="nil"/>
              <w:bottom w:val="nil"/>
              <w:right w:val="nil"/>
            </w:tcBorders>
            <w:noWrap/>
            <w:vAlign w:val="center"/>
          </w:tcPr>
          <w:p w14:paraId="61C596E0" w14:textId="732F3541" w:rsidR="004B6F5F" w:rsidRDefault="004B6F5F" w:rsidP="004B6F5F">
            <w:pPr>
              <w:jc w:val="center"/>
              <w:rPr>
                <w:rFonts w:cs="Calibri"/>
                <w:color w:val="000000"/>
                <w:sz w:val="18"/>
                <w:szCs w:val="18"/>
              </w:rPr>
            </w:pPr>
            <w:r>
              <w:rPr>
                <w:rFonts w:cs="Calibri"/>
                <w:color w:val="000000"/>
                <w:sz w:val="18"/>
                <w:szCs w:val="18"/>
              </w:rPr>
              <w:t>41</w:t>
            </w:r>
          </w:p>
        </w:tc>
        <w:tc>
          <w:tcPr>
            <w:tcW w:w="879" w:type="dxa"/>
            <w:tcBorders>
              <w:top w:val="nil"/>
              <w:left w:val="nil"/>
              <w:bottom w:val="nil"/>
              <w:right w:val="nil"/>
            </w:tcBorders>
            <w:noWrap/>
            <w:vAlign w:val="center"/>
          </w:tcPr>
          <w:p w14:paraId="7439ED55" w14:textId="28F9AEA9" w:rsidR="004B6F5F" w:rsidRDefault="004B6F5F" w:rsidP="004B6F5F">
            <w:pPr>
              <w:jc w:val="center"/>
              <w:rPr>
                <w:rFonts w:cs="Calibri"/>
                <w:color w:val="000000"/>
                <w:sz w:val="18"/>
                <w:szCs w:val="18"/>
              </w:rPr>
            </w:pPr>
            <w:r>
              <w:rPr>
                <w:rFonts w:cs="Calibri"/>
                <w:color w:val="000000"/>
                <w:sz w:val="18"/>
                <w:szCs w:val="18"/>
              </w:rPr>
              <w:t>29</w:t>
            </w:r>
          </w:p>
        </w:tc>
        <w:tc>
          <w:tcPr>
            <w:tcW w:w="879" w:type="dxa"/>
            <w:tcBorders>
              <w:top w:val="nil"/>
              <w:left w:val="nil"/>
              <w:bottom w:val="nil"/>
              <w:right w:val="nil"/>
            </w:tcBorders>
            <w:noWrap/>
            <w:vAlign w:val="center"/>
          </w:tcPr>
          <w:p w14:paraId="6D52CD89" w14:textId="292D4849" w:rsidR="004B6F5F" w:rsidRDefault="004B6F5F" w:rsidP="004B6F5F">
            <w:pPr>
              <w:jc w:val="center"/>
              <w:rPr>
                <w:rFonts w:cs="Calibri"/>
                <w:color w:val="000000"/>
                <w:sz w:val="18"/>
                <w:szCs w:val="18"/>
              </w:rPr>
            </w:pPr>
            <w:r>
              <w:rPr>
                <w:rFonts w:cs="Calibri"/>
                <w:color w:val="000000"/>
                <w:sz w:val="18"/>
                <w:szCs w:val="18"/>
              </w:rPr>
              <w:t>35</w:t>
            </w:r>
          </w:p>
        </w:tc>
      </w:tr>
      <w:tr w:rsidR="004B6F5F" w:rsidRPr="00847FAE" w14:paraId="46C34DB2" w14:textId="77777777" w:rsidTr="001F1F60">
        <w:trPr>
          <w:cantSplit/>
          <w:trHeight w:val="255"/>
        </w:trPr>
        <w:tc>
          <w:tcPr>
            <w:tcW w:w="3402" w:type="dxa"/>
            <w:gridSpan w:val="4"/>
            <w:tcBorders>
              <w:top w:val="nil"/>
              <w:left w:val="nil"/>
              <w:bottom w:val="single" w:sz="4" w:space="0" w:color="auto"/>
              <w:right w:val="nil"/>
            </w:tcBorders>
            <w:shd w:val="clear" w:color="auto" w:fill="D9D9D9" w:themeFill="background1" w:themeFillShade="D9"/>
            <w:noWrap/>
          </w:tcPr>
          <w:p w14:paraId="242DA482" w14:textId="38DED1A2" w:rsidR="004B6F5F" w:rsidRPr="00847FAE" w:rsidRDefault="004B6F5F" w:rsidP="004B6F5F">
            <w:pPr>
              <w:widowControl w:val="0"/>
              <w:rPr>
                <w:rFonts w:cs="Calibri"/>
                <w:color w:val="000000"/>
                <w:sz w:val="18"/>
                <w:szCs w:val="18"/>
              </w:rPr>
            </w:pPr>
            <w:r>
              <w:rPr>
                <w:rFonts w:cs="Calibri"/>
                <w:iCs/>
                <w:color w:val="000000"/>
                <w:sz w:val="18"/>
                <w:szCs w:val="18"/>
              </w:rPr>
              <w:t>TOTAL</w:t>
            </w:r>
          </w:p>
        </w:tc>
        <w:tc>
          <w:tcPr>
            <w:tcW w:w="879" w:type="dxa"/>
            <w:tcBorders>
              <w:top w:val="nil"/>
              <w:left w:val="nil"/>
              <w:bottom w:val="single" w:sz="4" w:space="0" w:color="auto"/>
              <w:right w:val="nil"/>
            </w:tcBorders>
            <w:shd w:val="clear" w:color="auto" w:fill="D9D9D9" w:themeFill="background1" w:themeFillShade="D9"/>
            <w:noWrap/>
            <w:vAlign w:val="center"/>
          </w:tcPr>
          <w:p w14:paraId="060CD5E3" w14:textId="77777777" w:rsidR="004B6F5F" w:rsidRPr="00847FAE" w:rsidRDefault="004B6F5F" w:rsidP="004B6F5F">
            <w:pPr>
              <w:jc w:val="center"/>
              <w:rPr>
                <w:rFonts w:cs="Calibri"/>
                <w:color w:val="000000"/>
                <w:sz w:val="18"/>
                <w:szCs w:val="18"/>
              </w:rPr>
            </w:pPr>
            <w:r>
              <w:rPr>
                <w:rFonts w:cs="Calibri"/>
                <w:color w:val="000000"/>
                <w:sz w:val="18"/>
                <w:szCs w:val="18"/>
              </w:rPr>
              <w:t>536</w:t>
            </w:r>
          </w:p>
        </w:tc>
        <w:tc>
          <w:tcPr>
            <w:tcW w:w="879" w:type="dxa"/>
            <w:tcBorders>
              <w:top w:val="nil"/>
              <w:left w:val="nil"/>
              <w:bottom w:val="single" w:sz="4" w:space="0" w:color="auto"/>
              <w:right w:val="nil"/>
            </w:tcBorders>
            <w:shd w:val="clear" w:color="auto" w:fill="D9D9D9" w:themeFill="background1" w:themeFillShade="D9"/>
            <w:noWrap/>
            <w:vAlign w:val="center"/>
          </w:tcPr>
          <w:p w14:paraId="357623F5" w14:textId="5537C4E7" w:rsidR="004B6F5F" w:rsidRPr="00847FAE" w:rsidRDefault="004B6F5F" w:rsidP="004B6F5F">
            <w:pPr>
              <w:jc w:val="center"/>
              <w:rPr>
                <w:rFonts w:cs="Calibri"/>
                <w:color w:val="000000"/>
                <w:sz w:val="18"/>
                <w:szCs w:val="18"/>
              </w:rPr>
            </w:pPr>
            <w:r>
              <w:rPr>
                <w:rFonts w:cs="Calibri"/>
                <w:color w:val="000000"/>
                <w:sz w:val="18"/>
                <w:szCs w:val="18"/>
              </w:rPr>
              <w:t>488</w:t>
            </w:r>
          </w:p>
        </w:tc>
        <w:tc>
          <w:tcPr>
            <w:tcW w:w="879" w:type="dxa"/>
            <w:tcBorders>
              <w:top w:val="nil"/>
              <w:left w:val="nil"/>
              <w:bottom w:val="single" w:sz="4" w:space="0" w:color="auto"/>
              <w:right w:val="nil"/>
            </w:tcBorders>
            <w:shd w:val="clear" w:color="auto" w:fill="D9D9D9" w:themeFill="background1" w:themeFillShade="D9"/>
            <w:noWrap/>
            <w:vAlign w:val="center"/>
          </w:tcPr>
          <w:p w14:paraId="104E3437" w14:textId="77777777" w:rsidR="004B6F5F" w:rsidRPr="00847FAE" w:rsidRDefault="004B6F5F" w:rsidP="004B6F5F">
            <w:pPr>
              <w:jc w:val="center"/>
              <w:rPr>
                <w:rFonts w:cs="Calibri"/>
                <w:color w:val="000000"/>
                <w:sz w:val="18"/>
                <w:szCs w:val="18"/>
              </w:rPr>
            </w:pPr>
            <w:r>
              <w:rPr>
                <w:rFonts w:cs="Calibri"/>
                <w:color w:val="000000"/>
                <w:sz w:val="18"/>
                <w:szCs w:val="18"/>
              </w:rPr>
              <w:t>494</w:t>
            </w:r>
          </w:p>
        </w:tc>
        <w:tc>
          <w:tcPr>
            <w:tcW w:w="879" w:type="dxa"/>
            <w:tcBorders>
              <w:top w:val="nil"/>
              <w:left w:val="nil"/>
              <w:bottom w:val="single" w:sz="4" w:space="0" w:color="auto"/>
              <w:right w:val="nil"/>
            </w:tcBorders>
            <w:shd w:val="clear" w:color="auto" w:fill="D9D9D9" w:themeFill="background1" w:themeFillShade="D9"/>
            <w:noWrap/>
            <w:vAlign w:val="center"/>
          </w:tcPr>
          <w:p w14:paraId="2335DD07" w14:textId="66D788DE" w:rsidR="004B6F5F" w:rsidRPr="00847FAE" w:rsidRDefault="004B6F5F" w:rsidP="00CA3614">
            <w:pPr>
              <w:jc w:val="center"/>
              <w:rPr>
                <w:rFonts w:cs="Calibri"/>
                <w:color w:val="000000"/>
                <w:sz w:val="18"/>
                <w:szCs w:val="18"/>
              </w:rPr>
            </w:pPr>
            <w:r>
              <w:rPr>
                <w:rFonts w:cs="Calibri"/>
                <w:color w:val="000000"/>
                <w:sz w:val="18"/>
                <w:szCs w:val="18"/>
              </w:rPr>
              <w:t>5</w:t>
            </w:r>
            <w:r w:rsidR="00CA3614">
              <w:rPr>
                <w:rFonts w:cs="Calibri"/>
                <w:color w:val="000000"/>
                <w:sz w:val="18"/>
                <w:szCs w:val="18"/>
              </w:rPr>
              <w:t>82</w:t>
            </w:r>
          </w:p>
        </w:tc>
        <w:tc>
          <w:tcPr>
            <w:tcW w:w="879" w:type="dxa"/>
            <w:tcBorders>
              <w:top w:val="nil"/>
              <w:left w:val="nil"/>
              <w:bottom w:val="single" w:sz="4" w:space="0" w:color="auto"/>
              <w:right w:val="nil"/>
            </w:tcBorders>
            <w:shd w:val="clear" w:color="auto" w:fill="D9D9D9" w:themeFill="background1" w:themeFillShade="D9"/>
            <w:noWrap/>
            <w:vAlign w:val="center"/>
          </w:tcPr>
          <w:p w14:paraId="646D0E1D" w14:textId="77777777" w:rsidR="004B6F5F" w:rsidRPr="00847FAE" w:rsidRDefault="004B6F5F" w:rsidP="004B6F5F">
            <w:pPr>
              <w:jc w:val="center"/>
              <w:rPr>
                <w:rFonts w:cs="Calibri"/>
                <w:color w:val="000000"/>
                <w:sz w:val="18"/>
                <w:szCs w:val="18"/>
              </w:rPr>
            </w:pPr>
            <w:r>
              <w:rPr>
                <w:rFonts w:cs="Calibri"/>
                <w:color w:val="000000"/>
                <w:sz w:val="18"/>
                <w:szCs w:val="18"/>
              </w:rPr>
              <w:t>605</w:t>
            </w:r>
          </w:p>
        </w:tc>
      </w:tr>
    </w:tbl>
    <w:p w14:paraId="01113DD2" w14:textId="4C245737" w:rsidR="002820E0" w:rsidRDefault="00CA3614" w:rsidP="005F6773">
      <w:pPr>
        <w:rPr>
          <w:sz w:val="15"/>
          <w:szCs w:val="15"/>
        </w:rPr>
      </w:pPr>
      <w:r>
        <w:rPr>
          <w:sz w:val="15"/>
          <w:szCs w:val="15"/>
        </w:rPr>
        <w:t>* Two deaths in custody/care were suicides and are repeated in the suicide category</w:t>
      </w:r>
    </w:p>
    <w:p w14:paraId="00481654" w14:textId="748DF387" w:rsidR="003A18A3" w:rsidRDefault="00CA3614" w:rsidP="005F6773">
      <w:r>
        <w:rPr>
          <w:sz w:val="15"/>
          <w:szCs w:val="15"/>
        </w:rPr>
        <w:t>** Two suicides are also reported in the deaths in custody/care category</w:t>
      </w:r>
    </w:p>
    <w:p w14:paraId="24C152C9" w14:textId="4134C330" w:rsidR="003A18A3" w:rsidRDefault="003A18A3">
      <w:r>
        <w:br w:type="page"/>
      </w:r>
    </w:p>
    <w:p w14:paraId="1EA6F195" w14:textId="0C264420" w:rsidR="005F6773" w:rsidRPr="00F70E6C" w:rsidRDefault="00A64135" w:rsidP="00F70E6C">
      <w:pPr>
        <w:keepNext/>
        <w:keepLines/>
        <w:spacing w:before="40"/>
        <w:outlineLvl w:val="2"/>
        <w:rPr>
          <w:rFonts w:eastAsiaTheme="majorEastAsia" w:cstheme="majorBidi"/>
          <w:lang w:eastAsia="en-US"/>
        </w:rPr>
      </w:pPr>
      <w:bookmarkStart w:id="385" w:name="_Toc1041192"/>
      <w:r w:rsidRPr="00F70E6C">
        <w:rPr>
          <w:rFonts w:eastAsiaTheme="majorEastAsia" w:cstheme="majorBidi"/>
          <w:lang w:eastAsia="en-US"/>
        </w:rPr>
        <w:lastRenderedPageBreak/>
        <w:t>Table 1</w:t>
      </w:r>
      <w:r w:rsidR="000D3B2B" w:rsidRPr="00F70E6C">
        <w:rPr>
          <w:rFonts w:eastAsiaTheme="majorEastAsia" w:cstheme="majorBidi"/>
          <w:lang w:eastAsia="en-US"/>
        </w:rPr>
        <w:t xml:space="preserve">3: </w:t>
      </w:r>
      <w:r w:rsidR="005F6773" w:rsidRPr="00F70E6C">
        <w:rPr>
          <w:rFonts w:eastAsiaTheme="majorEastAsia" w:cstheme="majorBidi"/>
          <w:lang w:eastAsia="en-US"/>
        </w:rPr>
        <w:t>Coronial – Motor Vehicle Fatalities –</w:t>
      </w:r>
      <w:bookmarkEnd w:id="385"/>
      <w:r w:rsidR="005F6773" w:rsidRPr="00F70E6C">
        <w:rPr>
          <w:rFonts w:eastAsiaTheme="majorEastAsia" w:cstheme="majorBidi"/>
          <w:lang w:eastAsia="en-US"/>
        </w:rPr>
        <w:t xml:space="preserve"> </w:t>
      </w:r>
      <w:bookmarkStart w:id="386" w:name="_Toc1041193"/>
      <w:r w:rsidR="005F6773" w:rsidRPr="00F70E6C">
        <w:rPr>
          <w:rFonts w:eastAsiaTheme="majorEastAsia" w:cstheme="majorBidi"/>
          <w:lang w:eastAsia="en-US"/>
        </w:rPr>
        <w:t xml:space="preserve">Inquests &amp; Investigations </w:t>
      </w:r>
      <w:r w:rsidR="00CA3614" w:rsidRPr="00F70E6C">
        <w:rPr>
          <w:rFonts w:eastAsiaTheme="majorEastAsia" w:cstheme="majorBidi"/>
          <w:lang w:eastAsia="en-US"/>
        </w:rPr>
        <w:t xml:space="preserve">Completed </w:t>
      </w:r>
      <w:bookmarkEnd w:id="386"/>
    </w:p>
    <w:tbl>
      <w:tblPr>
        <w:tblStyle w:val="TableGrid1"/>
        <w:tblW w:w="7797" w:type="dxa"/>
        <w:tblLayout w:type="fixed"/>
        <w:tblCellMar>
          <w:top w:w="11" w:type="dxa"/>
          <w:bottom w:w="11" w:type="dxa"/>
        </w:tblCellMar>
        <w:tblLook w:val="04A0" w:firstRow="1" w:lastRow="0" w:firstColumn="1" w:lastColumn="0" w:noHBand="0" w:noVBand="1"/>
        <w:tblCaption w:val="Table13CoronialMotorVehicleFatalitiesInquestsInvestigations"/>
        <w:tblDescription w:val="TabledescribingCoronialMotorVehicleFatalitiesInquestsandInvestigationcompleted2013_14to2017_18"/>
      </w:tblPr>
      <w:tblGrid>
        <w:gridCol w:w="326"/>
        <w:gridCol w:w="977"/>
        <w:gridCol w:w="824"/>
        <w:gridCol w:w="1275"/>
        <w:gridCol w:w="879"/>
        <w:gridCol w:w="879"/>
        <w:gridCol w:w="879"/>
        <w:gridCol w:w="879"/>
        <w:gridCol w:w="879"/>
      </w:tblGrid>
      <w:tr w:rsidR="00CA3614" w:rsidRPr="00847FAE" w14:paraId="3E03FB14"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1AE58404"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720658AE"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7884F322"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1275" w:type="dxa"/>
            <w:tcBorders>
              <w:top w:val="single" w:sz="4" w:space="0" w:color="auto"/>
              <w:left w:val="nil"/>
              <w:bottom w:val="single" w:sz="4" w:space="0" w:color="auto"/>
              <w:right w:val="nil"/>
            </w:tcBorders>
            <w:noWrap/>
            <w:hideMark/>
          </w:tcPr>
          <w:p w14:paraId="1F705D29"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bottom"/>
            <w:hideMark/>
          </w:tcPr>
          <w:p w14:paraId="34B2A079" w14:textId="77777777" w:rsidR="00CA3614" w:rsidRPr="00847FAE" w:rsidRDefault="00CA3614" w:rsidP="00470D3C">
            <w:pPr>
              <w:widowControl w:val="0"/>
              <w:jc w:val="right"/>
              <w:rPr>
                <w:rFonts w:cs="Calibri"/>
                <w:bCs/>
                <w:color w:val="000000"/>
                <w:sz w:val="18"/>
                <w:szCs w:val="18"/>
                <w:vertAlign w:val="superscript"/>
              </w:rPr>
            </w:pPr>
            <w:r w:rsidRPr="00847FAE">
              <w:rPr>
                <w:rFonts w:cs="Calibri"/>
                <w:bCs/>
                <w:color w:val="000000"/>
                <w:sz w:val="18"/>
                <w:szCs w:val="18"/>
              </w:rPr>
              <w:t>2013-14</w:t>
            </w:r>
          </w:p>
        </w:tc>
        <w:tc>
          <w:tcPr>
            <w:tcW w:w="879" w:type="dxa"/>
            <w:tcBorders>
              <w:top w:val="single" w:sz="4" w:space="0" w:color="auto"/>
              <w:left w:val="nil"/>
              <w:bottom w:val="single" w:sz="4" w:space="0" w:color="auto"/>
              <w:right w:val="nil"/>
            </w:tcBorders>
            <w:noWrap/>
            <w:vAlign w:val="bottom"/>
            <w:hideMark/>
          </w:tcPr>
          <w:p w14:paraId="43C30CBC" w14:textId="77777777" w:rsidR="00CA3614" w:rsidRPr="00847FAE" w:rsidRDefault="00CA3614" w:rsidP="00470D3C">
            <w:pPr>
              <w:widowControl w:val="0"/>
              <w:jc w:val="right"/>
              <w:rPr>
                <w:rFonts w:cs="Calibri"/>
                <w:bCs/>
                <w:color w:val="000000"/>
                <w:sz w:val="18"/>
                <w:szCs w:val="18"/>
              </w:rPr>
            </w:pPr>
            <w:r w:rsidRPr="00847FAE">
              <w:rPr>
                <w:rFonts w:cs="Calibri"/>
                <w:bCs/>
                <w:color w:val="000000"/>
                <w:sz w:val="18"/>
                <w:szCs w:val="18"/>
              </w:rPr>
              <w:t>2014-15</w:t>
            </w:r>
          </w:p>
        </w:tc>
        <w:tc>
          <w:tcPr>
            <w:tcW w:w="879" w:type="dxa"/>
            <w:tcBorders>
              <w:top w:val="single" w:sz="4" w:space="0" w:color="auto"/>
              <w:left w:val="nil"/>
              <w:bottom w:val="single" w:sz="4" w:space="0" w:color="auto"/>
              <w:right w:val="nil"/>
            </w:tcBorders>
            <w:noWrap/>
            <w:vAlign w:val="bottom"/>
            <w:hideMark/>
          </w:tcPr>
          <w:p w14:paraId="2CCC6CC7" w14:textId="77777777" w:rsidR="00CA3614" w:rsidRPr="00847FAE" w:rsidRDefault="00CA3614" w:rsidP="00470D3C">
            <w:pPr>
              <w:widowControl w:val="0"/>
              <w:jc w:val="right"/>
              <w:rPr>
                <w:rFonts w:cs="Calibri"/>
                <w:bCs/>
                <w:color w:val="000000"/>
                <w:sz w:val="18"/>
                <w:szCs w:val="18"/>
              </w:rPr>
            </w:pPr>
            <w:r w:rsidRPr="00847FAE">
              <w:rPr>
                <w:rFonts w:cs="Calibri"/>
                <w:bCs/>
                <w:color w:val="000000"/>
                <w:sz w:val="18"/>
                <w:szCs w:val="18"/>
              </w:rPr>
              <w:t>2015-16</w:t>
            </w:r>
          </w:p>
        </w:tc>
        <w:tc>
          <w:tcPr>
            <w:tcW w:w="879" w:type="dxa"/>
            <w:tcBorders>
              <w:top w:val="single" w:sz="4" w:space="0" w:color="auto"/>
              <w:left w:val="nil"/>
              <w:bottom w:val="single" w:sz="4" w:space="0" w:color="auto"/>
              <w:right w:val="nil"/>
            </w:tcBorders>
            <w:noWrap/>
            <w:vAlign w:val="bottom"/>
            <w:hideMark/>
          </w:tcPr>
          <w:p w14:paraId="3975D806" w14:textId="77777777" w:rsidR="00CA3614" w:rsidRPr="00847FAE" w:rsidRDefault="00CA3614" w:rsidP="00470D3C">
            <w:pPr>
              <w:widowControl w:val="0"/>
              <w:jc w:val="right"/>
              <w:rPr>
                <w:rFonts w:cs="Calibri"/>
                <w:bCs/>
                <w:color w:val="000000"/>
                <w:sz w:val="18"/>
                <w:szCs w:val="18"/>
              </w:rPr>
            </w:pPr>
            <w:r w:rsidRPr="00847FAE">
              <w:rPr>
                <w:rFonts w:cs="Calibri"/>
                <w:bCs/>
                <w:color w:val="000000"/>
                <w:sz w:val="18"/>
                <w:szCs w:val="18"/>
              </w:rPr>
              <w:t>2016-17</w:t>
            </w:r>
          </w:p>
        </w:tc>
        <w:tc>
          <w:tcPr>
            <w:tcW w:w="879" w:type="dxa"/>
            <w:tcBorders>
              <w:top w:val="single" w:sz="4" w:space="0" w:color="auto"/>
              <w:left w:val="nil"/>
              <w:bottom w:val="single" w:sz="4" w:space="0" w:color="auto"/>
              <w:right w:val="nil"/>
            </w:tcBorders>
            <w:noWrap/>
            <w:vAlign w:val="bottom"/>
            <w:hideMark/>
          </w:tcPr>
          <w:p w14:paraId="78ED2DD3" w14:textId="77777777" w:rsidR="00CA3614" w:rsidRPr="00847FAE" w:rsidRDefault="00CA3614" w:rsidP="00470D3C">
            <w:pPr>
              <w:widowControl w:val="0"/>
              <w:rPr>
                <w:rFonts w:cs="Calibri"/>
                <w:bCs/>
                <w:color w:val="000000"/>
                <w:sz w:val="18"/>
                <w:szCs w:val="18"/>
              </w:rPr>
            </w:pPr>
            <w:r w:rsidRPr="00847FAE">
              <w:rPr>
                <w:rFonts w:cs="Calibri"/>
                <w:bCs/>
                <w:color w:val="000000"/>
                <w:sz w:val="18"/>
                <w:szCs w:val="18"/>
              </w:rPr>
              <w:t>2017-18</w:t>
            </w:r>
          </w:p>
        </w:tc>
      </w:tr>
      <w:tr w:rsidR="00CA3614" w:rsidRPr="00847FAE" w14:paraId="3C0E8352" w14:textId="77777777" w:rsidTr="001F1F60">
        <w:trPr>
          <w:cantSplit/>
          <w:trHeight w:val="255"/>
        </w:trPr>
        <w:tc>
          <w:tcPr>
            <w:tcW w:w="3402" w:type="dxa"/>
            <w:gridSpan w:val="4"/>
            <w:tcBorders>
              <w:top w:val="single" w:sz="4" w:space="0" w:color="auto"/>
              <w:left w:val="nil"/>
              <w:bottom w:val="single" w:sz="4" w:space="0" w:color="auto"/>
              <w:right w:val="nil"/>
            </w:tcBorders>
            <w:noWrap/>
            <w:vAlign w:val="center"/>
            <w:hideMark/>
          </w:tcPr>
          <w:p w14:paraId="39C3F8D2"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2E2D5FDD"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1DC37761"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6EC792C3"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79562A76"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79A7F929" w14:textId="77777777" w:rsidR="00CA3614" w:rsidRPr="00847FAE" w:rsidRDefault="00CA3614" w:rsidP="00470D3C">
            <w:pPr>
              <w:widowControl w:val="0"/>
              <w:rPr>
                <w:rFonts w:cs="Calibri"/>
                <w:color w:val="000000"/>
                <w:sz w:val="18"/>
                <w:szCs w:val="18"/>
              </w:rPr>
            </w:pPr>
            <w:r w:rsidRPr="00847FAE">
              <w:rPr>
                <w:rFonts w:cs="Calibri"/>
                <w:color w:val="000000"/>
                <w:sz w:val="18"/>
                <w:szCs w:val="18"/>
              </w:rPr>
              <w:t> </w:t>
            </w:r>
          </w:p>
        </w:tc>
      </w:tr>
      <w:tr w:rsidR="00CA3614" w:rsidRPr="00847FAE" w14:paraId="2EA7EFFD" w14:textId="77777777" w:rsidTr="001F1F60">
        <w:trPr>
          <w:cantSplit/>
          <w:trHeight w:val="255"/>
        </w:trPr>
        <w:tc>
          <w:tcPr>
            <w:tcW w:w="3402" w:type="dxa"/>
            <w:gridSpan w:val="4"/>
            <w:tcBorders>
              <w:top w:val="single" w:sz="4" w:space="0" w:color="auto"/>
              <w:left w:val="nil"/>
              <w:bottom w:val="nil"/>
              <w:right w:val="nil"/>
            </w:tcBorders>
            <w:shd w:val="clear" w:color="auto" w:fill="D9D9D9" w:themeFill="background1" w:themeFillShade="D9"/>
            <w:noWrap/>
            <w:hideMark/>
          </w:tcPr>
          <w:p w14:paraId="13D0AA26" w14:textId="3315A748" w:rsidR="00CA3614" w:rsidRPr="00847FAE" w:rsidRDefault="00E851F4" w:rsidP="00470D3C">
            <w:pPr>
              <w:widowControl w:val="0"/>
              <w:rPr>
                <w:rFonts w:cs="Calibri"/>
                <w:color w:val="000000"/>
                <w:sz w:val="18"/>
                <w:szCs w:val="18"/>
                <w:vertAlign w:val="superscript"/>
              </w:rPr>
            </w:pPr>
            <w:r>
              <w:rPr>
                <w:rFonts w:cs="Calibri"/>
                <w:color w:val="000000"/>
                <w:sz w:val="18"/>
                <w:szCs w:val="18"/>
              </w:rPr>
              <w:t xml:space="preserve">Motor Vehicle Fatalities </w:t>
            </w:r>
            <w:r w:rsidR="00CA3614">
              <w:rPr>
                <w:rFonts w:cs="Calibri"/>
                <w:color w:val="000000"/>
                <w:sz w:val="18"/>
                <w:szCs w:val="18"/>
              </w:rPr>
              <w:t>Completed</w:t>
            </w:r>
          </w:p>
        </w:tc>
        <w:tc>
          <w:tcPr>
            <w:tcW w:w="879" w:type="dxa"/>
            <w:tcBorders>
              <w:top w:val="single" w:sz="4" w:space="0" w:color="auto"/>
              <w:left w:val="nil"/>
              <w:bottom w:val="nil"/>
              <w:right w:val="nil"/>
            </w:tcBorders>
            <w:shd w:val="clear" w:color="auto" w:fill="D9D9D9" w:themeFill="background1" w:themeFillShade="D9"/>
            <w:noWrap/>
            <w:vAlign w:val="center"/>
          </w:tcPr>
          <w:p w14:paraId="471C209D" w14:textId="77777777" w:rsidR="00CA3614" w:rsidRPr="00847FAE" w:rsidRDefault="00CA3614" w:rsidP="00470D3C">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1D1BF257" w14:textId="77777777" w:rsidR="00CA3614" w:rsidRPr="00847FAE" w:rsidRDefault="00CA3614" w:rsidP="00470D3C">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542CBC23" w14:textId="77777777" w:rsidR="00CA3614" w:rsidRPr="00847FAE" w:rsidRDefault="00CA3614" w:rsidP="00470D3C">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533A5DF6" w14:textId="77777777" w:rsidR="00CA3614" w:rsidRPr="00847FAE" w:rsidRDefault="00CA3614" w:rsidP="00470D3C">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013378A5" w14:textId="77777777" w:rsidR="00CA3614" w:rsidRPr="00847FAE" w:rsidRDefault="00CA3614" w:rsidP="00470D3C">
            <w:pPr>
              <w:jc w:val="right"/>
              <w:rPr>
                <w:rFonts w:cs="Calibri"/>
                <w:iCs/>
                <w:color w:val="000000"/>
                <w:sz w:val="18"/>
                <w:szCs w:val="18"/>
              </w:rPr>
            </w:pPr>
          </w:p>
        </w:tc>
      </w:tr>
      <w:tr w:rsidR="003A18A3" w:rsidRPr="00847FAE" w14:paraId="7AF5E54F" w14:textId="77777777" w:rsidTr="001F1F60">
        <w:trPr>
          <w:cantSplit/>
          <w:trHeight w:val="255"/>
        </w:trPr>
        <w:tc>
          <w:tcPr>
            <w:tcW w:w="3402" w:type="dxa"/>
            <w:gridSpan w:val="4"/>
            <w:tcBorders>
              <w:top w:val="nil"/>
              <w:left w:val="nil"/>
              <w:bottom w:val="nil"/>
              <w:right w:val="nil"/>
            </w:tcBorders>
            <w:noWrap/>
          </w:tcPr>
          <w:p w14:paraId="7BAE9087" w14:textId="699E1DBD" w:rsidR="003A18A3" w:rsidRPr="00847FAE" w:rsidRDefault="003A18A3" w:rsidP="003A18A3">
            <w:pPr>
              <w:widowControl w:val="0"/>
              <w:tabs>
                <w:tab w:val="left" w:pos="180"/>
              </w:tabs>
              <w:rPr>
                <w:rFonts w:cs="Calibri"/>
                <w:color w:val="000000"/>
                <w:sz w:val="18"/>
                <w:szCs w:val="18"/>
              </w:rPr>
            </w:pPr>
            <w:r w:rsidRPr="003A18A3">
              <w:rPr>
                <w:bCs/>
                <w:sz w:val="18"/>
                <w:szCs w:val="18"/>
              </w:rPr>
              <w:t>Driver</w:t>
            </w:r>
          </w:p>
        </w:tc>
        <w:tc>
          <w:tcPr>
            <w:tcW w:w="879" w:type="dxa"/>
            <w:tcBorders>
              <w:top w:val="nil"/>
              <w:left w:val="nil"/>
              <w:bottom w:val="nil"/>
              <w:right w:val="nil"/>
            </w:tcBorders>
            <w:noWrap/>
            <w:vAlign w:val="center"/>
          </w:tcPr>
          <w:p w14:paraId="72EB8BA8" w14:textId="4502FBBD" w:rsidR="003A18A3" w:rsidRPr="00847FAE" w:rsidRDefault="003A18A3" w:rsidP="003A18A3">
            <w:pPr>
              <w:jc w:val="center"/>
              <w:rPr>
                <w:rFonts w:cs="Calibri"/>
                <w:color w:val="000000"/>
                <w:sz w:val="18"/>
                <w:szCs w:val="18"/>
              </w:rPr>
            </w:pPr>
            <w:r>
              <w:rPr>
                <w:rFonts w:cs="Calibri"/>
                <w:color w:val="000000"/>
                <w:sz w:val="18"/>
                <w:szCs w:val="18"/>
              </w:rPr>
              <w:t>11</w:t>
            </w:r>
          </w:p>
        </w:tc>
        <w:tc>
          <w:tcPr>
            <w:tcW w:w="879" w:type="dxa"/>
            <w:tcBorders>
              <w:top w:val="nil"/>
              <w:left w:val="nil"/>
              <w:bottom w:val="nil"/>
              <w:right w:val="nil"/>
            </w:tcBorders>
            <w:noWrap/>
          </w:tcPr>
          <w:p w14:paraId="515990F5" w14:textId="40AECDF5" w:rsidR="003A18A3" w:rsidRPr="00847FAE" w:rsidRDefault="003A18A3" w:rsidP="003A18A3">
            <w:pPr>
              <w:jc w:val="center"/>
              <w:rPr>
                <w:rFonts w:cs="Calibri"/>
                <w:color w:val="000000"/>
                <w:sz w:val="18"/>
                <w:szCs w:val="18"/>
              </w:rPr>
            </w:pPr>
            <w:r w:rsidRPr="003A18A3">
              <w:rPr>
                <w:bCs/>
                <w:sz w:val="18"/>
                <w:szCs w:val="18"/>
              </w:rPr>
              <w:t>10</w:t>
            </w:r>
          </w:p>
        </w:tc>
        <w:tc>
          <w:tcPr>
            <w:tcW w:w="879" w:type="dxa"/>
            <w:tcBorders>
              <w:top w:val="nil"/>
              <w:left w:val="nil"/>
              <w:bottom w:val="nil"/>
              <w:right w:val="nil"/>
            </w:tcBorders>
            <w:noWrap/>
          </w:tcPr>
          <w:p w14:paraId="741AFA9E" w14:textId="584581B9" w:rsidR="003A18A3" w:rsidRPr="00847FAE" w:rsidRDefault="003A18A3" w:rsidP="003A18A3">
            <w:pPr>
              <w:jc w:val="center"/>
              <w:rPr>
                <w:rFonts w:cs="Calibri"/>
                <w:color w:val="000000"/>
                <w:sz w:val="18"/>
                <w:szCs w:val="18"/>
              </w:rPr>
            </w:pPr>
            <w:r w:rsidRPr="003A18A3">
              <w:rPr>
                <w:bCs/>
                <w:sz w:val="18"/>
                <w:szCs w:val="18"/>
              </w:rPr>
              <w:t>22</w:t>
            </w:r>
          </w:p>
        </w:tc>
        <w:tc>
          <w:tcPr>
            <w:tcW w:w="879" w:type="dxa"/>
            <w:tcBorders>
              <w:top w:val="nil"/>
              <w:left w:val="nil"/>
              <w:bottom w:val="nil"/>
              <w:right w:val="nil"/>
            </w:tcBorders>
            <w:noWrap/>
          </w:tcPr>
          <w:p w14:paraId="4A0D63A7" w14:textId="18A2912E" w:rsidR="003A18A3" w:rsidRPr="00847FAE" w:rsidRDefault="003A18A3" w:rsidP="003A18A3">
            <w:pPr>
              <w:jc w:val="center"/>
              <w:rPr>
                <w:rFonts w:cs="Calibri"/>
                <w:color w:val="000000"/>
                <w:sz w:val="18"/>
                <w:szCs w:val="18"/>
              </w:rPr>
            </w:pPr>
            <w:r w:rsidRPr="003A18A3">
              <w:rPr>
                <w:bCs/>
                <w:sz w:val="18"/>
                <w:szCs w:val="18"/>
              </w:rPr>
              <w:t>20</w:t>
            </w:r>
          </w:p>
        </w:tc>
        <w:tc>
          <w:tcPr>
            <w:tcW w:w="879" w:type="dxa"/>
            <w:tcBorders>
              <w:top w:val="nil"/>
              <w:left w:val="nil"/>
              <w:bottom w:val="nil"/>
              <w:right w:val="nil"/>
            </w:tcBorders>
            <w:noWrap/>
          </w:tcPr>
          <w:p w14:paraId="7EB4D901" w14:textId="1467134F" w:rsidR="003A18A3" w:rsidRPr="00847FAE" w:rsidRDefault="003A18A3" w:rsidP="003A18A3">
            <w:pPr>
              <w:jc w:val="center"/>
              <w:rPr>
                <w:rFonts w:cs="Calibri"/>
                <w:color w:val="000000"/>
                <w:sz w:val="18"/>
                <w:szCs w:val="18"/>
              </w:rPr>
            </w:pPr>
            <w:r w:rsidRPr="003A18A3">
              <w:rPr>
                <w:bCs/>
                <w:sz w:val="18"/>
                <w:szCs w:val="18"/>
              </w:rPr>
              <w:t>9</w:t>
            </w:r>
          </w:p>
        </w:tc>
      </w:tr>
      <w:tr w:rsidR="003A18A3" w:rsidRPr="00847FAE" w14:paraId="039FB45C" w14:textId="77777777" w:rsidTr="001F1F60">
        <w:trPr>
          <w:cantSplit/>
          <w:trHeight w:val="255"/>
        </w:trPr>
        <w:tc>
          <w:tcPr>
            <w:tcW w:w="3402" w:type="dxa"/>
            <w:gridSpan w:val="4"/>
            <w:tcBorders>
              <w:top w:val="nil"/>
              <w:left w:val="nil"/>
              <w:bottom w:val="nil"/>
              <w:right w:val="nil"/>
            </w:tcBorders>
            <w:noWrap/>
          </w:tcPr>
          <w:p w14:paraId="466B01E8" w14:textId="71E7DBB6" w:rsidR="003A18A3" w:rsidRPr="00847FAE" w:rsidRDefault="003A18A3" w:rsidP="003A18A3">
            <w:pPr>
              <w:widowControl w:val="0"/>
              <w:tabs>
                <w:tab w:val="left" w:pos="180"/>
              </w:tabs>
              <w:rPr>
                <w:rFonts w:cs="Calibri"/>
                <w:iCs/>
                <w:color w:val="000000"/>
                <w:sz w:val="18"/>
                <w:szCs w:val="18"/>
              </w:rPr>
            </w:pPr>
            <w:r w:rsidRPr="003A18A3">
              <w:rPr>
                <w:bCs/>
                <w:sz w:val="18"/>
                <w:szCs w:val="18"/>
              </w:rPr>
              <w:t>Bystander / Pedestrian</w:t>
            </w:r>
          </w:p>
        </w:tc>
        <w:tc>
          <w:tcPr>
            <w:tcW w:w="879" w:type="dxa"/>
            <w:tcBorders>
              <w:top w:val="nil"/>
              <w:left w:val="nil"/>
              <w:bottom w:val="nil"/>
              <w:right w:val="nil"/>
            </w:tcBorders>
            <w:noWrap/>
            <w:vAlign w:val="center"/>
          </w:tcPr>
          <w:p w14:paraId="12350504" w14:textId="1619EE76" w:rsidR="003A18A3" w:rsidRDefault="003A18A3" w:rsidP="003A18A3">
            <w:pPr>
              <w:jc w:val="center"/>
              <w:rPr>
                <w:rFonts w:cs="Calibri"/>
                <w:color w:val="000000"/>
                <w:sz w:val="18"/>
                <w:szCs w:val="18"/>
              </w:rPr>
            </w:pPr>
            <w:r>
              <w:rPr>
                <w:rFonts w:cs="Calibri"/>
                <w:color w:val="000000"/>
                <w:sz w:val="18"/>
                <w:szCs w:val="18"/>
              </w:rPr>
              <w:t>6</w:t>
            </w:r>
          </w:p>
        </w:tc>
        <w:tc>
          <w:tcPr>
            <w:tcW w:w="879" w:type="dxa"/>
            <w:tcBorders>
              <w:top w:val="nil"/>
              <w:left w:val="nil"/>
              <w:bottom w:val="nil"/>
              <w:right w:val="nil"/>
            </w:tcBorders>
            <w:noWrap/>
          </w:tcPr>
          <w:p w14:paraId="170E14DE" w14:textId="0D1FF458" w:rsidR="003A18A3" w:rsidRDefault="003A18A3" w:rsidP="003A18A3">
            <w:pPr>
              <w:jc w:val="center"/>
              <w:rPr>
                <w:rFonts w:cs="Calibri"/>
                <w:color w:val="000000"/>
                <w:sz w:val="18"/>
                <w:szCs w:val="18"/>
              </w:rPr>
            </w:pPr>
            <w:r w:rsidRPr="003A18A3">
              <w:rPr>
                <w:bCs/>
                <w:sz w:val="18"/>
                <w:szCs w:val="18"/>
              </w:rPr>
              <w:t>1</w:t>
            </w:r>
          </w:p>
        </w:tc>
        <w:tc>
          <w:tcPr>
            <w:tcW w:w="879" w:type="dxa"/>
            <w:tcBorders>
              <w:top w:val="nil"/>
              <w:left w:val="nil"/>
              <w:bottom w:val="nil"/>
              <w:right w:val="nil"/>
            </w:tcBorders>
            <w:noWrap/>
          </w:tcPr>
          <w:p w14:paraId="124334C9" w14:textId="7D8E7D9B" w:rsidR="003A18A3" w:rsidRDefault="003A18A3" w:rsidP="003A18A3">
            <w:pPr>
              <w:jc w:val="center"/>
              <w:rPr>
                <w:rFonts w:cs="Calibri"/>
                <w:color w:val="000000"/>
                <w:sz w:val="18"/>
                <w:szCs w:val="18"/>
              </w:rPr>
            </w:pPr>
            <w:r w:rsidRPr="003A18A3">
              <w:rPr>
                <w:bCs/>
                <w:sz w:val="18"/>
                <w:szCs w:val="18"/>
              </w:rPr>
              <w:t>6</w:t>
            </w:r>
          </w:p>
        </w:tc>
        <w:tc>
          <w:tcPr>
            <w:tcW w:w="879" w:type="dxa"/>
            <w:tcBorders>
              <w:top w:val="nil"/>
              <w:left w:val="nil"/>
              <w:bottom w:val="nil"/>
              <w:right w:val="nil"/>
            </w:tcBorders>
            <w:noWrap/>
          </w:tcPr>
          <w:p w14:paraId="374CB5F9" w14:textId="2FA859CB" w:rsidR="003A18A3" w:rsidRDefault="003A18A3" w:rsidP="003A18A3">
            <w:pPr>
              <w:jc w:val="center"/>
              <w:rPr>
                <w:rFonts w:cs="Calibri"/>
                <w:color w:val="000000"/>
                <w:sz w:val="18"/>
                <w:szCs w:val="18"/>
              </w:rPr>
            </w:pPr>
            <w:r w:rsidRPr="003A18A3">
              <w:rPr>
                <w:bCs/>
                <w:sz w:val="18"/>
                <w:szCs w:val="18"/>
              </w:rPr>
              <w:t>2</w:t>
            </w:r>
          </w:p>
        </w:tc>
        <w:tc>
          <w:tcPr>
            <w:tcW w:w="879" w:type="dxa"/>
            <w:tcBorders>
              <w:top w:val="nil"/>
              <w:left w:val="nil"/>
              <w:bottom w:val="nil"/>
              <w:right w:val="nil"/>
            </w:tcBorders>
            <w:noWrap/>
          </w:tcPr>
          <w:p w14:paraId="14EDD8B7" w14:textId="515C78D1" w:rsidR="003A18A3" w:rsidRDefault="003A18A3" w:rsidP="003A18A3">
            <w:pPr>
              <w:jc w:val="center"/>
              <w:rPr>
                <w:rFonts w:cs="Calibri"/>
                <w:color w:val="000000"/>
                <w:sz w:val="18"/>
                <w:szCs w:val="18"/>
              </w:rPr>
            </w:pPr>
            <w:r w:rsidRPr="003A18A3">
              <w:rPr>
                <w:bCs/>
                <w:sz w:val="18"/>
                <w:szCs w:val="18"/>
              </w:rPr>
              <w:t>3</w:t>
            </w:r>
          </w:p>
        </w:tc>
      </w:tr>
      <w:tr w:rsidR="003A18A3" w:rsidRPr="00847FAE" w14:paraId="40ED9190" w14:textId="77777777" w:rsidTr="001F1F60">
        <w:trPr>
          <w:cantSplit/>
          <w:trHeight w:val="255"/>
        </w:trPr>
        <w:tc>
          <w:tcPr>
            <w:tcW w:w="3402" w:type="dxa"/>
            <w:gridSpan w:val="4"/>
            <w:tcBorders>
              <w:top w:val="nil"/>
              <w:left w:val="nil"/>
              <w:bottom w:val="nil"/>
              <w:right w:val="nil"/>
            </w:tcBorders>
            <w:noWrap/>
          </w:tcPr>
          <w:p w14:paraId="20D6D2AA" w14:textId="66E4BF37" w:rsidR="003A18A3" w:rsidRDefault="003A18A3" w:rsidP="003A18A3">
            <w:pPr>
              <w:widowControl w:val="0"/>
              <w:tabs>
                <w:tab w:val="left" w:pos="180"/>
              </w:tabs>
              <w:rPr>
                <w:rFonts w:cs="Calibri"/>
                <w:iCs/>
                <w:color w:val="000000"/>
                <w:sz w:val="18"/>
                <w:szCs w:val="18"/>
              </w:rPr>
            </w:pPr>
            <w:r w:rsidRPr="003A18A3">
              <w:rPr>
                <w:bCs/>
                <w:sz w:val="18"/>
                <w:szCs w:val="18"/>
              </w:rPr>
              <w:t>Passenger</w:t>
            </w:r>
          </w:p>
        </w:tc>
        <w:tc>
          <w:tcPr>
            <w:tcW w:w="879" w:type="dxa"/>
            <w:tcBorders>
              <w:top w:val="nil"/>
              <w:left w:val="nil"/>
              <w:bottom w:val="nil"/>
              <w:right w:val="nil"/>
            </w:tcBorders>
            <w:noWrap/>
            <w:vAlign w:val="center"/>
          </w:tcPr>
          <w:p w14:paraId="6C5C81CC" w14:textId="4E57D178" w:rsidR="003A18A3" w:rsidRDefault="003A18A3" w:rsidP="003A18A3">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tcPr>
          <w:p w14:paraId="33EC583C" w14:textId="1DED7A42" w:rsidR="003A18A3" w:rsidRDefault="003A18A3" w:rsidP="003A18A3">
            <w:pPr>
              <w:jc w:val="center"/>
              <w:rPr>
                <w:rFonts w:cs="Calibri"/>
                <w:color w:val="000000"/>
                <w:sz w:val="18"/>
                <w:szCs w:val="18"/>
              </w:rPr>
            </w:pPr>
            <w:r w:rsidRPr="003A18A3">
              <w:rPr>
                <w:bCs/>
                <w:sz w:val="18"/>
                <w:szCs w:val="18"/>
              </w:rPr>
              <w:t>8</w:t>
            </w:r>
          </w:p>
        </w:tc>
        <w:tc>
          <w:tcPr>
            <w:tcW w:w="879" w:type="dxa"/>
            <w:tcBorders>
              <w:top w:val="nil"/>
              <w:left w:val="nil"/>
              <w:bottom w:val="nil"/>
              <w:right w:val="nil"/>
            </w:tcBorders>
            <w:noWrap/>
          </w:tcPr>
          <w:p w14:paraId="0D01C9A5" w14:textId="5E75969F" w:rsidR="003A18A3" w:rsidRDefault="003A18A3" w:rsidP="003A18A3">
            <w:pPr>
              <w:jc w:val="center"/>
              <w:rPr>
                <w:rFonts w:cs="Calibri"/>
                <w:color w:val="000000"/>
                <w:sz w:val="18"/>
                <w:szCs w:val="18"/>
              </w:rPr>
            </w:pPr>
            <w:r w:rsidRPr="003A18A3">
              <w:rPr>
                <w:bCs/>
                <w:sz w:val="18"/>
                <w:szCs w:val="18"/>
              </w:rPr>
              <w:t>10</w:t>
            </w:r>
          </w:p>
        </w:tc>
        <w:tc>
          <w:tcPr>
            <w:tcW w:w="879" w:type="dxa"/>
            <w:tcBorders>
              <w:top w:val="nil"/>
              <w:left w:val="nil"/>
              <w:bottom w:val="nil"/>
              <w:right w:val="nil"/>
            </w:tcBorders>
            <w:noWrap/>
          </w:tcPr>
          <w:p w14:paraId="18A17C3C" w14:textId="6889908B" w:rsidR="003A18A3" w:rsidRDefault="003A18A3" w:rsidP="003A18A3">
            <w:pPr>
              <w:jc w:val="center"/>
              <w:rPr>
                <w:rFonts w:cs="Calibri"/>
                <w:color w:val="000000"/>
                <w:sz w:val="18"/>
                <w:szCs w:val="18"/>
              </w:rPr>
            </w:pPr>
            <w:r w:rsidRPr="003A18A3">
              <w:rPr>
                <w:bCs/>
                <w:sz w:val="18"/>
                <w:szCs w:val="18"/>
              </w:rPr>
              <w:t>3</w:t>
            </w:r>
          </w:p>
        </w:tc>
        <w:tc>
          <w:tcPr>
            <w:tcW w:w="879" w:type="dxa"/>
            <w:tcBorders>
              <w:top w:val="nil"/>
              <w:left w:val="nil"/>
              <w:bottom w:val="nil"/>
              <w:right w:val="nil"/>
            </w:tcBorders>
            <w:noWrap/>
          </w:tcPr>
          <w:p w14:paraId="0627D39B" w14:textId="6393CFD4" w:rsidR="003A18A3" w:rsidRDefault="003A18A3" w:rsidP="003A18A3">
            <w:pPr>
              <w:jc w:val="center"/>
              <w:rPr>
                <w:rFonts w:cs="Calibri"/>
                <w:color w:val="000000"/>
                <w:sz w:val="18"/>
                <w:szCs w:val="18"/>
              </w:rPr>
            </w:pPr>
            <w:r w:rsidRPr="003A18A3">
              <w:rPr>
                <w:bCs/>
                <w:sz w:val="18"/>
                <w:szCs w:val="18"/>
              </w:rPr>
              <w:t>6</w:t>
            </w:r>
          </w:p>
        </w:tc>
      </w:tr>
      <w:tr w:rsidR="003A18A3" w:rsidRPr="00847FAE" w14:paraId="0579EBD0" w14:textId="77777777" w:rsidTr="001F1F60">
        <w:trPr>
          <w:cantSplit/>
          <w:trHeight w:val="255"/>
        </w:trPr>
        <w:tc>
          <w:tcPr>
            <w:tcW w:w="3402" w:type="dxa"/>
            <w:gridSpan w:val="4"/>
            <w:tcBorders>
              <w:top w:val="nil"/>
              <w:left w:val="nil"/>
              <w:bottom w:val="nil"/>
              <w:right w:val="nil"/>
            </w:tcBorders>
            <w:noWrap/>
          </w:tcPr>
          <w:p w14:paraId="74F61A40" w14:textId="7088829C" w:rsidR="003A18A3" w:rsidRDefault="003A18A3" w:rsidP="003A18A3">
            <w:pPr>
              <w:widowControl w:val="0"/>
              <w:tabs>
                <w:tab w:val="left" w:pos="180"/>
              </w:tabs>
              <w:rPr>
                <w:rFonts w:cs="Calibri"/>
                <w:iCs/>
                <w:color w:val="000000"/>
                <w:sz w:val="18"/>
                <w:szCs w:val="18"/>
              </w:rPr>
            </w:pPr>
            <w:r w:rsidRPr="003A18A3">
              <w:rPr>
                <w:bCs/>
                <w:sz w:val="18"/>
                <w:szCs w:val="18"/>
              </w:rPr>
              <w:t>Bicycle</w:t>
            </w:r>
          </w:p>
        </w:tc>
        <w:tc>
          <w:tcPr>
            <w:tcW w:w="879" w:type="dxa"/>
            <w:tcBorders>
              <w:top w:val="nil"/>
              <w:left w:val="nil"/>
              <w:bottom w:val="nil"/>
              <w:right w:val="nil"/>
            </w:tcBorders>
            <w:noWrap/>
            <w:vAlign w:val="center"/>
          </w:tcPr>
          <w:p w14:paraId="2059FA65" w14:textId="67C9BEAC" w:rsidR="003A18A3" w:rsidRDefault="003A18A3" w:rsidP="003A18A3">
            <w:pPr>
              <w:jc w:val="center"/>
              <w:rPr>
                <w:rFonts w:cs="Calibri"/>
                <w:color w:val="000000"/>
                <w:sz w:val="18"/>
                <w:szCs w:val="18"/>
              </w:rPr>
            </w:pPr>
            <w:r>
              <w:rPr>
                <w:rFonts w:cs="Calibri"/>
                <w:color w:val="000000"/>
                <w:sz w:val="18"/>
                <w:szCs w:val="18"/>
              </w:rPr>
              <w:t>1</w:t>
            </w:r>
          </w:p>
        </w:tc>
        <w:tc>
          <w:tcPr>
            <w:tcW w:w="879" w:type="dxa"/>
            <w:tcBorders>
              <w:top w:val="nil"/>
              <w:left w:val="nil"/>
              <w:bottom w:val="nil"/>
              <w:right w:val="nil"/>
            </w:tcBorders>
            <w:noWrap/>
          </w:tcPr>
          <w:p w14:paraId="36E7B2F5" w14:textId="3A7808D9" w:rsidR="003A18A3" w:rsidRDefault="003A18A3" w:rsidP="003A18A3">
            <w:pPr>
              <w:jc w:val="center"/>
              <w:rPr>
                <w:rFonts w:cs="Calibri"/>
                <w:color w:val="000000"/>
                <w:sz w:val="18"/>
                <w:szCs w:val="18"/>
              </w:rPr>
            </w:pPr>
            <w:r w:rsidRPr="003A18A3">
              <w:rPr>
                <w:bCs/>
                <w:sz w:val="18"/>
                <w:szCs w:val="18"/>
              </w:rPr>
              <w:t>3</w:t>
            </w:r>
          </w:p>
        </w:tc>
        <w:tc>
          <w:tcPr>
            <w:tcW w:w="879" w:type="dxa"/>
            <w:tcBorders>
              <w:top w:val="nil"/>
              <w:left w:val="nil"/>
              <w:bottom w:val="nil"/>
              <w:right w:val="nil"/>
            </w:tcBorders>
            <w:noWrap/>
          </w:tcPr>
          <w:p w14:paraId="71C938AB" w14:textId="60204094" w:rsidR="003A18A3" w:rsidRDefault="003A18A3" w:rsidP="003A18A3">
            <w:pPr>
              <w:jc w:val="center"/>
              <w:rPr>
                <w:rFonts w:cs="Calibri"/>
                <w:color w:val="000000"/>
                <w:sz w:val="18"/>
                <w:szCs w:val="18"/>
              </w:rPr>
            </w:pPr>
            <w:r w:rsidRPr="003A18A3">
              <w:rPr>
                <w:bCs/>
                <w:sz w:val="18"/>
                <w:szCs w:val="18"/>
              </w:rPr>
              <w:t>0</w:t>
            </w:r>
          </w:p>
        </w:tc>
        <w:tc>
          <w:tcPr>
            <w:tcW w:w="879" w:type="dxa"/>
            <w:tcBorders>
              <w:top w:val="nil"/>
              <w:left w:val="nil"/>
              <w:bottom w:val="nil"/>
              <w:right w:val="nil"/>
            </w:tcBorders>
            <w:noWrap/>
          </w:tcPr>
          <w:p w14:paraId="4F8FE5E4" w14:textId="007B0F7F" w:rsidR="003A18A3" w:rsidRDefault="003A18A3" w:rsidP="003A18A3">
            <w:pPr>
              <w:jc w:val="center"/>
              <w:rPr>
                <w:rFonts w:cs="Calibri"/>
                <w:color w:val="000000"/>
                <w:sz w:val="18"/>
                <w:szCs w:val="18"/>
              </w:rPr>
            </w:pPr>
            <w:r w:rsidRPr="003A18A3">
              <w:rPr>
                <w:bCs/>
                <w:sz w:val="18"/>
                <w:szCs w:val="18"/>
              </w:rPr>
              <w:t>0</w:t>
            </w:r>
          </w:p>
        </w:tc>
        <w:tc>
          <w:tcPr>
            <w:tcW w:w="879" w:type="dxa"/>
            <w:tcBorders>
              <w:top w:val="nil"/>
              <w:left w:val="nil"/>
              <w:bottom w:val="nil"/>
              <w:right w:val="nil"/>
            </w:tcBorders>
            <w:noWrap/>
          </w:tcPr>
          <w:p w14:paraId="5E7339B6" w14:textId="3898D30E" w:rsidR="003A18A3" w:rsidRDefault="003A18A3" w:rsidP="003A18A3">
            <w:pPr>
              <w:jc w:val="center"/>
              <w:rPr>
                <w:rFonts w:cs="Calibri"/>
                <w:color w:val="000000"/>
                <w:sz w:val="18"/>
                <w:szCs w:val="18"/>
              </w:rPr>
            </w:pPr>
            <w:r w:rsidRPr="003A18A3">
              <w:rPr>
                <w:bCs/>
                <w:sz w:val="18"/>
                <w:szCs w:val="18"/>
              </w:rPr>
              <w:t>1</w:t>
            </w:r>
          </w:p>
        </w:tc>
      </w:tr>
      <w:tr w:rsidR="003A18A3" w:rsidRPr="00847FAE" w14:paraId="0AD3460E" w14:textId="77777777" w:rsidTr="001F1F60">
        <w:trPr>
          <w:cantSplit/>
          <w:trHeight w:val="255"/>
        </w:trPr>
        <w:tc>
          <w:tcPr>
            <w:tcW w:w="3402" w:type="dxa"/>
            <w:gridSpan w:val="4"/>
            <w:tcBorders>
              <w:top w:val="nil"/>
              <w:left w:val="nil"/>
              <w:bottom w:val="nil"/>
              <w:right w:val="nil"/>
            </w:tcBorders>
            <w:noWrap/>
          </w:tcPr>
          <w:p w14:paraId="3158453C" w14:textId="40078E83" w:rsidR="003A18A3" w:rsidRDefault="003A18A3" w:rsidP="003A18A3">
            <w:pPr>
              <w:widowControl w:val="0"/>
              <w:tabs>
                <w:tab w:val="left" w:pos="180"/>
              </w:tabs>
              <w:rPr>
                <w:rFonts w:cs="Calibri"/>
                <w:iCs/>
                <w:color w:val="000000"/>
                <w:sz w:val="18"/>
                <w:szCs w:val="18"/>
              </w:rPr>
            </w:pPr>
            <w:r w:rsidRPr="003A18A3">
              <w:rPr>
                <w:bCs/>
                <w:sz w:val="18"/>
                <w:szCs w:val="18"/>
              </w:rPr>
              <w:t>Motorcycle</w:t>
            </w:r>
          </w:p>
        </w:tc>
        <w:tc>
          <w:tcPr>
            <w:tcW w:w="879" w:type="dxa"/>
            <w:tcBorders>
              <w:top w:val="nil"/>
              <w:left w:val="nil"/>
              <w:bottom w:val="nil"/>
              <w:right w:val="nil"/>
            </w:tcBorders>
            <w:noWrap/>
            <w:vAlign w:val="center"/>
          </w:tcPr>
          <w:p w14:paraId="2264CAE4" w14:textId="60A1AFDE" w:rsidR="003A18A3" w:rsidRDefault="003A18A3" w:rsidP="003A18A3">
            <w:pPr>
              <w:jc w:val="center"/>
              <w:rPr>
                <w:rFonts w:cs="Calibri"/>
                <w:color w:val="000000"/>
                <w:sz w:val="18"/>
                <w:szCs w:val="18"/>
              </w:rPr>
            </w:pPr>
            <w:r>
              <w:rPr>
                <w:rFonts w:cs="Calibri"/>
                <w:color w:val="000000"/>
                <w:sz w:val="18"/>
                <w:szCs w:val="18"/>
              </w:rPr>
              <w:t>3</w:t>
            </w:r>
          </w:p>
        </w:tc>
        <w:tc>
          <w:tcPr>
            <w:tcW w:w="879" w:type="dxa"/>
            <w:tcBorders>
              <w:top w:val="nil"/>
              <w:left w:val="nil"/>
              <w:bottom w:val="nil"/>
              <w:right w:val="nil"/>
            </w:tcBorders>
            <w:noWrap/>
          </w:tcPr>
          <w:p w14:paraId="0FC85A3B" w14:textId="29F842A0" w:rsidR="003A18A3" w:rsidRDefault="003A18A3" w:rsidP="003A18A3">
            <w:pPr>
              <w:jc w:val="center"/>
              <w:rPr>
                <w:rFonts w:cs="Calibri"/>
                <w:color w:val="000000"/>
                <w:sz w:val="18"/>
                <w:szCs w:val="18"/>
              </w:rPr>
            </w:pPr>
            <w:r w:rsidRPr="003A18A3">
              <w:rPr>
                <w:bCs/>
                <w:sz w:val="18"/>
                <w:szCs w:val="18"/>
              </w:rPr>
              <w:t>12</w:t>
            </w:r>
          </w:p>
        </w:tc>
        <w:tc>
          <w:tcPr>
            <w:tcW w:w="879" w:type="dxa"/>
            <w:tcBorders>
              <w:top w:val="nil"/>
              <w:left w:val="nil"/>
              <w:bottom w:val="nil"/>
              <w:right w:val="nil"/>
            </w:tcBorders>
            <w:noWrap/>
          </w:tcPr>
          <w:p w14:paraId="143A5544" w14:textId="505A6068" w:rsidR="003A18A3" w:rsidRDefault="003A18A3" w:rsidP="003A18A3">
            <w:pPr>
              <w:jc w:val="center"/>
              <w:rPr>
                <w:rFonts w:cs="Calibri"/>
                <w:color w:val="000000"/>
                <w:sz w:val="18"/>
                <w:szCs w:val="18"/>
              </w:rPr>
            </w:pPr>
            <w:r w:rsidRPr="003A18A3">
              <w:rPr>
                <w:bCs/>
                <w:sz w:val="18"/>
                <w:szCs w:val="18"/>
              </w:rPr>
              <w:t>3</w:t>
            </w:r>
          </w:p>
        </w:tc>
        <w:tc>
          <w:tcPr>
            <w:tcW w:w="879" w:type="dxa"/>
            <w:tcBorders>
              <w:top w:val="nil"/>
              <w:left w:val="nil"/>
              <w:bottom w:val="nil"/>
              <w:right w:val="nil"/>
            </w:tcBorders>
            <w:noWrap/>
          </w:tcPr>
          <w:p w14:paraId="1CE5BE4A" w14:textId="0C0E3D4D" w:rsidR="003A18A3" w:rsidRDefault="003A18A3" w:rsidP="003A18A3">
            <w:pPr>
              <w:jc w:val="center"/>
              <w:rPr>
                <w:rFonts w:cs="Calibri"/>
                <w:color w:val="000000"/>
                <w:sz w:val="18"/>
                <w:szCs w:val="18"/>
              </w:rPr>
            </w:pPr>
            <w:r w:rsidRPr="003A18A3">
              <w:rPr>
                <w:bCs/>
                <w:sz w:val="18"/>
                <w:szCs w:val="18"/>
              </w:rPr>
              <w:t>4</w:t>
            </w:r>
          </w:p>
        </w:tc>
        <w:tc>
          <w:tcPr>
            <w:tcW w:w="879" w:type="dxa"/>
            <w:tcBorders>
              <w:top w:val="nil"/>
              <w:left w:val="nil"/>
              <w:bottom w:val="nil"/>
              <w:right w:val="nil"/>
            </w:tcBorders>
            <w:noWrap/>
          </w:tcPr>
          <w:p w14:paraId="34C1D348" w14:textId="59E58E29" w:rsidR="003A18A3" w:rsidRDefault="003A18A3" w:rsidP="003A18A3">
            <w:pPr>
              <w:jc w:val="center"/>
              <w:rPr>
                <w:rFonts w:cs="Calibri"/>
                <w:color w:val="000000"/>
                <w:sz w:val="18"/>
                <w:szCs w:val="18"/>
              </w:rPr>
            </w:pPr>
            <w:r w:rsidRPr="003A18A3">
              <w:rPr>
                <w:bCs/>
                <w:sz w:val="18"/>
                <w:szCs w:val="18"/>
              </w:rPr>
              <w:t>16</w:t>
            </w:r>
          </w:p>
        </w:tc>
      </w:tr>
      <w:tr w:rsidR="003A18A3" w:rsidRPr="00847FAE" w14:paraId="6DDF7066" w14:textId="77777777" w:rsidTr="001F1F60">
        <w:trPr>
          <w:cantSplit/>
          <w:trHeight w:val="255"/>
        </w:trPr>
        <w:tc>
          <w:tcPr>
            <w:tcW w:w="3402" w:type="dxa"/>
            <w:gridSpan w:val="4"/>
            <w:tcBorders>
              <w:top w:val="nil"/>
              <w:left w:val="nil"/>
              <w:bottom w:val="nil"/>
              <w:right w:val="nil"/>
            </w:tcBorders>
            <w:noWrap/>
          </w:tcPr>
          <w:p w14:paraId="663332D8" w14:textId="7CF30A88" w:rsidR="003A18A3" w:rsidRDefault="003A18A3" w:rsidP="003A18A3">
            <w:pPr>
              <w:widowControl w:val="0"/>
              <w:tabs>
                <w:tab w:val="left" w:pos="180"/>
              </w:tabs>
              <w:rPr>
                <w:rFonts w:cs="Calibri"/>
                <w:iCs/>
                <w:color w:val="000000"/>
                <w:sz w:val="18"/>
                <w:szCs w:val="18"/>
              </w:rPr>
            </w:pPr>
            <w:r w:rsidRPr="003A18A3">
              <w:rPr>
                <w:bCs/>
                <w:sz w:val="18"/>
                <w:szCs w:val="18"/>
              </w:rPr>
              <w:t>Motorised Wheel chair</w:t>
            </w:r>
          </w:p>
        </w:tc>
        <w:tc>
          <w:tcPr>
            <w:tcW w:w="879" w:type="dxa"/>
            <w:tcBorders>
              <w:top w:val="nil"/>
              <w:left w:val="nil"/>
              <w:bottom w:val="nil"/>
              <w:right w:val="nil"/>
            </w:tcBorders>
            <w:noWrap/>
            <w:vAlign w:val="center"/>
          </w:tcPr>
          <w:p w14:paraId="5532654E" w14:textId="661E2F8B" w:rsidR="003A18A3" w:rsidRDefault="003A18A3" w:rsidP="003A18A3">
            <w:pPr>
              <w:jc w:val="center"/>
              <w:rPr>
                <w:rFonts w:cs="Calibri"/>
                <w:color w:val="000000"/>
                <w:sz w:val="18"/>
                <w:szCs w:val="18"/>
              </w:rPr>
            </w:pPr>
            <w:r>
              <w:rPr>
                <w:rFonts w:cs="Calibri"/>
                <w:color w:val="000000"/>
                <w:sz w:val="18"/>
                <w:szCs w:val="18"/>
              </w:rPr>
              <w:t>0</w:t>
            </w:r>
          </w:p>
        </w:tc>
        <w:tc>
          <w:tcPr>
            <w:tcW w:w="879" w:type="dxa"/>
            <w:tcBorders>
              <w:top w:val="nil"/>
              <w:left w:val="nil"/>
              <w:bottom w:val="nil"/>
              <w:right w:val="nil"/>
            </w:tcBorders>
            <w:noWrap/>
          </w:tcPr>
          <w:p w14:paraId="09653D34" w14:textId="3420CD24" w:rsidR="003A18A3" w:rsidRDefault="003A18A3" w:rsidP="003A18A3">
            <w:pPr>
              <w:jc w:val="center"/>
              <w:rPr>
                <w:rFonts w:cs="Calibri"/>
                <w:color w:val="000000"/>
                <w:sz w:val="18"/>
                <w:szCs w:val="18"/>
              </w:rPr>
            </w:pPr>
            <w:r w:rsidRPr="003A18A3">
              <w:rPr>
                <w:bCs/>
                <w:sz w:val="18"/>
                <w:szCs w:val="18"/>
              </w:rPr>
              <w:t>0</w:t>
            </w:r>
          </w:p>
        </w:tc>
        <w:tc>
          <w:tcPr>
            <w:tcW w:w="879" w:type="dxa"/>
            <w:tcBorders>
              <w:top w:val="nil"/>
              <w:left w:val="nil"/>
              <w:bottom w:val="nil"/>
              <w:right w:val="nil"/>
            </w:tcBorders>
            <w:noWrap/>
          </w:tcPr>
          <w:p w14:paraId="0BE99B88" w14:textId="36314C2D" w:rsidR="003A18A3" w:rsidRDefault="003A18A3" w:rsidP="003A18A3">
            <w:pPr>
              <w:jc w:val="center"/>
              <w:rPr>
                <w:rFonts w:cs="Calibri"/>
                <w:color w:val="000000"/>
                <w:sz w:val="18"/>
                <w:szCs w:val="18"/>
              </w:rPr>
            </w:pPr>
            <w:r w:rsidRPr="003A18A3">
              <w:rPr>
                <w:bCs/>
                <w:sz w:val="18"/>
                <w:szCs w:val="18"/>
              </w:rPr>
              <w:t>0</w:t>
            </w:r>
          </w:p>
        </w:tc>
        <w:tc>
          <w:tcPr>
            <w:tcW w:w="879" w:type="dxa"/>
            <w:tcBorders>
              <w:top w:val="nil"/>
              <w:left w:val="nil"/>
              <w:bottom w:val="nil"/>
              <w:right w:val="nil"/>
            </w:tcBorders>
            <w:noWrap/>
          </w:tcPr>
          <w:p w14:paraId="1C006742" w14:textId="1952755D" w:rsidR="003A18A3" w:rsidRDefault="003A18A3" w:rsidP="003A18A3">
            <w:pPr>
              <w:jc w:val="center"/>
              <w:rPr>
                <w:rFonts w:cs="Calibri"/>
                <w:color w:val="000000"/>
                <w:sz w:val="18"/>
                <w:szCs w:val="18"/>
              </w:rPr>
            </w:pPr>
            <w:r w:rsidRPr="003A18A3">
              <w:rPr>
                <w:bCs/>
                <w:sz w:val="18"/>
                <w:szCs w:val="18"/>
              </w:rPr>
              <w:t>0</w:t>
            </w:r>
          </w:p>
        </w:tc>
        <w:tc>
          <w:tcPr>
            <w:tcW w:w="879" w:type="dxa"/>
            <w:tcBorders>
              <w:top w:val="nil"/>
              <w:left w:val="nil"/>
              <w:bottom w:val="nil"/>
              <w:right w:val="nil"/>
            </w:tcBorders>
            <w:noWrap/>
          </w:tcPr>
          <w:p w14:paraId="568600F4" w14:textId="568B9F13" w:rsidR="003A18A3" w:rsidRDefault="003A18A3" w:rsidP="003A18A3">
            <w:pPr>
              <w:jc w:val="center"/>
              <w:rPr>
                <w:rFonts w:cs="Calibri"/>
                <w:color w:val="000000"/>
                <w:sz w:val="18"/>
                <w:szCs w:val="18"/>
              </w:rPr>
            </w:pPr>
            <w:r w:rsidRPr="003A18A3">
              <w:rPr>
                <w:bCs/>
                <w:sz w:val="18"/>
                <w:szCs w:val="18"/>
              </w:rPr>
              <w:t>0</w:t>
            </w:r>
          </w:p>
        </w:tc>
      </w:tr>
      <w:tr w:rsidR="003A18A3" w:rsidRPr="00847FAE" w14:paraId="62EE5131" w14:textId="77777777" w:rsidTr="001F1F60">
        <w:trPr>
          <w:cantSplit/>
          <w:trHeight w:val="255"/>
        </w:trPr>
        <w:tc>
          <w:tcPr>
            <w:tcW w:w="3402" w:type="dxa"/>
            <w:gridSpan w:val="4"/>
            <w:tcBorders>
              <w:top w:val="nil"/>
              <w:left w:val="nil"/>
              <w:bottom w:val="single" w:sz="4" w:space="0" w:color="auto"/>
              <w:right w:val="nil"/>
            </w:tcBorders>
            <w:shd w:val="clear" w:color="auto" w:fill="D9D9D9" w:themeFill="background1" w:themeFillShade="D9"/>
            <w:noWrap/>
          </w:tcPr>
          <w:p w14:paraId="13CF340B" w14:textId="77777777" w:rsidR="003A18A3" w:rsidRPr="00847FAE" w:rsidRDefault="003A18A3" w:rsidP="003A18A3">
            <w:pPr>
              <w:widowControl w:val="0"/>
              <w:rPr>
                <w:rFonts w:cs="Calibri"/>
                <w:color w:val="000000"/>
                <w:sz w:val="18"/>
                <w:szCs w:val="18"/>
              </w:rPr>
            </w:pPr>
            <w:r>
              <w:rPr>
                <w:rFonts w:cs="Calibri"/>
                <w:iCs/>
                <w:color w:val="000000"/>
                <w:sz w:val="18"/>
                <w:szCs w:val="18"/>
              </w:rPr>
              <w:t>TOTAL</w:t>
            </w:r>
          </w:p>
        </w:tc>
        <w:tc>
          <w:tcPr>
            <w:tcW w:w="879" w:type="dxa"/>
            <w:tcBorders>
              <w:top w:val="nil"/>
              <w:left w:val="nil"/>
              <w:bottom w:val="single" w:sz="4" w:space="0" w:color="auto"/>
              <w:right w:val="nil"/>
            </w:tcBorders>
            <w:shd w:val="clear" w:color="auto" w:fill="D9D9D9" w:themeFill="background1" w:themeFillShade="D9"/>
            <w:noWrap/>
            <w:vAlign w:val="center"/>
          </w:tcPr>
          <w:p w14:paraId="0F0C3921" w14:textId="474F2780" w:rsidR="003A18A3" w:rsidRPr="00847FAE" w:rsidRDefault="003A18A3" w:rsidP="003A18A3">
            <w:pPr>
              <w:jc w:val="center"/>
              <w:rPr>
                <w:rFonts w:cs="Calibri"/>
                <w:color w:val="000000"/>
                <w:sz w:val="18"/>
                <w:szCs w:val="18"/>
              </w:rPr>
            </w:pPr>
            <w:r>
              <w:rPr>
                <w:rFonts w:cs="Calibri"/>
                <w:color w:val="000000"/>
                <w:sz w:val="18"/>
                <w:szCs w:val="18"/>
              </w:rPr>
              <w:t>23</w:t>
            </w:r>
          </w:p>
        </w:tc>
        <w:tc>
          <w:tcPr>
            <w:tcW w:w="879" w:type="dxa"/>
            <w:tcBorders>
              <w:top w:val="nil"/>
              <w:left w:val="nil"/>
              <w:bottom w:val="single" w:sz="4" w:space="0" w:color="auto"/>
              <w:right w:val="nil"/>
            </w:tcBorders>
            <w:shd w:val="clear" w:color="auto" w:fill="D9D9D9" w:themeFill="background1" w:themeFillShade="D9"/>
            <w:noWrap/>
            <w:vAlign w:val="center"/>
          </w:tcPr>
          <w:p w14:paraId="62F86421" w14:textId="0F735C30" w:rsidR="003A18A3" w:rsidRPr="00847FAE" w:rsidRDefault="003A18A3" w:rsidP="003A18A3">
            <w:pPr>
              <w:jc w:val="center"/>
              <w:rPr>
                <w:rFonts w:cs="Calibri"/>
                <w:color w:val="000000"/>
                <w:sz w:val="18"/>
                <w:szCs w:val="18"/>
              </w:rPr>
            </w:pPr>
            <w:r>
              <w:rPr>
                <w:rFonts w:cs="Calibri"/>
                <w:color w:val="000000"/>
                <w:sz w:val="18"/>
                <w:szCs w:val="18"/>
              </w:rPr>
              <w:t>34</w:t>
            </w:r>
          </w:p>
        </w:tc>
        <w:tc>
          <w:tcPr>
            <w:tcW w:w="879" w:type="dxa"/>
            <w:tcBorders>
              <w:top w:val="nil"/>
              <w:left w:val="nil"/>
              <w:bottom w:val="single" w:sz="4" w:space="0" w:color="auto"/>
              <w:right w:val="nil"/>
            </w:tcBorders>
            <w:shd w:val="clear" w:color="auto" w:fill="D9D9D9" w:themeFill="background1" w:themeFillShade="D9"/>
            <w:noWrap/>
            <w:vAlign w:val="center"/>
          </w:tcPr>
          <w:p w14:paraId="6E262837" w14:textId="7F2BF4A6" w:rsidR="003A18A3" w:rsidRPr="00847FAE" w:rsidRDefault="003A18A3" w:rsidP="003A18A3">
            <w:pPr>
              <w:jc w:val="center"/>
              <w:rPr>
                <w:rFonts w:cs="Calibri"/>
                <w:color w:val="000000"/>
                <w:sz w:val="18"/>
                <w:szCs w:val="18"/>
              </w:rPr>
            </w:pPr>
            <w:r>
              <w:rPr>
                <w:rFonts w:cs="Calibri"/>
                <w:color w:val="000000"/>
                <w:sz w:val="18"/>
                <w:szCs w:val="18"/>
              </w:rPr>
              <w:t>41</w:t>
            </w:r>
          </w:p>
        </w:tc>
        <w:tc>
          <w:tcPr>
            <w:tcW w:w="879" w:type="dxa"/>
            <w:tcBorders>
              <w:top w:val="nil"/>
              <w:left w:val="nil"/>
              <w:bottom w:val="single" w:sz="4" w:space="0" w:color="auto"/>
              <w:right w:val="nil"/>
            </w:tcBorders>
            <w:shd w:val="clear" w:color="auto" w:fill="D9D9D9" w:themeFill="background1" w:themeFillShade="D9"/>
            <w:noWrap/>
            <w:vAlign w:val="center"/>
          </w:tcPr>
          <w:p w14:paraId="48E1CB34" w14:textId="02ED88D7" w:rsidR="003A18A3" w:rsidRPr="00847FAE" w:rsidRDefault="003A18A3" w:rsidP="003A18A3">
            <w:pPr>
              <w:jc w:val="center"/>
              <w:rPr>
                <w:rFonts w:cs="Calibri"/>
                <w:color w:val="000000"/>
                <w:sz w:val="18"/>
                <w:szCs w:val="18"/>
              </w:rPr>
            </w:pPr>
            <w:r>
              <w:rPr>
                <w:rFonts w:cs="Calibri"/>
                <w:color w:val="000000"/>
                <w:sz w:val="18"/>
                <w:szCs w:val="18"/>
              </w:rPr>
              <w:t>29</w:t>
            </w:r>
          </w:p>
        </w:tc>
        <w:tc>
          <w:tcPr>
            <w:tcW w:w="879" w:type="dxa"/>
            <w:tcBorders>
              <w:top w:val="nil"/>
              <w:left w:val="nil"/>
              <w:bottom w:val="single" w:sz="4" w:space="0" w:color="auto"/>
              <w:right w:val="nil"/>
            </w:tcBorders>
            <w:shd w:val="clear" w:color="auto" w:fill="D9D9D9" w:themeFill="background1" w:themeFillShade="D9"/>
            <w:noWrap/>
            <w:vAlign w:val="center"/>
          </w:tcPr>
          <w:p w14:paraId="193D623C" w14:textId="6C3D0779" w:rsidR="003A18A3" w:rsidRPr="00847FAE" w:rsidRDefault="003A18A3" w:rsidP="003A18A3">
            <w:pPr>
              <w:jc w:val="center"/>
              <w:rPr>
                <w:rFonts w:cs="Calibri"/>
                <w:color w:val="000000"/>
                <w:sz w:val="18"/>
                <w:szCs w:val="18"/>
              </w:rPr>
            </w:pPr>
            <w:r>
              <w:rPr>
                <w:rFonts w:cs="Calibri"/>
                <w:color w:val="000000"/>
                <w:sz w:val="18"/>
                <w:szCs w:val="18"/>
              </w:rPr>
              <w:t>35</w:t>
            </w:r>
          </w:p>
        </w:tc>
      </w:tr>
    </w:tbl>
    <w:p w14:paraId="6D5B6D4B" w14:textId="77777777" w:rsidR="00CA3614" w:rsidRPr="00847FAE" w:rsidRDefault="00CA3614" w:rsidP="005F6773">
      <w:pPr>
        <w:rPr>
          <w:b/>
        </w:rPr>
      </w:pPr>
    </w:p>
    <w:p w14:paraId="7604B186" w14:textId="77777777" w:rsidR="005F6773" w:rsidRPr="00847FAE" w:rsidRDefault="005F6773" w:rsidP="005F6773"/>
    <w:p w14:paraId="2D1B4D94" w14:textId="77777777" w:rsidR="005F6773" w:rsidRPr="00847FAE" w:rsidRDefault="005F6773" w:rsidP="005F6773"/>
    <w:p w14:paraId="0B7BEFD3" w14:textId="466B705F" w:rsidR="005F6773" w:rsidRPr="00F70E6C" w:rsidRDefault="005F6773" w:rsidP="00F70E6C">
      <w:pPr>
        <w:keepNext/>
        <w:keepLines/>
        <w:spacing w:before="40"/>
        <w:outlineLvl w:val="2"/>
        <w:rPr>
          <w:rFonts w:eastAsiaTheme="majorEastAsia" w:cstheme="majorBidi"/>
          <w:lang w:eastAsia="en-US"/>
        </w:rPr>
      </w:pPr>
      <w:bookmarkStart w:id="387" w:name="_Toc1041194"/>
      <w:r w:rsidRPr="00F70E6C">
        <w:rPr>
          <w:rFonts w:eastAsiaTheme="majorEastAsia" w:cstheme="majorBidi"/>
          <w:lang w:eastAsia="en-US"/>
        </w:rPr>
        <w:t>Table 1</w:t>
      </w:r>
      <w:r w:rsidR="000D3B2B" w:rsidRPr="00F70E6C">
        <w:rPr>
          <w:rFonts w:eastAsiaTheme="majorEastAsia" w:cstheme="majorBidi"/>
          <w:lang w:eastAsia="en-US"/>
        </w:rPr>
        <w:t xml:space="preserve">4: </w:t>
      </w:r>
      <w:r w:rsidRPr="00F70E6C">
        <w:rPr>
          <w:rFonts w:eastAsiaTheme="majorEastAsia" w:cstheme="majorBidi"/>
          <w:lang w:eastAsia="en-US"/>
        </w:rPr>
        <w:t xml:space="preserve">Coronial – Self-Inflicted Deaths </w:t>
      </w:r>
      <w:r w:rsidR="00E851F4" w:rsidRPr="00F70E6C">
        <w:rPr>
          <w:rFonts w:eastAsiaTheme="majorEastAsia" w:cstheme="majorBidi"/>
          <w:lang w:eastAsia="en-US"/>
        </w:rPr>
        <w:t>- C</w:t>
      </w:r>
      <w:r w:rsidRPr="00F70E6C">
        <w:rPr>
          <w:rFonts w:eastAsiaTheme="majorEastAsia" w:cstheme="majorBidi"/>
          <w:lang w:eastAsia="en-US"/>
        </w:rPr>
        <w:t>losed – by method – 2013</w:t>
      </w:r>
      <w:r w:rsidR="00E851F4" w:rsidRPr="00F70E6C">
        <w:rPr>
          <w:rFonts w:eastAsiaTheme="majorEastAsia" w:cstheme="majorBidi"/>
          <w:lang w:eastAsia="en-US"/>
        </w:rPr>
        <w:t>-14 to</w:t>
      </w:r>
      <w:r w:rsidRPr="00F70E6C">
        <w:rPr>
          <w:rFonts w:eastAsiaTheme="majorEastAsia" w:cstheme="majorBidi"/>
          <w:lang w:eastAsia="en-US"/>
        </w:rPr>
        <w:t xml:space="preserve"> </w:t>
      </w:r>
      <w:r w:rsidR="00E851F4" w:rsidRPr="00F70E6C">
        <w:rPr>
          <w:rFonts w:eastAsiaTheme="majorEastAsia" w:cstheme="majorBidi"/>
          <w:lang w:eastAsia="en-US"/>
        </w:rPr>
        <w:t>2017-</w:t>
      </w:r>
      <w:r w:rsidRPr="00F70E6C">
        <w:rPr>
          <w:rFonts w:eastAsiaTheme="majorEastAsia" w:cstheme="majorBidi"/>
          <w:lang w:eastAsia="en-US"/>
        </w:rPr>
        <w:t>2018</w:t>
      </w:r>
      <w:bookmarkEnd w:id="387"/>
      <w:r w:rsidRPr="00F70E6C">
        <w:rPr>
          <w:rFonts w:eastAsiaTheme="majorEastAsia" w:cstheme="majorBidi"/>
          <w:lang w:eastAsia="en-US"/>
        </w:rPr>
        <w:t xml:space="preserve"> </w:t>
      </w:r>
    </w:p>
    <w:tbl>
      <w:tblPr>
        <w:tblStyle w:val="TableGrid1"/>
        <w:tblW w:w="7797" w:type="dxa"/>
        <w:tblLayout w:type="fixed"/>
        <w:tblCellMar>
          <w:top w:w="11" w:type="dxa"/>
          <w:bottom w:w="11" w:type="dxa"/>
        </w:tblCellMar>
        <w:tblLook w:val="04A0" w:firstRow="1" w:lastRow="0" w:firstColumn="1" w:lastColumn="0" w:noHBand="0" w:noVBand="1"/>
        <w:tblCaption w:val="Table14Coronial_Selfinflicteddeaths_closed_bymethod"/>
        <w:tblDescription w:val="TabledescribingCoronial_Selfinflicteddeaths_closed_bymethod_2013_14to2017_18"/>
      </w:tblPr>
      <w:tblGrid>
        <w:gridCol w:w="326"/>
        <w:gridCol w:w="977"/>
        <w:gridCol w:w="824"/>
        <w:gridCol w:w="1275"/>
        <w:gridCol w:w="879"/>
        <w:gridCol w:w="879"/>
        <w:gridCol w:w="879"/>
        <w:gridCol w:w="879"/>
        <w:gridCol w:w="879"/>
      </w:tblGrid>
      <w:tr w:rsidR="00E851F4" w:rsidRPr="00847FAE" w14:paraId="2A5B4468"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74E300F1"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43A821F3"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242B3F9F"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1275" w:type="dxa"/>
            <w:tcBorders>
              <w:top w:val="single" w:sz="4" w:space="0" w:color="auto"/>
              <w:left w:val="nil"/>
              <w:bottom w:val="single" w:sz="4" w:space="0" w:color="auto"/>
              <w:right w:val="nil"/>
            </w:tcBorders>
            <w:noWrap/>
            <w:hideMark/>
          </w:tcPr>
          <w:p w14:paraId="2A347029"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bottom"/>
            <w:hideMark/>
          </w:tcPr>
          <w:p w14:paraId="38BF8D9E" w14:textId="77777777" w:rsidR="00E851F4" w:rsidRPr="00847FAE" w:rsidRDefault="00E851F4" w:rsidP="00470D3C">
            <w:pPr>
              <w:widowControl w:val="0"/>
              <w:jc w:val="right"/>
              <w:rPr>
                <w:rFonts w:cs="Calibri"/>
                <w:bCs/>
                <w:color w:val="000000"/>
                <w:sz w:val="18"/>
                <w:szCs w:val="18"/>
                <w:vertAlign w:val="superscript"/>
              </w:rPr>
            </w:pPr>
            <w:r w:rsidRPr="00847FAE">
              <w:rPr>
                <w:rFonts w:cs="Calibri"/>
                <w:bCs/>
                <w:color w:val="000000"/>
                <w:sz w:val="18"/>
                <w:szCs w:val="18"/>
              </w:rPr>
              <w:t>2013-14</w:t>
            </w:r>
          </w:p>
        </w:tc>
        <w:tc>
          <w:tcPr>
            <w:tcW w:w="879" w:type="dxa"/>
            <w:tcBorders>
              <w:top w:val="single" w:sz="4" w:space="0" w:color="auto"/>
              <w:left w:val="nil"/>
              <w:bottom w:val="single" w:sz="4" w:space="0" w:color="auto"/>
              <w:right w:val="nil"/>
            </w:tcBorders>
            <w:noWrap/>
            <w:vAlign w:val="bottom"/>
            <w:hideMark/>
          </w:tcPr>
          <w:p w14:paraId="27A8AD22" w14:textId="77777777" w:rsidR="00E851F4" w:rsidRPr="00847FAE" w:rsidRDefault="00E851F4" w:rsidP="00470D3C">
            <w:pPr>
              <w:widowControl w:val="0"/>
              <w:jc w:val="right"/>
              <w:rPr>
                <w:rFonts w:cs="Calibri"/>
                <w:bCs/>
                <w:color w:val="000000"/>
                <w:sz w:val="18"/>
                <w:szCs w:val="18"/>
              </w:rPr>
            </w:pPr>
            <w:r w:rsidRPr="00847FAE">
              <w:rPr>
                <w:rFonts w:cs="Calibri"/>
                <w:bCs/>
                <w:color w:val="000000"/>
                <w:sz w:val="18"/>
                <w:szCs w:val="18"/>
              </w:rPr>
              <w:t>2014-15</w:t>
            </w:r>
          </w:p>
        </w:tc>
        <w:tc>
          <w:tcPr>
            <w:tcW w:w="879" w:type="dxa"/>
            <w:tcBorders>
              <w:top w:val="single" w:sz="4" w:space="0" w:color="auto"/>
              <w:left w:val="nil"/>
              <w:bottom w:val="single" w:sz="4" w:space="0" w:color="auto"/>
              <w:right w:val="nil"/>
            </w:tcBorders>
            <w:noWrap/>
            <w:vAlign w:val="bottom"/>
            <w:hideMark/>
          </w:tcPr>
          <w:p w14:paraId="0D06B6D0" w14:textId="77777777" w:rsidR="00E851F4" w:rsidRPr="00847FAE" w:rsidRDefault="00E851F4" w:rsidP="00470D3C">
            <w:pPr>
              <w:widowControl w:val="0"/>
              <w:jc w:val="right"/>
              <w:rPr>
                <w:rFonts w:cs="Calibri"/>
                <w:bCs/>
                <w:color w:val="000000"/>
                <w:sz w:val="18"/>
                <w:szCs w:val="18"/>
              </w:rPr>
            </w:pPr>
            <w:r w:rsidRPr="00847FAE">
              <w:rPr>
                <w:rFonts w:cs="Calibri"/>
                <w:bCs/>
                <w:color w:val="000000"/>
                <w:sz w:val="18"/>
                <w:szCs w:val="18"/>
              </w:rPr>
              <w:t>2015-16</w:t>
            </w:r>
          </w:p>
        </w:tc>
        <w:tc>
          <w:tcPr>
            <w:tcW w:w="879" w:type="dxa"/>
            <w:tcBorders>
              <w:top w:val="single" w:sz="4" w:space="0" w:color="auto"/>
              <w:left w:val="nil"/>
              <w:bottom w:val="single" w:sz="4" w:space="0" w:color="auto"/>
              <w:right w:val="nil"/>
            </w:tcBorders>
            <w:noWrap/>
            <w:vAlign w:val="bottom"/>
            <w:hideMark/>
          </w:tcPr>
          <w:p w14:paraId="55A00BA6" w14:textId="77777777" w:rsidR="00E851F4" w:rsidRPr="00847FAE" w:rsidRDefault="00E851F4" w:rsidP="00470D3C">
            <w:pPr>
              <w:widowControl w:val="0"/>
              <w:jc w:val="right"/>
              <w:rPr>
                <w:rFonts w:cs="Calibri"/>
                <w:bCs/>
                <w:color w:val="000000"/>
                <w:sz w:val="18"/>
                <w:szCs w:val="18"/>
              </w:rPr>
            </w:pPr>
            <w:r w:rsidRPr="00847FAE">
              <w:rPr>
                <w:rFonts w:cs="Calibri"/>
                <w:bCs/>
                <w:color w:val="000000"/>
                <w:sz w:val="18"/>
                <w:szCs w:val="18"/>
              </w:rPr>
              <w:t>2016-17</w:t>
            </w:r>
          </w:p>
        </w:tc>
        <w:tc>
          <w:tcPr>
            <w:tcW w:w="879" w:type="dxa"/>
            <w:tcBorders>
              <w:top w:val="single" w:sz="4" w:space="0" w:color="auto"/>
              <w:left w:val="nil"/>
              <w:bottom w:val="single" w:sz="4" w:space="0" w:color="auto"/>
              <w:right w:val="nil"/>
            </w:tcBorders>
            <w:noWrap/>
            <w:vAlign w:val="bottom"/>
            <w:hideMark/>
          </w:tcPr>
          <w:p w14:paraId="77EBC115" w14:textId="77777777" w:rsidR="00E851F4" w:rsidRPr="00847FAE" w:rsidRDefault="00E851F4" w:rsidP="00470D3C">
            <w:pPr>
              <w:widowControl w:val="0"/>
              <w:rPr>
                <w:rFonts w:cs="Calibri"/>
                <w:bCs/>
                <w:color w:val="000000"/>
                <w:sz w:val="18"/>
                <w:szCs w:val="18"/>
              </w:rPr>
            </w:pPr>
            <w:r w:rsidRPr="00847FAE">
              <w:rPr>
                <w:rFonts w:cs="Calibri"/>
                <w:bCs/>
                <w:color w:val="000000"/>
                <w:sz w:val="18"/>
                <w:szCs w:val="18"/>
              </w:rPr>
              <w:t>2017-18</w:t>
            </w:r>
          </w:p>
        </w:tc>
      </w:tr>
      <w:tr w:rsidR="00E851F4" w:rsidRPr="00847FAE" w14:paraId="2CD59344" w14:textId="77777777" w:rsidTr="001F1F60">
        <w:trPr>
          <w:cantSplit/>
          <w:trHeight w:val="255"/>
        </w:trPr>
        <w:tc>
          <w:tcPr>
            <w:tcW w:w="3402" w:type="dxa"/>
            <w:gridSpan w:val="4"/>
            <w:tcBorders>
              <w:top w:val="single" w:sz="4" w:space="0" w:color="auto"/>
              <w:left w:val="nil"/>
              <w:bottom w:val="single" w:sz="4" w:space="0" w:color="auto"/>
              <w:right w:val="nil"/>
            </w:tcBorders>
            <w:noWrap/>
            <w:vAlign w:val="center"/>
            <w:hideMark/>
          </w:tcPr>
          <w:p w14:paraId="0A5C1457"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0984F6D2"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4CFD8605"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350B3C58"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0B16BD3C"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0266624B" w14:textId="77777777" w:rsidR="00E851F4" w:rsidRPr="00847FAE" w:rsidRDefault="00E851F4" w:rsidP="00470D3C">
            <w:pPr>
              <w:widowControl w:val="0"/>
              <w:rPr>
                <w:rFonts w:cs="Calibri"/>
                <w:color w:val="000000"/>
                <w:sz w:val="18"/>
                <w:szCs w:val="18"/>
              </w:rPr>
            </w:pPr>
            <w:r w:rsidRPr="00847FAE">
              <w:rPr>
                <w:rFonts w:cs="Calibri"/>
                <w:color w:val="000000"/>
                <w:sz w:val="18"/>
                <w:szCs w:val="18"/>
              </w:rPr>
              <w:t> </w:t>
            </w:r>
          </w:p>
        </w:tc>
      </w:tr>
      <w:tr w:rsidR="00E851F4" w:rsidRPr="00847FAE" w14:paraId="2A60E318" w14:textId="77777777" w:rsidTr="001F1F60">
        <w:trPr>
          <w:cantSplit/>
          <w:trHeight w:val="255"/>
        </w:trPr>
        <w:tc>
          <w:tcPr>
            <w:tcW w:w="3402" w:type="dxa"/>
            <w:gridSpan w:val="4"/>
            <w:tcBorders>
              <w:top w:val="single" w:sz="4" w:space="0" w:color="auto"/>
              <w:left w:val="nil"/>
              <w:bottom w:val="nil"/>
              <w:right w:val="nil"/>
            </w:tcBorders>
            <w:shd w:val="clear" w:color="auto" w:fill="D9D9D9" w:themeFill="background1" w:themeFillShade="D9"/>
            <w:noWrap/>
            <w:hideMark/>
          </w:tcPr>
          <w:p w14:paraId="187F5E24" w14:textId="58D26B67" w:rsidR="00E851F4" w:rsidRPr="00847FAE" w:rsidRDefault="00E851F4" w:rsidP="00E851F4">
            <w:pPr>
              <w:widowControl w:val="0"/>
              <w:rPr>
                <w:rFonts w:cs="Calibri"/>
                <w:color w:val="000000"/>
                <w:sz w:val="18"/>
                <w:szCs w:val="18"/>
                <w:vertAlign w:val="superscript"/>
              </w:rPr>
            </w:pPr>
            <w:r>
              <w:rPr>
                <w:rFonts w:cs="Calibri"/>
                <w:color w:val="000000"/>
                <w:sz w:val="18"/>
                <w:szCs w:val="18"/>
              </w:rPr>
              <w:t>Self-Inflicted Deaths Closed</w:t>
            </w:r>
          </w:p>
        </w:tc>
        <w:tc>
          <w:tcPr>
            <w:tcW w:w="879" w:type="dxa"/>
            <w:tcBorders>
              <w:top w:val="single" w:sz="4" w:space="0" w:color="auto"/>
              <w:left w:val="nil"/>
              <w:bottom w:val="nil"/>
              <w:right w:val="nil"/>
            </w:tcBorders>
            <w:shd w:val="clear" w:color="auto" w:fill="D9D9D9" w:themeFill="background1" w:themeFillShade="D9"/>
            <w:noWrap/>
            <w:vAlign w:val="center"/>
          </w:tcPr>
          <w:p w14:paraId="694B4BAA" w14:textId="77777777" w:rsidR="00E851F4" w:rsidRPr="00847FAE" w:rsidRDefault="00E851F4" w:rsidP="00470D3C">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08A2A8A1" w14:textId="77777777" w:rsidR="00E851F4" w:rsidRPr="00847FAE" w:rsidRDefault="00E851F4" w:rsidP="00470D3C">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632BE33B" w14:textId="77777777" w:rsidR="00E851F4" w:rsidRPr="00847FAE" w:rsidRDefault="00E851F4" w:rsidP="00470D3C">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25B937DC" w14:textId="77777777" w:rsidR="00E851F4" w:rsidRPr="00847FAE" w:rsidRDefault="00E851F4" w:rsidP="00470D3C">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4DA0BC34" w14:textId="77777777" w:rsidR="00E851F4" w:rsidRPr="00847FAE" w:rsidRDefault="00E851F4" w:rsidP="00470D3C">
            <w:pPr>
              <w:jc w:val="right"/>
              <w:rPr>
                <w:rFonts w:cs="Calibri"/>
                <w:iCs/>
                <w:color w:val="000000"/>
                <w:sz w:val="18"/>
                <w:szCs w:val="18"/>
              </w:rPr>
            </w:pPr>
          </w:p>
        </w:tc>
      </w:tr>
      <w:tr w:rsidR="00D53CC3" w:rsidRPr="00847FAE" w14:paraId="3188BD5B" w14:textId="77777777" w:rsidTr="001F1F60">
        <w:trPr>
          <w:cantSplit/>
          <w:trHeight w:val="255"/>
        </w:trPr>
        <w:tc>
          <w:tcPr>
            <w:tcW w:w="3402" w:type="dxa"/>
            <w:gridSpan w:val="4"/>
            <w:tcBorders>
              <w:top w:val="nil"/>
              <w:left w:val="nil"/>
              <w:bottom w:val="nil"/>
              <w:right w:val="nil"/>
            </w:tcBorders>
            <w:noWrap/>
          </w:tcPr>
          <w:p w14:paraId="61F4DF24" w14:textId="61E01076" w:rsidR="00D53CC3" w:rsidRPr="00E851F4" w:rsidRDefault="00D53CC3" w:rsidP="00D53CC3">
            <w:pPr>
              <w:widowControl w:val="0"/>
              <w:tabs>
                <w:tab w:val="left" w:pos="180"/>
              </w:tabs>
              <w:rPr>
                <w:rFonts w:cs="Calibri"/>
                <w:color w:val="000000"/>
                <w:sz w:val="18"/>
                <w:szCs w:val="18"/>
              </w:rPr>
            </w:pPr>
            <w:r w:rsidRPr="00E851F4">
              <w:rPr>
                <w:bCs/>
                <w:sz w:val="18"/>
                <w:szCs w:val="18"/>
              </w:rPr>
              <w:t>Hanging</w:t>
            </w:r>
          </w:p>
        </w:tc>
        <w:tc>
          <w:tcPr>
            <w:tcW w:w="879" w:type="dxa"/>
            <w:tcBorders>
              <w:top w:val="nil"/>
              <w:left w:val="nil"/>
              <w:bottom w:val="nil"/>
              <w:right w:val="nil"/>
            </w:tcBorders>
            <w:noWrap/>
            <w:vAlign w:val="center"/>
          </w:tcPr>
          <w:p w14:paraId="0A21569A" w14:textId="4A97387D" w:rsidR="00D53CC3" w:rsidRPr="00847FAE" w:rsidRDefault="00D53CC3" w:rsidP="00D53CC3">
            <w:pPr>
              <w:jc w:val="center"/>
              <w:rPr>
                <w:rFonts w:cs="Calibri"/>
                <w:color w:val="000000"/>
                <w:sz w:val="18"/>
                <w:szCs w:val="18"/>
              </w:rPr>
            </w:pPr>
            <w:r>
              <w:rPr>
                <w:rFonts w:cs="Calibri"/>
                <w:color w:val="000000"/>
                <w:sz w:val="18"/>
                <w:szCs w:val="18"/>
              </w:rPr>
              <w:t>25</w:t>
            </w:r>
          </w:p>
        </w:tc>
        <w:tc>
          <w:tcPr>
            <w:tcW w:w="879" w:type="dxa"/>
            <w:tcBorders>
              <w:top w:val="nil"/>
              <w:left w:val="nil"/>
              <w:bottom w:val="nil"/>
              <w:right w:val="nil"/>
            </w:tcBorders>
            <w:noWrap/>
          </w:tcPr>
          <w:p w14:paraId="3C040259" w14:textId="2C107FB2" w:rsidR="00D53CC3" w:rsidRPr="00847FAE" w:rsidRDefault="00D53CC3" w:rsidP="00D53CC3">
            <w:pPr>
              <w:jc w:val="center"/>
              <w:rPr>
                <w:rFonts w:cs="Calibri"/>
                <w:color w:val="000000"/>
                <w:sz w:val="18"/>
                <w:szCs w:val="18"/>
              </w:rPr>
            </w:pPr>
            <w:r w:rsidRPr="00E851F4">
              <w:rPr>
                <w:bCs/>
                <w:sz w:val="18"/>
                <w:szCs w:val="18"/>
              </w:rPr>
              <w:t>32</w:t>
            </w:r>
          </w:p>
        </w:tc>
        <w:tc>
          <w:tcPr>
            <w:tcW w:w="879" w:type="dxa"/>
            <w:tcBorders>
              <w:top w:val="nil"/>
              <w:left w:val="nil"/>
              <w:bottom w:val="nil"/>
              <w:right w:val="nil"/>
            </w:tcBorders>
            <w:noWrap/>
          </w:tcPr>
          <w:p w14:paraId="00DAF736" w14:textId="0FFFA2EA" w:rsidR="00D53CC3" w:rsidRPr="00847FAE" w:rsidRDefault="00D53CC3" w:rsidP="00D53CC3">
            <w:pPr>
              <w:jc w:val="center"/>
              <w:rPr>
                <w:rFonts w:cs="Calibri"/>
                <w:color w:val="000000"/>
                <w:sz w:val="18"/>
                <w:szCs w:val="18"/>
              </w:rPr>
            </w:pPr>
            <w:r w:rsidRPr="00E851F4">
              <w:rPr>
                <w:bCs/>
                <w:sz w:val="18"/>
                <w:szCs w:val="18"/>
              </w:rPr>
              <w:t>32</w:t>
            </w:r>
          </w:p>
        </w:tc>
        <w:tc>
          <w:tcPr>
            <w:tcW w:w="879" w:type="dxa"/>
            <w:tcBorders>
              <w:top w:val="nil"/>
              <w:left w:val="nil"/>
              <w:bottom w:val="nil"/>
              <w:right w:val="nil"/>
            </w:tcBorders>
            <w:noWrap/>
          </w:tcPr>
          <w:p w14:paraId="6B4A9527" w14:textId="5D1996EA" w:rsidR="00D53CC3" w:rsidRPr="00847FAE" w:rsidRDefault="00D53CC3" w:rsidP="00D53CC3">
            <w:pPr>
              <w:jc w:val="center"/>
              <w:rPr>
                <w:rFonts w:cs="Calibri"/>
                <w:color w:val="000000"/>
                <w:sz w:val="18"/>
                <w:szCs w:val="18"/>
              </w:rPr>
            </w:pPr>
            <w:r w:rsidRPr="00E851F4">
              <w:rPr>
                <w:bCs/>
                <w:sz w:val="18"/>
                <w:szCs w:val="18"/>
              </w:rPr>
              <w:t>25</w:t>
            </w:r>
          </w:p>
        </w:tc>
        <w:tc>
          <w:tcPr>
            <w:tcW w:w="879" w:type="dxa"/>
            <w:tcBorders>
              <w:top w:val="nil"/>
              <w:left w:val="nil"/>
              <w:bottom w:val="nil"/>
              <w:right w:val="nil"/>
            </w:tcBorders>
            <w:noWrap/>
          </w:tcPr>
          <w:p w14:paraId="2748DE66" w14:textId="39BF79C8" w:rsidR="00D53CC3" w:rsidRPr="00847FAE" w:rsidRDefault="00D53CC3" w:rsidP="00D53CC3">
            <w:pPr>
              <w:jc w:val="center"/>
              <w:rPr>
                <w:rFonts w:cs="Calibri"/>
                <w:color w:val="000000"/>
                <w:sz w:val="18"/>
                <w:szCs w:val="18"/>
              </w:rPr>
            </w:pPr>
            <w:r w:rsidRPr="00E851F4">
              <w:rPr>
                <w:bCs/>
                <w:sz w:val="18"/>
                <w:szCs w:val="18"/>
              </w:rPr>
              <w:t>44</w:t>
            </w:r>
          </w:p>
        </w:tc>
      </w:tr>
      <w:tr w:rsidR="00D53CC3" w:rsidRPr="00847FAE" w14:paraId="067FB6ED" w14:textId="77777777" w:rsidTr="001F1F60">
        <w:trPr>
          <w:cantSplit/>
          <w:trHeight w:val="255"/>
        </w:trPr>
        <w:tc>
          <w:tcPr>
            <w:tcW w:w="3402" w:type="dxa"/>
            <w:gridSpan w:val="4"/>
            <w:tcBorders>
              <w:top w:val="nil"/>
              <w:left w:val="nil"/>
              <w:bottom w:val="nil"/>
              <w:right w:val="nil"/>
            </w:tcBorders>
            <w:noWrap/>
          </w:tcPr>
          <w:p w14:paraId="65D51EC7" w14:textId="6BE4661E" w:rsidR="00D53CC3" w:rsidRPr="00847FAE" w:rsidRDefault="00D53CC3" w:rsidP="00D53CC3">
            <w:pPr>
              <w:widowControl w:val="0"/>
              <w:tabs>
                <w:tab w:val="left" w:pos="180"/>
              </w:tabs>
              <w:rPr>
                <w:rFonts w:cs="Calibri"/>
                <w:iCs/>
                <w:color w:val="000000"/>
                <w:sz w:val="18"/>
                <w:szCs w:val="18"/>
              </w:rPr>
            </w:pPr>
            <w:r w:rsidRPr="00E851F4">
              <w:rPr>
                <w:bCs/>
                <w:sz w:val="18"/>
                <w:szCs w:val="18"/>
              </w:rPr>
              <w:t>Carbon Monoxide</w:t>
            </w:r>
          </w:p>
        </w:tc>
        <w:tc>
          <w:tcPr>
            <w:tcW w:w="879" w:type="dxa"/>
            <w:tcBorders>
              <w:top w:val="nil"/>
              <w:left w:val="nil"/>
              <w:bottom w:val="nil"/>
              <w:right w:val="nil"/>
            </w:tcBorders>
            <w:noWrap/>
            <w:vAlign w:val="center"/>
          </w:tcPr>
          <w:p w14:paraId="3C0AA683" w14:textId="02D2EA5A" w:rsidR="00D53CC3" w:rsidRDefault="00D53CC3" w:rsidP="00D53CC3">
            <w:pPr>
              <w:jc w:val="center"/>
              <w:rPr>
                <w:rFonts w:cs="Calibri"/>
                <w:color w:val="000000"/>
                <w:sz w:val="18"/>
                <w:szCs w:val="18"/>
              </w:rPr>
            </w:pPr>
            <w:r>
              <w:rPr>
                <w:rFonts w:cs="Calibri"/>
                <w:color w:val="000000"/>
                <w:sz w:val="18"/>
                <w:szCs w:val="18"/>
              </w:rPr>
              <w:t>6</w:t>
            </w:r>
          </w:p>
        </w:tc>
        <w:tc>
          <w:tcPr>
            <w:tcW w:w="879" w:type="dxa"/>
            <w:tcBorders>
              <w:top w:val="nil"/>
              <w:left w:val="nil"/>
              <w:bottom w:val="nil"/>
              <w:right w:val="nil"/>
            </w:tcBorders>
            <w:noWrap/>
          </w:tcPr>
          <w:p w14:paraId="7FA2D0D8" w14:textId="01AFC148" w:rsidR="00D53CC3" w:rsidRDefault="00D53CC3" w:rsidP="00D53CC3">
            <w:pPr>
              <w:jc w:val="center"/>
              <w:rPr>
                <w:rFonts w:cs="Calibri"/>
                <w:color w:val="000000"/>
                <w:sz w:val="18"/>
                <w:szCs w:val="18"/>
              </w:rPr>
            </w:pPr>
            <w:r w:rsidRPr="00E851F4">
              <w:rPr>
                <w:bCs/>
                <w:sz w:val="18"/>
                <w:szCs w:val="18"/>
              </w:rPr>
              <w:t>7</w:t>
            </w:r>
          </w:p>
        </w:tc>
        <w:tc>
          <w:tcPr>
            <w:tcW w:w="879" w:type="dxa"/>
            <w:tcBorders>
              <w:top w:val="nil"/>
              <w:left w:val="nil"/>
              <w:bottom w:val="nil"/>
              <w:right w:val="nil"/>
            </w:tcBorders>
            <w:noWrap/>
          </w:tcPr>
          <w:p w14:paraId="2432E5D5" w14:textId="4E968F8B" w:rsidR="00D53CC3" w:rsidRDefault="00D53CC3" w:rsidP="00D53CC3">
            <w:pPr>
              <w:jc w:val="center"/>
              <w:rPr>
                <w:rFonts w:cs="Calibri"/>
                <w:color w:val="000000"/>
                <w:sz w:val="18"/>
                <w:szCs w:val="18"/>
              </w:rPr>
            </w:pPr>
            <w:r w:rsidRPr="00E851F4">
              <w:rPr>
                <w:bCs/>
                <w:sz w:val="18"/>
                <w:szCs w:val="18"/>
              </w:rPr>
              <w:t>5</w:t>
            </w:r>
          </w:p>
        </w:tc>
        <w:tc>
          <w:tcPr>
            <w:tcW w:w="879" w:type="dxa"/>
            <w:tcBorders>
              <w:top w:val="nil"/>
              <w:left w:val="nil"/>
              <w:bottom w:val="nil"/>
              <w:right w:val="nil"/>
            </w:tcBorders>
            <w:noWrap/>
          </w:tcPr>
          <w:p w14:paraId="4FA7DD7E" w14:textId="010D9DAC" w:rsidR="00D53CC3" w:rsidRDefault="00D53CC3" w:rsidP="00D53CC3">
            <w:pPr>
              <w:jc w:val="center"/>
              <w:rPr>
                <w:rFonts w:cs="Calibri"/>
                <w:color w:val="000000"/>
                <w:sz w:val="18"/>
                <w:szCs w:val="18"/>
              </w:rPr>
            </w:pPr>
            <w:r w:rsidRPr="00E851F4">
              <w:rPr>
                <w:bCs/>
                <w:sz w:val="18"/>
                <w:szCs w:val="18"/>
              </w:rPr>
              <w:t>7</w:t>
            </w:r>
          </w:p>
        </w:tc>
        <w:tc>
          <w:tcPr>
            <w:tcW w:w="879" w:type="dxa"/>
            <w:tcBorders>
              <w:top w:val="nil"/>
              <w:left w:val="nil"/>
              <w:bottom w:val="nil"/>
              <w:right w:val="nil"/>
            </w:tcBorders>
            <w:noWrap/>
          </w:tcPr>
          <w:p w14:paraId="75E8FEB1" w14:textId="02666F42" w:rsidR="00D53CC3" w:rsidRDefault="00D53CC3" w:rsidP="00D53CC3">
            <w:pPr>
              <w:jc w:val="center"/>
              <w:rPr>
                <w:rFonts w:cs="Calibri"/>
                <w:color w:val="000000"/>
                <w:sz w:val="18"/>
                <w:szCs w:val="18"/>
              </w:rPr>
            </w:pPr>
            <w:r w:rsidRPr="00E851F4">
              <w:rPr>
                <w:bCs/>
                <w:sz w:val="18"/>
                <w:szCs w:val="18"/>
              </w:rPr>
              <w:t>6</w:t>
            </w:r>
          </w:p>
        </w:tc>
      </w:tr>
      <w:tr w:rsidR="00D53CC3" w:rsidRPr="00847FAE" w14:paraId="1D975A86" w14:textId="77777777" w:rsidTr="001F1F60">
        <w:trPr>
          <w:cantSplit/>
          <w:trHeight w:val="255"/>
        </w:trPr>
        <w:tc>
          <w:tcPr>
            <w:tcW w:w="3402" w:type="dxa"/>
            <w:gridSpan w:val="4"/>
            <w:tcBorders>
              <w:top w:val="nil"/>
              <w:left w:val="nil"/>
              <w:bottom w:val="nil"/>
              <w:right w:val="nil"/>
            </w:tcBorders>
            <w:noWrap/>
          </w:tcPr>
          <w:p w14:paraId="73303308" w14:textId="342E7247" w:rsidR="00D53CC3" w:rsidRPr="00847FAE" w:rsidRDefault="00D53CC3" w:rsidP="00D53CC3">
            <w:pPr>
              <w:widowControl w:val="0"/>
              <w:tabs>
                <w:tab w:val="left" w:pos="180"/>
              </w:tabs>
              <w:rPr>
                <w:rFonts w:cs="Calibri"/>
                <w:iCs/>
                <w:color w:val="000000"/>
                <w:sz w:val="18"/>
                <w:szCs w:val="18"/>
              </w:rPr>
            </w:pPr>
            <w:r w:rsidRPr="00E851F4">
              <w:rPr>
                <w:bCs/>
                <w:sz w:val="18"/>
                <w:szCs w:val="18"/>
              </w:rPr>
              <w:t>Drug Overdose</w:t>
            </w:r>
          </w:p>
        </w:tc>
        <w:tc>
          <w:tcPr>
            <w:tcW w:w="879" w:type="dxa"/>
            <w:tcBorders>
              <w:top w:val="nil"/>
              <w:left w:val="nil"/>
              <w:bottom w:val="nil"/>
              <w:right w:val="nil"/>
            </w:tcBorders>
            <w:noWrap/>
            <w:vAlign w:val="center"/>
          </w:tcPr>
          <w:p w14:paraId="1B22A19C" w14:textId="64BF8F0A" w:rsidR="00D53CC3" w:rsidRDefault="00D53CC3" w:rsidP="00D53CC3">
            <w:pPr>
              <w:jc w:val="center"/>
              <w:rPr>
                <w:rFonts w:cs="Calibri"/>
                <w:color w:val="000000"/>
                <w:sz w:val="18"/>
                <w:szCs w:val="18"/>
              </w:rPr>
            </w:pPr>
            <w:r>
              <w:rPr>
                <w:rFonts w:cs="Calibri"/>
                <w:color w:val="000000"/>
                <w:sz w:val="18"/>
                <w:szCs w:val="18"/>
              </w:rPr>
              <w:t>12</w:t>
            </w:r>
          </w:p>
        </w:tc>
        <w:tc>
          <w:tcPr>
            <w:tcW w:w="879" w:type="dxa"/>
            <w:tcBorders>
              <w:top w:val="nil"/>
              <w:left w:val="nil"/>
              <w:bottom w:val="nil"/>
              <w:right w:val="nil"/>
            </w:tcBorders>
            <w:noWrap/>
          </w:tcPr>
          <w:p w14:paraId="1A9EA023" w14:textId="2EC6EB0E" w:rsidR="00D53CC3" w:rsidRDefault="00D53CC3" w:rsidP="00D53CC3">
            <w:pPr>
              <w:jc w:val="center"/>
              <w:rPr>
                <w:rFonts w:cs="Calibri"/>
                <w:color w:val="000000"/>
                <w:sz w:val="18"/>
                <w:szCs w:val="18"/>
              </w:rPr>
            </w:pPr>
            <w:r w:rsidRPr="00E851F4">
              <w:rPr>
                <w:bCs/>
                <w:sz w:val="18"/>
                <w:szCs w:val="18"/>
              </w:rPr>
              <w:t>11</w:t>
            </w:r>
          </w:p>
        </w:tc>
        <w:tc>
          <w:tcPr>
            <w:tcW w:w="879" w:type="dxa"/>
            <w:tcBorders>
              <w:top w:val="nil"/>
              <w:left w:val="nil"/>
              <w:bottom w:val="nil"/>
              <w:right w:val="nil"/>
            </w:tcBorders>
            <w:noWrap/>
          </w:tcPr>
          <w:p w14:paraId="5272169C" w14:textId="20344047" w:rsidR="00D53CC3" w:rsidRDefault="00D53CC3" w:rsidP="00D53CC3">
            <w:pPr>
              <w:jc w:val="center"/>
              <w:rPr>
                <w:rFonts w:cs="Calibri"/>
                <w:color w:val="000000"/>
                <w:sz w:val="18"/>
                <w:szCs w:val="18"/>
              </w:rPr>
            </w:pPr>
            <w:r w:rsidRPr="00E851F4">
              <w:rPr>
                <w:bCs/>
                <w:sz w:val="18"/>
                <w:szCs w:val="18"/>
              </w:rPr>
              <w:t>6</w:t>
            </w:r>
          </w:p>
        </w:tc>
        <w:tc>
          <w:tcPr>
            <w:tcW w:w="879" w:type="dxa"/>
            <w:tcBorders>
              <w:top w:val="nil"/>
              <w:left w:val="nil"/>
              <w:bottom w:val="nil"/>
              <w:right w:val="nil"/>
            </w:tcBorders>
            <w:noWrap/>
          </w:tcPr>
          <w:p w14:paraId="7DDA4BD7" w14:textId="0F92BA3A" w:rsidR="00D53CC3" w:rsidRDefault="00D53CC3" w:rsidP="00D53CC3">
            <w:pPr>
              <w:jc w:val="center"/>
              <w:rPr>
                <w:rFonts w:cs="Calibri"/>
                <w:color w:val="000000"/>
                <w:sz w:val="18"/>
                <w:szCs w:val="18"/>
              </w:rPr>
            </w:pPr>
            <w:r w:rsidRPr="00E851F4">
              <w:rPr>
                <w:bCs/>
                <w:sz w:val="18"/>
                <w:szCs w:val="18"/>
              </w:rPr>
              <w:t>13</w:t>
            </w:r>
          </w:p>
        </w:tc>
        <w:tc>
          <w:tcPr>
            <w:tcW w:w="879" w:type="dxa"/>
            <w:tcBorders>
              <w:top w:val="nil"/>
              <w:left w:val="nil"/>
              <w:bottom w:val="nil"/>
              <w:right w:val="nil"/>
            </w:tcBorders>
            <w:noWrap/>
          </w:tcPr>
          <w:p w14:paraId="3A9C69E5" w14:textId="0AFEF769" w:rsidR="00D53CC3" w:rsidRDefault="00D53CC3" w:rsidP="00D53CC3">
            <w:pPr>
              <w:jc w:val="center"/>
              <w:rPr>
                <w:rFonts w:cs="Calibri"/>
                <w:color w:val="000000"/>
                <w:sz w:val="18"/>
                <w:szCs w:val="18"/>
              </w:rPr>
            </w:pPr>
            <w:r w:rsidRPr="00E851F4">
              <w:rPr>
                <w:bCs/>
                <w:sz w:val="18"/>
                <w:szCs w:val="18"/>
              </w:rPr>
              <w:t>19</w:t>
            </w:r>
          </w:p>
        </w:tc>
      </w:tr>
      <w:tr w:rsidR="00D53CC3" w:rsidRPr="00847FAE" w14:paraId="26D75FAB" w14:textId="77777777" w:rsidTr="001F1F60">
        <w:trPr>
          <w:cantSplit/>
          <w:trHeight w:val="255"/>
        </w:trPr>
        <w:tc>
          <w:tcPr>
            <w:tcW w:w="3402" w:type="dxa"/>
            <w:gridSpan w:val="4"/>
            <w:tcBorders>
              <w:top w:val="nil"/>
              <w:left w:val="nil"/>
              <w:bottom w:val="nil"/>
              <w:right w:val="nil"/>
            </w:tcBorders>
            <w:noWrap/>
          </w:tcPr>
          <w:p w14:paraId="1CC58FB0" w14:textId="74E2DE7D" w:rsidR="00D53CC3" w:rsidRPr="00847FAE" w:rsidRDefault="00D53CC3" w:rsidP="00D53CC3">
            <w:pPr>
              <w:widowControl w:val="0"/>
              <w:tabs>
                <w:tab w:val="left" w:pos="180"/>
              </w:tabs>
              <w:rPr>
                <w:rFonts w:cs="Calibri"/>
                <w:iCs/>
                <w:color w:val="000000"/>
                <w:sz w:val="18"/>
                <w:szCs w:val="18"/>
              </w:rPr>
            </w:pPr>
            <w:r w:rsidRPr="00E851F4">
              <w:rPr>
                <w:bCs/>
                <w:sz w:val="18"/>
                <w:szCs w:val="18"/>
              </w:rPr>
              <w:t>Burns</w:t>
            </w:r>
          </w:p>
        </w:tc>
        <w:tc>
          <w:tcPr>
            <w:tcW w:w="879" w:type="dxa"/>
            <w:tcBorders>
              <w:top w:val="nil"/>
              <w:left w:val="nil"/>
              <w:bottom w:val="nil"/>
              <w:right w:val="nil"/>
            </w:tcBorders>
            <w:noWrap/>
            <w:vAlign w:val="center"/>
          </w:tcPr>
          <w:p w14:paraId="62261133" w14:textId="13DF0F40" w:rsidR="00D53CC3" w:rsidRDefault="00D53CC3" w:rsidP="00D53CC3">
            <w:pPr>
              <w:jc w:val="center"/>
              <w:rPr>
                <w:rFonts w:cs="Calibri"/>
                <w:color w:val="000000"/>
                <w:sz w:val="18"/>
                <w:szCs w:val="18"/>
              </w:rPr>
            </w:pPr>
            <w:r>
              <w:rPr>
                <w:rFonts w:cs="Calibri"/>
                <w:color w:val="000000"/>
                <w:sz w:val="18"/>
                <w:szCs w:val="18"/>
              </w:rPr>
              <w:t>1</w:t>
            </w:r>
          </w:p>
        </w:tc>
        <w:tc>
          <w:tcPr>
            <w:tcW w:w="879" w:type="dxa"/>
            <w:tcBorders>
              <w:top w:val="nil"/>
              <w:left w:val="nil"/>
              <w:bottom w:val="nil"/>
              <w:right w:val="nil"/>
            </w:tcBorders>
            <w:noWrap/>
          </w:tcPr>
          <w:p w14:paraId="696ECF8E" w14:textId="7266390B" w:rsidR="00D53CC3" w:rsidRDefault="00D53CC3" w:rsidP="00D53CC3">
            <w:pPr>
              <w:jc w:val="center"/>
              <w:rPr>
                <w:rFonts w:cs="Calibri"/>
                <w:color w:val="000000"/>
                <w:sz w:val="18"/>
                <w:szCs w:val="18"/>
              </w:rPr>
            </w:pPr>
            <w:r w:rsidRPr="00E851F4">
              <w:rPr>
                <w:bCs/>
                <w:sz w:val="18"/>
                <w:szCs w:val="18"/>
              </w:rPr>
              <w:t>0</w:t>
            </w:r>
          </w:p>
        </w:tc>
        <w:tc>
          <w:tcPr>
            <w:tcW w:w="879" w:type="dxa"/>
            <w:tcBorders>
              <w:top w:val="nil"/>
              <w:left w:val="nil"/>
              <w:bottom w:val="nil"/>
              <w:right w:val="nil"/>
            </w:tcBorders>
            <w:noWrap/>
          </w:tcPr>
          <w:p w14:paraId="5B1D685B" w14:textId="56A73E8A" w:rsidR="00D53CC3" w:rsidRDefault="00D53CC3" w:rsidP="00D53CC3">
            <w:pPr>
              <w:jc w:val="center"/>
              <w:rPr>
                <w:rFonts w:cs="Calibri"/>
                <w:color w:val="000000"/>
                <w:sz w:val="18"/>
                <w:szCs w:val="18"/>
              </w:rPr>
            </w:pPr>
            <w:r w:rsidRPr="00E851F4">
              <w:rPr>
                <w:bCs/>
                <w:sz w:val="18"/>
                <w:szCs w:val="18"/>
              </w:rPr>
              <w:t>2</w:t>
            </w:r>
          </w:p>
        </w:tc>
        <w:tc>
          <w:tcPr>
            <w:tcW w:w="879" w:type="dxa"/>
            <w:tcBorders>
              <w:top w:val="nil"/>
              <w:left w:val="nil"/>
              <w:bottom w:val="nil"/>
              <w:right w:val="nil"/>
            </w:tcBorders>
            <w:noWrap/>
          </w:tcPr>
          <w:p w14:paraId="123948DF" w14:textId="691706C7" w:rsidR="00D53CC3" w:rsidRDefault="00D53CC3" w:rsidP="00D53CC3">
            <w:pPr>
              <w:jc w:val="center"/>
              <w:rPr>
                <w:rFonts w:cs="Calibri"/>
                <w:color w:val="000000"/>
                <w:sz w:val="18"/>
                <w:szCs w:val="18"/>
              </w:rPr>
            </w:pPr>
            <w:r w:rsidRPr="00E851F4">
              <w:rPr>
                <w:bCs/>
                <w:sz w:val="18"/>
                <w:szCs w:val="18"/>
              </w:rPr>
              <w:t>2</w:t>
            </w:r>
          </w:p>
        </w:tc>
        <w:tc>
          <w:tcPr>
            <w:tcW w:w="879" w:type="dxa"/>
            <w:tcBorders>
              <w:top w:val="nil"/>
              <w:left w:val="nil"/>
              <w:bottom w:val="nil"/>
              <w:right w:val="nil"/>
            </w:tcBorders>
            <w:noWrap/>
          </w:tcPr>
          <w:p w14:paraId="3AAD565F" w14:textId="336BE78C" w:rsidR="00D53CC3" w:rsidRDefault="00D53CC3" w:rsidP="00D53CC3">
            <w:pPr>
              <w:jc w:val="center"/>
              <w:rPr>
                <w:rFonts w:cs="Calibri"/>
                <w:color w:val="000000"/>
                <w:sz w:val="18"/>
                <w:szCs w:val="18"/>
              </w:rPr>
            </w:pPr>
            <w:r w:rsidRPr="00E851F4">
              <w:rPr>
                <w:bCs/>
                <w:sz w:val="18"/>
                <w:szCs w:val="18"/>
              </w:rPr>
              <w:t>0</w:t>
            </w:r>
          </w:p>
        </w:tc>
      </w:tr>
      <w:tr w:rsidR="00D53CC3" w:rsidRPr="00847FAE" w14:paraId="52BBA807" w14:textId="77777777" w:rsidTr="001F1F60">
        <w:trPr>
          <w:cantSplit/>
          <w:trHeight w:val="255"/>
        </w:trPr>
        <w:tc>
          <w:tcPr>
            <w:tcW w:w="3402" w:type="dxa"/>
            <w:gridSpan w:val="4"/>
            <w:tcBorders>
              <w:top w:val="nil"/>
              <w:left w:val="nil"/>
              <w:bottom w:val="nil"/>
              <w:right w:val="nil"/>
            </w:tcBorders>
            <w:noWrap/>
          </w:tcPr>
          <w:p w14:paraId="6C9967DA" w14:textId="3E7E534D" w:rsidR="00D53CC3" w:rsidRDefault="00D53CC3" w:rsidP="00D53CC3">
            <w:pPr>
              <w:widowControl w:val="0"/>
              <w:tabs>
                <w:tab w:val="left" w:pos="180"/>
              </w:tabs>
              <w:rPr>
                <w:rFonts w:cs="Calibri"/>
                <w:iCs/>
                <w:color w:val="000000"/>
                <w:sz w:val="18"/>
                <w:szCs w:val="18"/>
              </w:rPr>
            </w:pPr>
            <w:r w:rsidRPr="00E851F4">
              <w:rPr>
                <w:bCs/>
                <w:sz w:val="18"/>
                <w:szCs w:val="18"/>
              </w:rPr>
              <w:t>Gunshot</w:t>
            </w:r>
          </w:p>
        </w:tc>
        <w:tc>
          <w:tcPr>
            <w:tcW w:w="879" w:type="dxa"/>
            <w:tcBorders>
              <w:top w:val="nil"/>
              <w:left w:val="nil"/>
              <w:bottom w:val="nil"/>
              <w:right w:val="nil"/>
            </w:tcBorders>
            <w:noWrap/>
            <w:vAlign w:val="center"/>
          </w:tcPr>
          <w:p w14:paraId="54321A85" w14:textId="296312E4" w:rsidR="00D53CC3" w:rsidRDefault="00D53CC3" w:rsidP="00D53CC3">
            <w:pPr>
              <w:jc w:val="center"/>
              <w:rPr>
                <w:rFonts w:cs="Calibri"/>
                <w:color w:val="000000"/>
                <w:sz w:val="18"/>
                <w:szCs w:val="18"/>
              </w:rPr>
            </w:pPr>
            <w:r>
              <w:rPr>
                <w:rFonts w:cs="Calibri"/>
                <w:color w:val="000000"/>
                <w:sz w:val="18"/>
                <w:szCs w:val="18"/>
              </w:rPr>
              <w:t>8</w:t>
            </w:r>
          </w:p>
        </w:tc>
        <w:tc>
          <w:tcPr>
            <w:tcW w:w="879" w:type="dxa"/>
            <w:tcBorders>
              <w:top w:val="nil"/>
              <w:left w:val="nil"/>
              <w:bottom w:val="nil"/>
              <w:right w:val="nil"/>
            </w:tcBorders>
            <w:noWrap/>
          </w:tcPr>
          <w:p w14:paraId="213031C4" w14:textId="4D9EA4E0" w:rsidR="00D53CC3" w:rsidRDefault="00D53CC3" w:rsidP="00D53CC3">
            <w:pPr>
              <w:jc w:val="center"/>
              <w:rPr>
                <w:rFonts w:cs="Calibri"/>
                <w:color w:val="000000"/>
                <w:sz w:val="18"/>
                <w:szCs w:val="18"/>
              </w:rPr>
            </w:pPr>
            <w:r w:rsidRPr="00E851F4">
              <w:rPr>
                <w:bCs/>
                <w:sz w:val="18"/>
                <w:szCs w:val="18"/>
              </w:rPr>
              <w:t>8</w:t>
            </w:r>
          </w:p>
        </w:tc>
        <w:tc>
          <w:tcPr>
            <w:tcW w:w="879" w:type="dxa"/>
            <w:tcBorders>
              <w:top w:val="nil"/>
              <w:left w:val="nil"/>
              <w:bottom w:val="nil"/>
              <w:right w:val="nil"/>
            </w:tcBorders>
            <w:noWrap/>
          </w:tcPr>
          <w:p w14:paraId="50F1F0B0" w14:textId="5A27F5FF" w:rsidR="00D53CC3" w:rsidRDefault="00D53CC3" w:rsidP="00D53CC3">
            <w:pPr>
              <w:jc w:val="center"/>
              <w:rPr>
                <w:rFonts w:cs="Calibri"/>
                <w:color w:val="000000"/>
                <w:sz w:val="18"/>
                <w:szCs w:val="18"/>
              </w:rPr>
            </w:pPr>
            <w:r w:rsidRPr="00E851F4">
              <w:rPr>
                <w:bCs/>
                <w:sz w:val="18"/>
                <w:szCs w:val="18"/>
              </w:rPr>
              <w:t>8</w:t>
            </w:r>
          </w:p>
        </w:tc>
        <w:tc>
          <w:tcPr>
            <w:tcW w:w="879" w:type="dxa"/>
            <w:tcBorders>
              <w:top w:val="nil"/>
              <w:left w:val="nil"/>
              <w:bottom w:val="nil"/>
              <w:right w:val="nil"/>
            </w:tcBorders>
            <w:noWrap/>
          </w:tcPr>
          <w:p w14:paraId="6CAB6A86" w14:textId="4A15228F" w:rsidR="00D53CC3" w:rsidRDefault="00D53CC3" w:rsidP="00D53CC3">
            <w:pPr>
              <w:jc w:val="center"/>
              <w:rPr>
                <w:rFonts w:cs="Calibri"/>
                <w:color w:val="000000"/>
                <w:sz w:val="18"/>
                <w:szCs w:val="18"/>
              </w:rPr>
            </w:pPr>
            <w:r w:rsidRPr="00E851F4">
              <w:rPr>
                <w:bCs/>
                <w:sz w:val="18"/>
                <w:szCs w:val="18"/>
              </w:rPr>
              <w:t>11</w:t>
            </w:r>
          </w:p>
        </w:tc>
        <w:tc>
          <w:tcPr>
            <w:tcW w:w="879" w:type="dxa"/>
            <w:tcBorders>
              <w:top w:val="nil"/>
              <w:left w:val="nil"/>
              <w:bottom w:val="nil"/>
              <w:right w:val="nil"/>
            </w:tcBorders>
            <w:noWrap/>
          </w:tcPr>
          <w:p w14:paraId="072287AD" w14:textId="27DBA982" w:rsidR="00D53CC3" w:rsidRDefault="00D53CC3" w:rsidP="00D53CC3">
            <w:pPr>
              <w:jc w:val="center"/>
              <w:rPr>
                <w:rFonts w:cs="Calibri"/>
                <w:color w:val="000000"/>
                <w:sz w:val="18"/>
                <w:szCs w:val="18"/>
              </w:rPr>
            </w:pPr>
            <w:r w:rsidRPr="00E851F4">
              <w:rPr>
                <w:bCs/>
                <w:sz w:val="18"/>
                <w:szCs w:val="18"/>
              </w:rPr>
              <w:t>8</w:t>
            </w:r>
          </w:p>
        </w:tc>
      </w:tr>
      <w:tr w:rsidR="00D53CC3" w:rsidRPr="00847FAE" w14:paraId="1B021F9A" w14:textId="77777777" w:rsidTr="001F1F60">
        <w:trPr>
          <w:cantSplit/>
          <w:trHeight w:val="255"/>
        </w:trPr>
        <w:tc>
          <w:tcPr>
            <w:tcW w:w="3402" w:type="dxa"/>
            <w:gridSpan w:val="4"/>
            <w:tcBorders>
              <w:top w:val="nil"/>
              <w:left w:val="nil"/>
              <w:bottom w:val="nil"/>
              <w:right w:val="nil"/>
            </w:tcBorders>
            <w:noWrap/>
          </w:tcPr>
          <w:p w14:paraId="0429E685" w14:textId="0F4E8E69" w:rsidR="00D53CC3" w:rsidRDefault="00D53CC3" w:rsidP="00D53CC3">
            <w:pPr>
              <w:widowControl w:val="0"/>
              <w:tabs>
                <w:tab w:val="left" w:pos="180"/>
              </w:tabs>
              <w:rPr>
                <w:rFonts w:cs="Calibri"/>
                <w:iCs/>
                <w:color w:val="000000"/>
                <w:sz w:val="18"/>
                <w:szCs w:val="18"/>
              </w:rPr>
            </w:pPr>
            <w:r w:rsidRPr="00E851F4">
              <w:rPr>
                <w:bCs/>
                <w:sz w:val="18"/>
                <w:szCs w:val="18"/>
              </w:rPr>
              <w:t>Drowning</w:t>
            </w:r>
          </w:p>
        </w:tc>
        <w:tc>
          <w:tcPr>
            <w:tcW w:w="879" w:type="dxa"/>
            <w:tcBorders>
              <w:top w:val="nil"/>
              <w:left w:val="nil"/>
              <w:bottom w:val="nil"/>
              <w:right w:val="nil"/>
            </w:tcBorders>
            <w:noWrap/>
            <w:vAlign w:val="center"/>
          </w:tcPr>
          <w:p w14:paraId="567D24DA" w14:textId="561E0785" w:rsidR="00D53CC3" w:rsidRDefault="00D53CC3" w:rsidP="00D53CC3">
            <w:pPr>
              <w:jc w:val="center"/>
              <w:rPr>
                <w:rFonts w:cs="Calibri"/>
                <w:color w:val="000000"/>
                <w:sz w:val="18"/>
                <w:szCs w:val="18"/>
              </w:rPr>
            </w:pPr>
            <w:r>
              <w:rPr>
                <w:rFonts w:cs="Calibri"/>
                <w:color w:val="000000"/>
                <w:sz w:val="18"/>
                <w:szCs w:val="18"/>
              </w:rPr>
              <w:t>4</w:t>
            </w:r>
          </w:p>
        </w:tc>
        <w:tc>
          <w:tcPr>
            <w:tcW w:w="879" w:type="dxa"/>
            <w:tcBorders>
              <w:top w:val="nil"/>
              <w:left w:val="nil"/>
              <w:bottom w:val="nil"/>
              <w:right w:val="nil"/>
            </w:tcBorders>
            <w:noWrap/>
          </w:tcPr>
          <w:p w14:paraId="19FBA34D" w14:textId="3102A6BC" w:rsidR="00D53CC3" w:rsidRDefault="00D53CC3" w:rsidP="00D53CC3">
            <w:pPr>
              <w:jc w:val="center"/>
              <w:rPr>
                <w:rFonts w:cs="Calibri"/>
                <w:color w:val="000000"/>
                <w:sz w:val="18"/>
                <w:szCs w:val="18"/>
              </w:rPr>
            </w:pPr>
            <w:r w:rsidRPr="00E851F4">
              <w:rPr>
                <w:bCs/>
                <w:sz w:val="18"/>
                <w:szCs w:val="18"/>
              </w:rPr>
              <w:t>2</w:t>
            </w:r>
          </w:p>
        </w:tc>
        <w:tc>
          <w:tcPr>
            <w:tcW w:w="879" w:type="dxa"/>
            <w:tcBorders>
              <w:top w:val="nil"/>
              <w:left w:val="nil"/>
              <w:bottom w:val="nil"/>
              <w:right w:val="nil"/>
            </w:tcBorders>
            <w:noWrap/>
          </w:tcPr>
          <w:p w14:paraId="65B48E39" w14:textId="4DC35137" w:rsidR="00D53CC3" w:rsidRDefault="00D53CC3" w:rsidP="00D53CC3">
            <w:pPr>
              <w:jc w:val="center"/>
              <w:rPr>
                <w:rFonts w:cs="Calibri"/>
                <w:color w:val="000000"/>
                <w:sz w:val="18"/>
                <w:szCs w:val="18"/>
              </w:rPr>
            </w:pPr>
            <w:r w:rsidRPr="00E851F4">
              <w:rPr>
                <w:bCs/>
                <w:sz w:val="18"/>
                <w:szCs w:val="18"/>
              </w:rPr>
              <w:t>2</w:t>
            </w:r>
          </w:p>
        </w:tc>
        <w:tc>
          <w:tcPr>
            <w:tcW w:w="879" w:type="dxa"/>
            <w:tcBorders>
              <w:top w:val="nil"/>
              <w:left w:val="nil"/>
              <w:bottom w:val="nil"/>
              <w:right w:val="nil"/>
            </w:tcBorders>
            <w:noWrap/>
          </w:tcPr>
          <w:p w14:paraId="5AC104F6" w14:textId="590F796E" w:rsidR="00D53CC3" w:rsidRDefault="00D53CC3" w:rsidP="00D53CC3">
            <w:pPr>
              <w:jc w:val="center"/>
              <w:rPr>
                <w:rFonts w:cs="Calibri"/>
                <w:color w:val="000000"/>
                <w:sz w:val="18"/>
                <w:szCs w:val="18"/>
              </w:rPr>
            </w:pPr>
            <w:r w:rsidRPr="00E851F4">
              <w:rPr>
                <w:bCs/>
                <w:sz w:val="18"/>
                <w:szCs w:val="18"/>
              </w:rPr>
              <w:t>7</w:t>
            </w:r>
          </w:p>
        </w:tc>
        <w:tc>
          <w:tcPr>
            <w:tcW w:w="879" w:type="dxa"/>
            <w:tcBorders>
              <w:top w:val="nil"/>
              <w:left w:val="nil"/>
              <w:bottom w:val="nil"/>
              <w:right w:val="nil"/>
            </w:tcBorders>
            <w:noWrap/>
          </w:tcPr>
          <w:p w14:paraId="39E82C8E" w14:textId="41B2519E" w:rsidR="00D53CC3" w:rsidRDefault="00D53CC3" w:rsidP="00D53CC3">
            <w:pPr>
              <w:jc w:val="center"/>
              <w:rPr>
                <w:rFonts w:cs="Calibri"/>
                <w:color w:val="000000"/>
                <w:sz w:val="18"/>
                <w:szCs w:val="18"/>
              </w:rPr>
            </w:pPr>
            <w:r w:rsidRPr="00E851F4">
              <w:rPr>
                <w:bCs/>
                <w:sz w:val="18"/>
                <w:szCs w:val="18"/>
              </w:rPr>
              <w:t>7</w:t>
            </w:r>
          </w:p>
        </w:tc>
      </w:tr>
      <w:tr w:rsidR="00D53CC3" w:rsidRPr="00847FAE" w14:paraId="6477D11E" w14:textId="77777777" w:rsidTr="001F1F60">
        <w:trPr>
          <w:cantSplit/>
          <w:trHeight w:val="255"/>
        </w:trPr>
        <w:tc>
          <w:tcPr>
            <w:tcW w:w="3402" w:type="dxa"/>
            <w:gridSpan w:val="4"/>
            <w:tcBorders>
              <w:top w:val="nil"/>
              <w:left w:val="nil"/>
              <w:bottom w:val="nil"/>
              <w:right w:val="nil"/>
            </w:tcBorders>
            <w:noWrap/>
          </w:tcPr>
          <w:p w14:paraId="3B830C85" w14:textId="53BA1907" w:rsidR="00D53CC3" w:rsidRDefault="00D53CC3" w:rsidP="00D53CC3">
            <w:pPr>
              <w:widowControl w:val="0"/>
              <w:tabs>
                <w:tab w:val="left" w:pos="180"/>
              </w:tabs>
              <w:rPr>
                <w:rFonts w:cs="Calibri"/>
                <w:iCs/>
                <w:color w:val="000000"/>
                <w:sz w:val="18"/>
                <w:szCs w:val="18"/>
              </w:rPr>
            </w:pPr>
            <w:r w:rsidRPr="00E851F4">
              <w:rPr>
                <w:bCs/>
                <w:sz w:val="18"/>
                <w:szCs w:val="18"/>
              </w:rPr>
              <w:t>Jumping</w:t>
            </w:r>
          </w:p>
        </w:tc>
        <w:tc>
          <w:tcPr>
            <w:tcW w:w="879" w:type="dxa"/>
            <w:tcBorders>
              <w:top w:val="nil"/>
              <w:left w:val="nil"/>
              <w:bottom w:val="nil"/>
              <w:right w:val="nil"/>
            </w:tcBorders>
            <w:noWrap/>
            <w:vAlign w:val="center"/>
          </w:tcPr>
          <w:p w14:paraId="2D841F49" w14:textId="3A822687" w:rsidR="00D53CC3" w:rsidRDefault="00D53CC3" w:rsidP="00D53CC3">
            <w:pPr>
              <w:jc w:val="center"/>
              <w:rPr>
                <w:rFonts w:cs="Calibri"/>
                <w:color w:val="000000"/>
                <w:sz w:val="18"/>
                <w:szCs w:val="18"/>
              </w:rPr>
            </w:pPr>
            <w:r>
              <w:rPr>
                <w:rFonts w:cs="Calibri"/>
                <w:color w:val="000000"/>
                <w:sz w:val="18"/>
                <w:szCs w:val="18"/>
              </w:rPr>
              <w:t>2</w:t>
            </w:r>
          </w:p>
        </w:tc>
        <w:tc>
          <w:tcPr>
            <w:tcW w:w="879" w:type="dxa"/>
            <w:tcBorders>
              <w:top w:val="nil"/>
              <w:left w:val="nil"/>
              <w:bottom w:val="nil"/>
              <w:right w:val="nil"/>
            </w:tcBorders>
            <w:noWrap/>
          </w:tcPr>
          <w:p w14:paraId="40B10C9C" w14:textId="70F20060" w:rsidR="00D53CC3" w:rsidRDefault="00D53CC3" w:rsidP="00D53CC3">
            <w:pPr>
              <w:jc w:val="center"/>
              <w:rPr>
                <w:rFonts w:cs="Calibri"/>
                <w:color w:val="000000"/>
                <w:sz w:val="18"/>
                <w:szCs w:val="18"/>
              </w:rPr>
            </w:pPr>
            <w:r w:rsidRPr="00E851F4">
              <w:rPr>
                <w:bCs/>
                <w:sz w:val="18"/>
                <w:szCs w:val="18"/>
              </w:rPr>
              <w:t>4</w:t>
            </w:r>
          </w:p>
        </w:tc>
        <w:tc>
          <w:tcPr>
            <w:tcW w:w="879" w:type="dxa"/>
            <w:tcBorders>
              <w:top w:val="nil"/>
              <w:left w:val="nil"/>
              <w:bottom w:val="nil"/>
              <w:right w:val="nil"/>
            </w:tcBorders>
            <w:noWrap/>
          </w:tcPr>
          <w:p w14:paraId="633D9563" w14:textId="0F0544E2" w:rsidR="00D53CC3" w:rsidRDefault="00D53CC3" w:rsidP="00D53CC3">
            <w:pPr>
              <w:jc w:val="center"/>
              <w:rPr>
                <w:rFonts w:cs="Calibri"/>
                <w:color w:val="000000"/>
                <w:sz w:val="18"/>
                <w:szCs w:val="18"/>
              </w:rPr>
            </w:pPr>
            <w:r w:rsidRPr="00E851F4">
              <w:rPr>
                <w:bCs/>
                <w:sz w:val="18"/>
                <w:szCs w:val="18"/>
              </w:rPr>
              <w:t>4</w:t>
            </w:r>
          </w:p>
        </w:tc>
        <w:tc>
          <w:tcPr>
            <w:tcW w:w="879" w:type="dxa"/>
            <w:tcBorders>
              <w:top w:val="nil"/>
              <w:left w:val="nil"/>
              <w:bottom w:val="nil"/>
              <w:right w:val="nil"/>
            </w:tcBorders>
            <w:noWrap/>
          </w:tcPr>
          <w:p w14:paraId="4C98D333" w14:textId="58305C0E" w:rsidR="00D53CC3" w:rsidRDefault="00D53CC3" w:rsidP="00D53CC3">
            <w:pPr>
              <w:jc w:val="center"/>
              <w:rPr>
                <w:rFonts w:cs="Calibri"/>
                <w:color w:val="000000"/>
                <w:sz w:val="18"/>
                <w:szCs w:val="18"/>
              </w:rPr>
            </w:pPr>
            <w:r w:rsidRPr="00E851F4">
              <w:rPr>
                <w:bCs/>
                <w:sz w:val="18"/>
                <w:szCs w:val="18"/>
              </w:rPr>
              <w:t>2</w:t>
            </w:r>
          </w:p>
        </w:tc>
        <w:tc>
          <w:tcPr>
            <w:tcW w:w="879" w:type="dxa"/>
            <w:tcBorders>
              <w:top w:val="nil"/>
              <w:left w:val="nil"/>
              <w:bottom w:val="nil"/>
              <w:right w:val="nil"/>
            </w:tcBorders>
            <w:noWrap/>
          </w:tcPr>
          <w:p w14:paraId="1DEB3C5F" w14:textId="524869A4" w:rsidR="00D53CC3" w:rsidRDefault="00D53CC3" w:rsidP="00D53CC3">
            <w:pPr>
              <w:jc w:val="center"/>
              <w:rPr>
                <w:rFonts w:cs="Calibri"/>
                <w:color w:val="000000"/>
                <w:sz w:val="18"/>
                <w:szCs w:val="18"/>
              </w:rPr>
            </w:pPr>
            <w:r w:rsidRPr="00E851F4">
              <w:rPr>
                <w:bCs/>
                <w:sz w:val="18"/>
                <w:szCs w:val="18"/>
              </w:rPr>
              <w:t>3</w:t>
            </w:r>
          </w:p>
        </w:tc>
      </w:tr>
      <w:tr w:rsidR="00D53CC3" w:rsidRPr="00847FAE" w14:paraId="3D8A287A" w14:textId="77777777" w:rsidTr="001F1F60">
        <w:trPr>
          <w:cantSplit/>
          <w:trHeight w:val="255"/>
        </w:trPr>
        <w:tc>
          <w:tcPr>
            <w:tcW w:w="3402" w:type="dxa"/>
            <w:gridSpan w:val="4"/>
            <w:tcBorders>
              <w:top w:val="nil"/>
              <w:left w:val="nil"/>
              <w:bottom w:val="nil"/>
              <w:right w:val="nil"/>
            </w:tcBorders>
            <w:noWrap/>
          </w:tcPr>
          <w:p w14:paraId="639E461C" w14:textId="255EF4F1" w:rsidR="00D53CC3" w:rsidRDefault="00D53CC3" w:rsidP="00D53CC3">
            <w:pPr>
              <w:widowControl w:val="0"/>
              <w:tabs>
                <w:tab w:val="left" w:pos="180"/>
              </w:tabs>
              <w:rPr>
                <w:rFonts w:cs="Calibri"/>
                <w:iCs/>
                <w:color w:val="000000"/>
                <w:sz w:val="18"/>
                <w:szCs w:val="18"/>
              </w:rPr>
            </w:pPr>
            <w:r w:rsidRPr="00E851F4">
              <w:rPr>
                <w:bCs/>
                <w:sz w:val="18"/>
                <w:szCs w:val="18"/>
              </w:rPr>
              <w:t>Other</w:t>
            </w:r>
          </w:p>
        </w:tc>
        <w:tc>
          <w:tcPr>
            <w:tcW w:w="879" w:type="dxa"/>
            <w:tcBorders>
              <w:top w:val="nil"/>
              <w:left w:val="nil"/>
              <w:bottom w:val="nil"/>
              <w:right w:val="nil"/>
            </w:tcBorders>
            <w:noWrap/>
            <w:vAlign w:val="center"/>
          </w:tcPr>
          <w:p w14:paraId="49F494AF" w14:textId="7734C04B" w:rsidR="00D53CC3" w:rsidRDefault="00D53CC3" w:rsidP="00D53CC3">
            <w:pPr>
              <w:jc w:val="center"/>
              <w:rPr>
                <w:rFonts w:cs="Calibri"/>
                <w:color w:val="000000"/>
                <w:sz w:val="18"/>
                <w:szCs w:val="18"/>
              </w:rPr>
            </w:pPr>
            <w:r>
              <w:rPr>
                <w:rFonts w:cs="Calibri"/>
                <w:color w:val="000000"/>
                <w:sz w:val="18"/>
                <w:szCs w:val="18"/>
              </w:rPr>
              <w:t>6</w:t>
            </w:r>
          </w:p>
        </w:tc>
        <w:tc>
          <w:tcPr>
            <w:tcW w:w="879" w:type="dxa"/>
            <w:tcBorders>
              <w:top w:val="nil"/>
              <w:left w:val="nil"/>
              <w:bottom w:val="nil"/>
              <w:right w:val="nil"/>
            </w:tcBorders>
            <w:noWrap/>
          </w:tcPr>
          <w:p w14:paraId="46F8E8B9" w14:textId="3F098947" w:rsidR="00D53CC3" w:rsidRDefault="00D53CC3" w:rsidP="00D53CC3">
            <w:pPr>
              <w:jc w:val="center"/>
              <w:rPr>
                <w:rFonts w:cs="Calibri"/>
                <w:color w:val="000000"/>
                <w:sz w:val="18"/>
                <w:szCs w:val="18"/>
              </w:rPr>
            </w:pPr>
            <w:r w:rsidRPr="00E851F4">
              <w:rPr>
                <w:bCs/>
                <w:sz w:val="18"/>
                <w:szCs w:val="18"/>
              </w:rPr>
              <w:t>7</w:t>
            </w:r>
          </w:p>
        </w:tc>
        <w:tc>
          <w:tcPr>
            <w:tcW w:w="879" w:type="dxa"/>
            <w:tcBorders>
              <w:top w:val="nil"/>
              <w:left w:val="nil"/>
              <w:bottom w:val="nil"/>
              <w:right w:val="nil"/>
            </w:tcBorders>
            <w:noWrap/>
          </w:tcPr>
          <w:p w14:paraId="5604D14E" w14:textId="6BE43451" w:rsidR="00D53CC3" w:rsidRDefault="00D53CC3" w:rsidP="00D53CC3">
            <w:pPr>
              <w:jc w:val="center"/>
              <w:rPr>
                <w:rFonts w:cs="Calibri"/>
                <w:color w:val="000000"/>
                <w:sz w:val="18"/>
                <w:szCs w:val="18"/>
              </w:rPr>
            </w:pPr>
            <w:r w:rsidRPr="00E851F4">
              <w:rPr>
                <w:bCs/>
                <w:sz w:val="18"/>
                <w:szCs w:val="18"/>
              </w:rPr>
              <w:t>8</w:t>
            </w:r>
          </w:p>
        </w:tc>
        <w:tc>
          <w:tcPr>
            <w:tcW w:w="879" w:type="dxa"/>
            <w:tcBorders>
              <w:top w:val="nil"/>
              <w:left w:val="nil"/>
              <w:bottom w:val="nil"/>
              <w:right w:val="nil"/>
            </w:tcBorders>
            <w:noWrap/>
          </w:tcPr>
          <w:p w14:paraId="11DE7DD9" w14:textId="2CB80B3A" w:rsidR="00D53CC3" w:rsidRDefault="00D53CC3" w:rsidP="00D53CC3">
            <w:pPr>
              <w:jc w:val="center"/>
              <w:rPr>
                <w:rFonts w:cs="Calibri"/>
                <w:color w:val="000000"/>
                <w:sz w:val="18"/>
                <w:szCs w:val="18"/>
              </w:rPr>
            </w:pPr>
            <w:r w:rsidRPr="00E851F4">
              <w:rPr>
                <w:bCs/>
                <w:sz w:val="18"/>
                <w:szCs w:val="18"/>
              </w:rPr>
              <w:t>5</w:t>
            </w:r>
          </w:p>
        </w:tc>
        <w:tc>
          <w:tcPr>
            <w:tcW w:w="879" w:type="dxa"/>
            <w:tcBorders>
              <w:top w:val="nil"/>
              <w:left w:val="nil"/>
              <w:bottom w:val="nil"/>
              <w:right w:val="nil"/>
            </w:tcBorders>
            <w:noWrap/>
          </w:tcPr>
          <w:p w14:paraId="1F8E9F83" w14:textId="2B937707" w:rsidR="00D53CC3" w:rsidRDefault="00D53CC3" w:rsidP="00D53CC3">
            <w:pPr>
              <w:jc w:val="center"/>
              <w:rPr>
                <w:rFonts w:cs="Calibri"/>
                <w:color w:val="000000"/>
                <w:sz w:val="18"/>
                <w:szCs w:val="18"/>
              </w:rPr>
            </w:pPr>
            <w:r w:rsidRPr="00E851F4">
              <w:rPr>
                <w:bCs/>
                <w:sz w:val="18"/>
                <w:szCs w:val="18"/>
              </w:rPr>
              <w:t>0</w:t>
            </w:r>
          </w:p>
        </w:tc>
      </w:tr>
      <w:tr w:rsidR="00D53CC3" w:rsidRPr="00847FAE" w14:paraId="7B9A53F5" w14:textId="77777777" w:rsidTr="001F1F60">
        <w:trPr>
          <w:cantSplit/>
          <w:trHeight w:val="255"/>
        </w:trPr>
        <w:tc>
          <w:tcPr>
            <w:tcW w:w="3402" w:type="dxa"/>
            <w:gridSpan w:val="4"/>
            <w:tcBorders>
              <w:top w:val="nil"/>
              <w:left w:val="nil"/>
              <w:bottom w:val="single" w:sz="4" w:space="0" w:color="auto"/>
              <w:right w:val="nil"/>
            </w:tcBorders>
            <w:shd w:val="clear" w:color="auto" w:fill="D9D9D9" w:themeFill="background1" w:themeFillShade="D9"/>
            <w:noWrap/>
          </w:tcPr>
          <w:p w14:paraId="783F9986" w14:textId="77777777" w:rsidR="00D53CC3" w:rsidRPr="00847FAE" w:rsidRDefault="00D53CC3" w:rsidP="00D53CC3">
            <w:pPr>
              <w:widowControl w:val="0"/>
              <w:rPr>
                <w:rFonts w:cs="Calibri"/>
                <w:color w:val="000000"/>
                <w:sz w:val="18"/>
                <w:szCs w:val="18"/>
              </w:rPr>
            </w:pPr>
            <w:r>
              <w:rPr>
                <w:rFonts w:cs="Calibri"/>
                <w:iCs/>
                <w:color w:val="000000"/>
                <w:sz w:val="18"/>
                <w:szCs w:val="18"/>
              </w:rPr>
              <w:t>TOTAL</w:t>
            </w:r>
          </w:p>
        </w:tc>
        <w:tc>
          <w:tcPr>
            <w:tcW w:w="879" w:type="dxa"/>
            <w:tcBorders>
              <w:top w:val="nil"/>
              <w:left w:val="nil"/>
              <w:bottom w:val="single" w:sz="4" w:space="0" w:color="auto"/>
              <w:right w:val="nil"/>
            </w:tcBorders>
            <w:shd w:val="clear" w:color="auto" w:fill="D9D9D9" w:themeFill="background1" w:themeFillShade="D9"/>
            <w:noWrap/>
            <w:vAlign w:val="center"/>
          </w:tcPr>
          <w:p w14:paraId="3AF19547" w14:textId="67C763F2" w:rsidR="00D53CC3" w:rsidRPr="00847FAE" w:rsidRDefault="00D53CC3" w:rsidP="00D53CC3">
            <w:pPr>
              <w:jc w:val="center"/>
              <w:rPr>
                <w:rFonts w:cs="Calibri"/>
                <w:color w:val="000000"/>
                <w:sz w:val="18"/>
                <w:szCs w:val="18"/>
              </w:rPr>
            </w:pPr>
            <w:r>
              <w:rPr>
                <w:rFonts w:cs="Calibri"/>
                <w:color w:val="000000"/>
                <w:sz w:val="18"/>
                <w:szCs w:val="18"/>
              </w:rPr>
              <w:t>64</w:t>
            </w:r>
          </w:p>
        </w:tc>
        <w:tc>
          <w:tcPr>
            <w:tcW w:w="879" w:type="dxa"/>
            <w:tcBorders>
              <w:top w:val="nil"/>
              <w:left w:val="nil"/>
              <w:bottom w:val="single" w:sz="4" w:space="0" w:color="auto"/>
              <w:right w:val="nil"/>
            </w:tcBorders>
            <w:shd w:val="clear" w:color="auto" w:fill="D9D9D9" w:themeFill="background1" w:themeFillShade="D9"/>
            <w:noWrap/>
          </w:tcPr>
          <w:p w14:paraId="60F89856" w14:textId="5C2EE0E0" w:rsidR="00D53CC3" w:rsidRPr="00D53CC3" w:rsidRDefault="00D53CC3" w:rsidP="00D53CC3">
            <w:pPr>
              <w:jc w:val="center"/>
              <w:rPr>
                <w:rFonts w:cs="Calibri"/>
                <w:color w:val="000000"/>
                <w:sz w:val="18"/>
                <w:szCs w:val="18"/>
              </w:rPr>
            </w:pPr>
            <w:r w:rsidRPr="00D53CC3">
              <w:rPr>
                <w:sz w:val="18"/>
                <w:szCs w:val="18"/>
              </w:rPr>
              <w:t>71</w:t>
            </w:r>
          </w:p>
        </w:tc>
        <w:tc>
          <w:tcPr>
            <w:tcW w:w="879" w:type="dxa"/>
            <w:tcBorders>
              <w:top w:val="nil"/>
              <w:left w:val="nil"/>
              <w:bottom w:val="single" w:sz="4" w:space="0" w:color="auto"/>
              <w:right w:val="nil"/>
            </w:tcBorders>
            <w:shd w:val="clear" w:color="auto" w:fill="D9D9D9" w:themeFill="background1" w:themeFillShade="D9"/>
            <w:noWrap/>
          </w:tcPr>
          <w:p w14:paraId="3BF90963" w14:textId="0D75DDF3" w:rsidR="00D53CC3" w:rsidRPr="00D53CC3" w:rsidRDefault="00D53CC3" w:rsidP="00D53CC3">
            <w:pPr>
              <w:jc w:val="center"/>
              <w:rPr>
                <w:rFonts w:cs="Calibri"/>
                <w:color w:val="000000"/>
                <w:sz w:val="18"/>
                <w:szCs w:val="18"/>
              </w:rPr>
            </w:pPr>
            <w:r w:rsidRPr="00D53CC3">
              <w:rPr>
                <w:sz w:val="18"/>
                <w:szCs w:val="18"/>
              </w:rPr>
              <w:t>67</w:t>
            </w:r>
          </w:p>
        </w:tc>
        <w:tc>
          <w:tcPr>
            <w:tcW w:w="879" w:type="dxa"/>
            <w:tcBorders>
              <w:top w:val="nil"/>
              <w:left w:val="nil"/>
              <w:bottom w:val="single" w:sz="4" w:space="0" w:color="auto"/>
              <w:right w:val="nil"/>
            </w:tcBorders>
            <w:shd w:val="clear" w:color="auto" w:fill="D9D9D9" w:themeFill="background1" w:themeFillShade="D9"/>
            <w:noWrap/>
          </w:tcPr>
          <w:p w14:paraId="5BE9F541" w14:textId="7DD06E51" w:rsidR="00D53CC3" w:rsidRPr="00D53CC3" w:rsidRDefault="00D53CC3" w:rsidP="00D53CC3">
            <w:pPr>
              <w:jc w:val="center"/>
              <w:rPr>
                <w:rFonts w:cs="Calibri"/>
                <w:color w:val="000000"/>
                <w:sz w:val="18"/>
                <w:szCs w:val="18"/>
              </w:rPr>
            </w:pPr>
            <w:r w:rsidRPr="00D53CC3">
              <w:rPr>
                <w:sz w:val="18"/>
                <w:szCs w:val="18"/>
              </w:rPr>
              <w:t>72</w:t>
            </w:r>
          </w:p>
        </w:tc>
        <w:tc>
          <w:tcPr>
            <w:tcW w:w="879" w:type="dxa"/>
            <w:tcBorders>
              <w:top w:val="nil"/>
              <w:left w:val="nil"/>
              <w:bottom w:val="single" w:sz="4" w:space="0" w:color="auto"/>
              <w:right w:val="nil"/>
            </w:tcBorders>
            <w:shd w:val="clear" w:color="auto" w:fill="D9D9D9" w:themeFill="background1" w:themeFillShade="D9"/>
            <w:noWrap/>
          </w:tcPr>
          <w:p w14:paraId="397293BC" w14:textId="40251EB9" w:rsidR="00D53CC3" w:rsidRPr="00D53CC3" w:rsidRDefault="00D53CC3" w:rsidP="00D53CC3">
            <w:pPr>
              <w:jc w:val="center"/>
              <w:rPr>
                <w:rFonts w:cs="Calibri"/>
                <w:color w:val="000000"/>
                <w:sz w:val="18"/>
                <w:szCs w:val="18"/>
              </w:rPr>
            </w:pPr>
            <w:r w:rsidRPr="00D53CC3">
              <w:rPr>
                <w:sz w:val="18"/>
                <w:szCs w:val="18"/>
              </w:rPr>
              <w:t>87</w:t>
            </w:r>
          </w:p>
        </w:tc>
      </w:tr>
    </w:tbl>
    <w:p w14:paraId="5F8A1EC1" w14:textId="77777777" w:rsidR="00E851F4" w:rsidRPr="000D3B2B" w:rsidRDefault="00E851F4" w:rsidP="005F6773"/>
    <w:p w14:paraId="2C084821" w14:textId="75D3518A" w:rsidR="005F6773" w:rsidRPr="00847FAE" w:rsidRDefault="005F6773" w:rsidP="00FD6F91">
      <w:pPr>
        <w:rPr>
          <w:rFonts w:eastAsiaTheme="minorHAnsi"/>
          <w:lang w:eastAsia="en-US"/>
        </w:rPr>
      </w:pPr>
    </w:p>
    <w:p w14:paraId="46EC127E" w14:textId="77777777" w:rsidR="005F6773" w:rsidRPr="00847FAE" w:rsidRDefault="005F6773">
      <w:pPr>
        <w:rPr>
          <w:rFonts w:eastAsiaTheme="minorHAnsi"/>
          <w:lang w:eastAsia="en-US"/>
        </w:rPr>
      </w:pPr>
      <w:r w:rsidRPr="00847FAE">
        <w:rPr>
          <w:rFonts w:eastAsiaTheme="minorHAnsi"/>
          <w:lang w:eastAsia="en-US"/>
        </w:rPr>
        <w:br w:type="page"/>
      </w:r>
    </w:p>
    <w:p w14:paraId="19D95DAE" w14:textId="0B282D0A" w:rsidR="00FD6F91" w:rsidRPr="00847FAE" w:rsidRDefault="00FD6F91" w:rsidP="00FD6F91">
      <w:pPr>
        <w:widowControl w:val="0"/>
        <w:spacing w:before="240"/>
        <w:outlineLvl w:val="0"/>
        <w:rPr>
          <w:rFonts w:eastAsiaTheme="majorEastAsia" w:cstheme="majorBidi"/>
          <w:sz w:val="28"/>
          <w:szCs w:val="32"/>
          <w:lang w:eastAsia="en-US"/>
        </w:rPr>
      </w:pPr>
      <w:bookmarkStart w:id="388" w:name="_Toc529272652"/>
      <w:bookmarkStart w:id="389" w:name="_Toc1041195"/>
      <w:r w:rsidRPr="00847FAE">
        <w:rPr>
          <w:rFonts w:eastAsiaTheme="majorEastAsia" w:cstheme="majorBidi"/>
          <w:sz w:val="28"/>
          <w:szCs w:val="32"/>
          <w:lang w:eastAsia="en-US"/>
        </w:rPr>
        <w:lastRenderedPageBreak/>
        <w:t>3. Performance Indicators</w:t>
      </w:r>
      <w:bookmarkEnd w:id="388"/>
      <w:bookmarkEnd w:id="389"/>
    </w:p>
    <w:p w14:paraId="2E73C350" w14:textId="77777777" w:rsidR="005B312D" w:rsidRDefault="005B312D" w:rsidP="00583661">
      <w:pPr>
        <w:rPr>
          <w:rFonts w:eastAsiaTheme="minorHAnsi"/>
          <w:lang w:eastAsia="en-US"/>
        </w:rPr>
      </w:pPr>
    </w:p>
    <w:p w14:paraId="0CD0C309" w14:textId="601205C2" w:rsidR="00583661" w:rsidRPr="00847FAE" w:rsidRDefault="00583661" w:rsidP="00583661">
      <w:pPr>
        <w:rPr>
          <w:rFonts w:eastAsiaTheme="minorHAnsi"/>
          <w:lang w:eastAsia="en-US"/>
        </w:rPr>
      </w:pPr>
      <w:r w:rsidRPr="00847FAE">
        <w:rPr>
          <w:rFonts w:eastAsiaTheme="minorHAnsi"/>
          <w:lang w:eastAsia="en-US"/>
        </w:rPr>
        <w:t>A national framework of performance indicators adopted by the Court support the aims of the Court.   Key  measures used to assess the performance of the Magistrates Court are:</w:t>
      </w:r>
    </w:p>
    <w:p w14:paraId="3FD6D848" w14:textId="34D85BD3" w:rsidR="00583661" w:rsidRPr="00D83DA4" w:rsidRDefault="00583661" w:rsidP="005B312D">
      <w:pPr>
        <w:ind w:left="720"/>
        <w:rPr>
          <w:rFonts w:eastAsiaTheme="minorHAnsi"/>
          <w:lang w:eastAsia="en-US"/>
        </w:rPr>
      </w:pPr>
      <w:r w:rsidRPr="00D83DA4">
        <w:rPr>
          <w:rFonts w:eastAsiaTheme="minorHAnsi"/>
          <w:i/>
          <w:lang w:eastAsia="en-US"/>
        </w:rPr>
        <w:t>Backlog Indicator</w:t>
      </w:r>
      <w:r w:rsidR="005B312D" w:rsidRPr="00D83DA4">
        <w:rPr>
          <w:rFonts w:eastAsiaTheme="minorHAnsi"/>
          <w:lang w:eastAsia="en-US"/>
        </w:rPr>
        <w:t xml:space="preserve"> - </w:t>
      </w:r>
      <w:r w:rsidRPr="00D83DA4">
        <w:rPr>
          <w:rFonts w:eastAsiaTheme="minorHAnsi"/>
          <w:lang w:eastAsia="en-US"/>
        </w:rPr>
        <w:t>a measure of effectiveness in relation to timeliness and delay</w:t>
      </w:r>
    </w:p>
    <w:p w14:paraId="30341BD9" w14:textId="2E1E1718" w:rsidR="00583661" w:rsidRPr="00D83DA4" w:rsidRDefault="00583661" w:rsidP="005B312D">
      <w:pPr>
        <w:ind w:left="720"/>
        <w:rPr>
          <w:rFonts w:eastAsiaTheme="minorHAnsi"/>
          <w:lang w:eastAsia="en-US"/>
        </w:rPr>
      </w:pPr>
      <w:r w:rsidRPr="00D83DA4">
        <w:rPr>
          <w:rFonts w:eastAsiaTheme="minorHAnsi"/>
          <w:i/>
          <w:lang w:eastAsia="en-US"/>
        </w:rPr>
        <w:t>Clearance Rate</w:t>
      </w:r>
      <w:r w:rsidRPr="00D83DA4">
        <w:rPr>
          <w:rFonts w:eastAsiaTheme="minorHAnsi"/>
          <w:lang w:eastAsia="en-US"/>
        </w:rPr>
        <w:t xml:space="preserve"> - an efficiency measure of the inputs per output unit</w:t>
      </w:r>
    </w:p>
    <w:p w14:paraId="5A1D1791" w14:textId="53D2DF2C" w:rsidR="00583661" w:rsidRPr="00847FAE" w:rsidRDefault="00583661" w:rsidP="005B312D">
      <w:pPr>
        <w:ind w:left="720"/>
        <w:rPr>
          <w:rFonts w:eastAsiaTheme="minorHAnsi"/>
          <w:lang w:eastAsia="en-US"/>
        </w:rPr>
      </w:pPr>
      <w:r w:rsidRPr="00D83DA4">
        <w:rPr>
          <w:rFonts w:eastAsiaTheme="minorHAnsi"/>
          <w:i/>
          <w:lang w:eastAsia="en-US"/>
        </w:rPr>
        <w:t>Attendance Indicator</w:t>
      </w:r>
      <w:r w:rsidRPr="00847FAE">
        <w:rPr>
          <w:rFonts w:eastAsiaTheme="minorHAnsi"/>
          <w:lang w:eastAsia="en-US"/>
        </w:rPr>
        <w:t xml:space="preserve"> - an effectiveness measure of timeliness and delay.</w:t>
      </w:r>
    </w:p>
    <w:p w14:paraId="291DF74F" w14:textId="1F00F527" w:rsidR="00583661" w:rsidRPr="00847FAE" w:rsidRDefault="00583661" w:rsidP="00583661">
      <w:pPr>
        <w:rPr>
          <w:rFonts w:eastAsiaTheme="minorHAnsi"/>
          <w:lang w:eastAsia="en-US"/>
        </w:rPr>
      </w:pPr>
      <w:r w:rsidRPr="00847FAE">
        <w:rPr>
          <w:rFonts w:eastAsiaTheme="minorHAnsi"/>
          <w:lang w:eastAsia="en-US"/>
        </w:rPr>
        <w:t>These measures should be treated as indicative rather than definitive as the Court does not have total control over the process for adjudicating criminal matters, resolving civil disputes and investigating coronial matters, and consequently other parties may introduce and contribute to delays.</w:t>
      </w:r>
    </w:p>
    <w:p w14:paraId="57341A82" w14:textId="3C20B6F3" w:rsidR="005B312D" w:rsidRPr="00847FAE" w:rsidRDefault="005B312D" w:rsidP="00E5311F">
      <w:pPr>
        <w:pStyle w:val="Heading2"/>
      </w:pPr>
      <w:bookmarkStart w:id="390" w:name="_Toc529272653"/>
      <w:bookmarkStart w:id="391" w:name="_Toc1041196"/>
      <w:r>
        <w:t>Backlog Indicator</w:t>
      </w:r>
      <w:bookmarkEnd w:id="390"/>
      <w:bookmarkEnd w:id="391"/>
    </w:p>
    <w:p w14:paraId="4C411425" w14:textId="77777777" w:rsidR="00583661" w:rsidRPr="00847FAE" w:rsidRDefault="00583661" w:rsidP="00D83DA4">
      <w:pPr>
        <w:spacing w:before="240" w:after="240"/>
        <w:rPr>
          <w:rFonts w:eastAsiaTheme="minorHAnsi"/>
          <w:lang w:eastAsia="en-US"/>
        </w:rPr>
      </w:pPr>
      <w:r w:rsidRPr="00847FAE">
        <w:rPr>
          <w:rFonts w:eastAsiaTheme="minorHAnsi"/>
          <w:lang w:eastAsia="en-US"/>
        </w:rPr>
        <w:t>This indicator is a measure of case processing timeliness.   This measure has been developed on a national basis as a means of determining the performance of a court.</w:t>
      </w:r>
    </w:p>
    <w:p w14:paraId="77AE9E56" w14:textId="77777777" w:rsidR="00583661" w:rsidRPr="00847FAE" w:rsidRDefault="00583661" w:rsidP="00583661">
      <w:pPr>
        <w:rPr>
          <w:rFonts w:eastAsiaTheme="minorHAnsi"/>
          <w:lang w:eastAsia="en-US"/>
        </w:rPr>
      </w:pPr>
      <w:r w:rsidRPr="00847FAE">
        <w:rPr>
          <w:rFonts w:eastAsiaTheme="minorHAnsi"/>
          <w:lang w:eastAsia="en-US"/>
        </w:rPr>
        <w:t>In the criminal jurisdiction, those defendants who have bench warrants associated with them have been excluded from the count, and in the civil jurisdiction those lodgements that have not been acted upon in the last 12 months have been excluded.   The aim has been to focus on those matters that are part of an ‘active pending’ population.</w:t>
      </w:r>
    </w:p>
    <w:p w14:paraId="00FD53B7" w14:textId="77777777" w:rsidR="00583661" w:rsidRPr="00847FAE" w:rsidRDefault="00583661" w:rsidP="00583661">
      <w:pPr>
        <w:rPr>
          <w:rFonts w:eastAsiaTheme="minorHAnsi"/>
          <w:lang w:eastAsia="en-US"/>
        </w:rPr>
      </w:pPr>
      <w:r w:rsidRPr="00847FAE">
        <w:rPr>
          <w:rFonts w:eastAsiaTheme="minorHAnsi"/>
          <w:lang w:eastAsia="en-US"/>
        </w:rPr>
        <w:t>Similarly, the indicator recognises that case processing must take some time and that such time does not necessarily equal delay.   Timeliness can be affected by delays caused by factors other than those related to the workload of the Court (for example, a witness, a party, or counsel not being available or ready to proceed).</w:t>
      </w:r>
    </w:p>
    <w:p w14:paraId="42EBAAA9" w14:textId="3457FD1A" w:rsidR="00FD6F91" w:rsidRDefault="00583661" w:rsidP="00583661">
      <w:pPr>
        <w:rPr>
          <w:rFonts w:eastAsiaTheme="minorHAnsi"/>
          <w:lang w:eastAsia="en-US"/>
        </w:rPr>
      </w:pPr>
      <w:r w:rsidRPr="00847FAE">
        <w:rPr>
          <w:rFonts w:eastAsiaTheme="minorHAnsi"/>
          <w:lang w:eastAsia="en-US"/>
        </w:rPr>
        <w:t xml:space="preserve">The backlog indicator measures the Court’s pending caseload against timeliness standards and the Court’s performance is set out in Table </w:t>
      </w:r>
      <w:r w:rsidRPr="00D83DA4">
        <w:rPr>
          <w:rFonts w:eastAsiaTheme="minorHAnsi"/>
          <w:lang w:eastAsia="en-US"/>
        </w:rPr>
        <w:t>15</w:t>
      </w:r>
      <w:r w:rsidRPr="00847FAE">
        <w:rPr>
          <w:rFonts w:eastAsiaTheme="minorHAnsi"/>
          <w:lang w:eastAsia="en-US"/>
        </w:rPr>
        <w:t>.</w:t>
      </w:r>
    </w:p>
    <w:p w14:paraId="2E959242" w14:textId="77777777" w:rsidR="001F00BB" w:rsidRPr="00847FAE" w:rsidRDefault="001F00BB" w:rsidP="00583661">
      <w:pPr>
        <w:rPr>
          <w:rFonts w:eastAsiaTheme="minorHAnsi"/>
          <w:lang w:eastAsia="en-US"/>
        </w:rPr>
      </w:pPr>
    </w:p>
    <w:p w14:paraId="65FEF60D" w14:textId="74949F3C" w:rsidR="00FD6F91" w:rsidRPr="00847FAE" w:rsidRDefault="00FD6F91" w:rsidP="00FD6F91">
      <w:pPr>
        <w:keepNext/>
        <w:keepLines/>
        <w:spacing w:before="40"/>
        <w:outlineLvl w:val="2"/>
        <w:rPr>
          <w:rFonts w:eastAsiaTheme="majorEastAsia" w:cstheme="majorBidi"/>
          <w:lang w:eastAsia="en-US"/>
        </w:rPr>
      </w:pPr>
      <w:bookmarkStart w:id="392" w:name="_Toc1041197"/>
      <w:r w:rsidRPr="00847FAE">
        <w:rPr>
          <w:rFonts w:eastAsiaTheme="majorEastAsia" w:cstheme="majorBidi"/>
          <w:lang w:eastAsia="en-US"/>
        </w:rPr>
        <w:lastRenderedPageBreak/>
        <w:t>Table 1</w:t>
      </w:r>
      <w:r w:rsidR="0037416A">
        <w:rPr>
          <w:rFonts w:eastAsiaTheme="majorEastAsia" w:cstheme="majorBidi"/>
          <w:lang w:eastAsia="en-US"/>
        </w:rPr>
        <w:t>5</w:t>
      </w:r>
      <w:r w:rsidRPr="00847FAE">
        <w:rPr>
          <w:rFonts w:eastAsiaTheme="majorEastAsia" w:cstheme="majorBidi"/>
          <w:lang w:eastAsia="en-US"/>
        </w:rPr>
        <w:t>: Criminal Pending Caseload (at 30 June) and Backlog Indicator, 2013-14 to 2017-18</w:t>
      </w:r>
      <w:r w:rsidRPr="00847FAE">
        <w:rPr>
          <w:rFonts w:eastAsiaTheme="majorEastAsia" w:cstheme="majorBidi"/>
          <w:b/>
          <w:sz w:val="20"/>
          <w:vertAlign w:val="superscript"/>
          <w:lang w:eastAsia="en-US"/>
        </w:rPr>
        <w:t>1</w:t>
      </w:r>
      <w:bookmarkEnd w:id="392"/>
    </w:p>
    <w:tbl>
      <w:tblPr>
        <w:tblStyle w:val="TableGrid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15CriminalPendingCaseloadandbacklogindicator"/>
        <w:tblDescription w:val="TabledescribingCriminalPendingCaseloadat30Juneandbacklogindicator2013_14to2017_18"/>
      </w:tblPr>
      <w:tblGrid>
        <w:gridCol w:w="460"/>
        <w:gridCol w:w="856"/>
        <w:gridCol w:w="1378"/>
        <w:gridCol w:w="278"/>
        <w:gridCol w:w="992"/>
        <w:gridCol w:w="993"/>
        <w:gridCol w:w="992"/>
        <w:gridCol w:w="992"/>
        <w:gridCol w:w="992"/>
        <w:gridCol w:w="1134"/>
      </w:tblGrid>
      <w:tr w:rsidR="00FD6F91" w:rsidRPr="00847FAE" w14:paraId="6F19760C" w14:textId="77777777" w:rsidTr="004E3DB0">
        <w:trPr>
          <w:cantSplit/>
          <w:trHeight w:val="20"/>
          <w:tblHeader/>
        </w:trPr>
        <w:tc>
          <w:tcPr>
            <w:tcW w:w="460" w:type="dxa"/>
            <w:tcBorders>
              <w:top w:val="single" w:sz="4" w:space="0" w:color="auto"/>
              <w:bottom w:val="single" w:sz="4" w:space="0" w:color="auto"/>
            </w:tcBorders>
            <w:noWrap/>
            <w:hideMark/>
          </w:tcPr>
          <w:p w14:paraId="013236B4"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856" w:type="dxa"/>
            <w:tcBorders>
              <w:top w:val="single" w:sz="4" w:space="0" w:color="auto"/>
              <w:bottom w:val="single" w:sz="4" w:space="0" w:color="auto"/>
            </w:tcBorders>
            <w:noWrap/>
            <w:hideMark/>
          </w:tcPr>
          <w:p w14:paraId="7E695308"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378" w:type="dxa"/>
            <w:tcBorders>
              <w:top w:val="single" w:sz="4" w:space="0" w:color="auto"/>
              <w:bottom w:val="single" w:sz="4" w:space="0" w:color="auto"/>
            </w:tcBorders>
            <w:noWrap/>
            <w:hideMark/>
          </w:tcPr>
          <w:p w14:paraId="29A34A3A"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278" w:type="dxa"/>
            <w:tcBorders>
              <w:top w:val="single" w:sz="4" w:space="0" w:color="auto"/>
              <w:bottom w:val="single" w:sz="4" w:space="0" w:color="auto"/>
            </w:tcBorders>
            <w:noWrap/>
            <w:hideMark/>
          </w:tcPr>
          <w:p w14:paraId="78635CDF"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bottom"/>
            <w:hideMark/>
          </w:tcPr>
          <w:p w14:paraId="16EED3FF"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2013-14</w:t>
            </w:r>
          </w:p>
        </w:tc>
        <w:tc>
          <w:tcPr>
            <w:tcW w:w="993" w:type="dxa"/>
            <w:tcBorders>
              <w:top w:val="single" w:sz="4" w:space="0" w:color="auto"/>
              <w:bottom w:val="single" w:sz="4" w:space="0" w:color="auto"/>
            </w:tcBorders>
            <w:noWrap/>
            <w:vAlign w:val="bottom"/>
            <w:hideMark/>
          </w:tcPr>
          <w:p w14:paraId="63479036"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2014-15</w:t>
            </w:r>
          </w:p>
        </w:tc>
        <w:tc>
          <w:tcPr>
            <w:tcW w:w="992" w:type="dxa"/>
            <w:tcBorders>
              <w:top w:val="single" w:sz="4" w:space="0" w:color="auto"/>
              <w:bottom w:val="single" w:sz="4" w:space="0" w:color="auto"/>
            </w:tcBorders>
            <w:noWrap/>
            <w:vAlign w:val="bottom"/>
            <w:hideMark/>
          </w:tcPr>
          <w:p w14:paraId="4B7458C2"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2015-16</w:t>
            </w:r>
          </w:p>
        </w:tc>
        <w:tc>
          <w:tcPr>
            <w:tcW w:w="992" w:type="dxa"/>
            <w:tcBorders>
              <w:top w:val="single" w:sz="4" w:space="0" w:color="auto"/>
              <w:bottom w:val="single" w:sz="4" w:space="0" w:color="auto"/>
            </w:tcBorders>
            <w:noWrap/>
            <w:vAlign w:val="bottom"/>
            <w:hideMark/>
          </w:tcPr>
          <w:p w14:paraId="497DEEF5"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2016-17</w:t>
            </w:r>
          </w:p>
        </w:tc>
        <w:tc>
          <w:tcPr>
            <w:tcW w:w="992" w:type="dxa"/>
            <w:tcBorders>
              <w:top w:val="single" w:sz="4" w:space="0" w:color="auto"/>
              <w:bottom w:val="single" w:sz="4" w:space="0" w:color="auto"/>
            </w:tcBorders>
            <w:noWrap/>
            <w:vAlign w:val="bottom"/>
            <w:hideMark/>
          </w:tcPr>
          <w:p w14:paraId="7F44F6BB"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bottom w:val="single" w:sz="4" w:space="0" w:color="auto"/>
            </w:tcBorders>
            <w:vAlign w:val="bottom"/>
            <w:hideMark/>
          </w:tcPr>
          <w:p w14:paraId="13BA59F3"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419F73AE" w14:textId="77777777" w:rsidTr="001F1F60">
        <w:trPr>
          <w:cantSplit/>
          <w:trHeight w:val="255"/>
        </w:trPr>
        <w:tc>
          <w:tcPr>
            <w:tcW w:w="2694" w:type="dxa"/>
            <w:gridSpan w:val="3"/>
            <w:tcBorders>
              <w:top w:val="single" w:sz="4" w:space="0" w:color="auto"/>
              <w:bottom w:val="single" w:sz="4" w:space="0" w:color="auto"/>
            </w:tcBorders>
            <w:noWrap/>
            <w:vAlign w:val="center"/>
            <w:hideMark/>
          </w:tcPr>
          <w:p w14:paraId="3ED2A218" w14:textId="77777777" w:rsidR="00FD6F91" w:rsidRPr="00847FAE" w:rsidRDefault="00FD6F91" w:rsidP="00FD6F91">
            <w:pPr>
              <w:keepNext/>
              <w:rPr>
                <w:rFonts w:cs="Calibri"/>
                <w:color w:val="000000"/>
                <w:sz w:val="18"/>
                <w:szCs w:val="18"/>
              </w:rPr>
            </w:pPr>
            <w:r w:rsidRPr="00847FAE">
              <w:rPr>
                <w:rFonts w:cs="Calibri"/>
                <w:color w:val="000000"/>
                <w:sz w:val="18"/>
                <w:szCs w:val="18"/>
              </w:rPr>
              <w:t>MAGISTRATES COURT</w:t>
            </w:r>
          </w:p>
        </w:tc>
        <w:tc>
          <w:tcPr>
            <w:tcW w:w="278" w:type="dxa"/>
            <w:tcBorders>
              <w:top w:val="single" w:sz="4" w:space="0" w:color="auto"/>
              <w:bottom w:val="single" w:sz="4" w:space="0" w:color="auto"/>
            </w:tcBorders>
            <w:noWrap/>
            <w:vAlign w:val="center"/>
            <w:hideMark/>
          </w:tcPr>
          <w:p w14:paraId="31A156C0"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center"/>
            <w:hideMark/>
          </w:tcPr>
          <w:p w14:paraId="1589CA09"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3" w:type="dxa"/>
            <w:tcBorders>
              <w:top w:val="single" w:sz="4" w:space="0" w:color="auto"/>
              <w:bottom w:val="single" w:sz="4" w:space="0" w:color="auto"/>
            </w:tcBorders>
            <w:noWrap/>
            <w:vAlign w:val="center"/>
            <w:hideMark/>
          </w:tcPr>
          <w:p w14:paraId="62187D48"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center"/>
            <w:hideMark/>
          </w:tcPr>
          <w:p w14:paraId="608B0DF8"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center"/>
            <w:hideMark/>
          </w:tcPr>
          <w:p w14:paraId="51A3C2A0"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center"/>
            <w:hideMark/>
          </w:tcPr>
          <w:p w14:paraId="126E64AC"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134" w:type="dxa"/>
            <w:tcBorders>
              <w:top w:val="single" w:sz="4" w:space="0" w:color="auto"/>
              <w:bottom w:val="single" w:sz="4" w:space="0" w:color="auto"/>
            </w:tcBorders>
            <w:noWrap/>
            <w:vAlign w:val="center"/>
            <w:hideMark/>
          </w:tcPr>
          <w:p w14:paraId="3018C738"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r>
      <w:tr w:rsidR="00FD6F91" w:rsidRPr="00847FAE" w14:paraId="61511314" w14:textId="77777777" w:rsidTr="001F1F60">
        <w:trPr>
          <w:cantSplit/>
          <w:trHeight w:val="255"/>
        </w:trPr>
        <w:tc>
          <w:tcPr>
            <w:tcW w:w="2972" w:type="dxa"/>
            <w:gridSpan w:val="4"/>
            <w:tcBorders>
              <w:top w:val="single" w:sz="4" w:space="0" w:color="auto"/>
            </w:tcBorders>
            <w:shd w:val="clear" w:color="auto" w:fill="D9D9D9" w:themeFill="background1" w:themeFillShade="D9"/>
            <w:noWrap/>
            <w:vAlign w:val="center"/>
          </w:tcPr>
          <w:p w14:paraId="1D25A6DD"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Total lodged pending completion</w:t>
            </w:r>
          </w:p>
        </w:tc>
        <w:tc>
          <w:tcPr>
            <w:tcW w:w="992" w:type="dxa"/>
            <w:tcBorders>
              <w:top w:val="single" w:sz="4" w:space="0" w:color="auto"/>
            </w:tcBorders>
            <w:shd w:val="clear" w:color="auto" w:fill="D9D9D9" w:themeFill="background1" w:themeFillShade="D9"/>
            <w:noWrap/>
            <w:vAlign w:val="center"/>
            <w:hideMark/>
          </w:tcPr>
          <w:p w14:paraId="487F3F28" w14:textId="77777777" w:rsidR="00FD6F91" w:rsidRPr="00847FAE" w:rsidRDefault="00FD6F91" w:rsidP="00FD6F91">
            <w:pPr>
              <w:jc w:val="center"/>
              <w:rPr>
                <w:rFonts w:cs="Calibri"/>
                <w:color w:val="000000"/>
                <w:sz w:val="18"/>
                <w:szCs w:val="18"/>
              </w:rPr>
            </w:pPr>
            <w:r w:rsidRPr="00847FAE">
              <w:rPr>
                <w:rFonts w:cs="Calibri"/>
                <w:color w:val="000000"/>
                <w:sz w:val="18"/>
                <w:szCs w:val="18"/>
              </w:rPr>
              <w:t>5,938</w:t>
            </w:r>
          </w:p>
        </w:tc>
        <w:tc>
          <w:tcPr>
            <w:tcW w:w="993" w:type="dxa"/>
            <w:tcBorders>
              <w:top w:val="single" w:sz="4" w:space="0" w:color="auto"/>
            </w:tcBorders>
            <w:shd w:val="clear" w:color="auto" w:fill="D9D9D9" w:themeFill="background1" w:themeFillShade="D9"/>
            <w:noWrap/>
            <w:vAlign w:val="center"/>
            <w:hideMark/>
          </w:tcPr>
          <w:p w14:paraId="54A6B753" w14:textId="77777777" w:rsidR="00FD6F91" w:rsidRPr="00847FAE" w:rsidRDefault="00FD6F91" w:rsidP="00FD6F91">
            <w:pPr>
              <w:jc w:val="center"/>
              <w:rPr>
                <w:rFonts w:cs="Calibri"/>
                <w:color w:val="000000"/>
                <w:sz w:val="18"/>
                <w:szCs w:val="18"/>
              </w:rPr>
            </w:pPr>
            <w:r w:rsidRPr="00847FAE">
              <w:rPr>
                <w:rFonts w:cs="Calibri"/>
                <w:color w:val="000000"/>
                <w:sz w:val="18"/>
                <w:szCs w:val="18"/>
              </w:rPr>
              <w:t>7,312</w:t>
            </w:r>
          </w:p>
        </w:tc>
        <w:tc>
          <w:tcPr>
            <w:tcW w:w="992" w:type="dxa"/>
            <w:tcBorders>
              <w:top w:val="single" w:sz="4" w:space="0" w:color="auto"/>
            </w:tcBorders>
            <w:shd w:val="clear" w:color="auto" w:fill="D9D9D9" w:themeFill="background1" w:themeFillShade="D9"/>
            <w:noWrap/>
            <w:vAlign w:val="center"/>
            <w:hideMark/>
          </w:tcPr>
          <w:p w14:paraId="1AD3C42B" w14:textId="77777777" w:rsidR="00FD6F91" w:rsidRPr="00847FAE" w:rsidRDefault="00FD6F91" w:rsidP="00FD6F91">
            <w:pPr>
              <w:jc w:val="center"/>
              <w:rPr>
                <w:rFonts w:cs="Calibri"/>
                <w:color w:val="000000"/>
                <w:sz w:val="18"/>
                <w:szCs w:val="18"/>
              </w:rPr>
            </w:pPr>
            <w:r w:rsidRPr="00847FAE">
              <w:rPr>
                <w:rFonts w:cs="Calibri"/>
                <w:color w:val="000000"/>
                <w:sz w:val="18"/>
                <w:szCs w:val="18"/>
              </w:rPr>
              <w:t>7,426</w:t>
            </w:r>
          </w:p>
        </w:tc>
        <w:tc>
          <w:tcPr>
            <w:tcW w:w="992" w:type="dxa"/>
            <w:tcBorders>
              <w:top w:val="single" w:sz="4" w:space="0" w:color="auto"/>
            </w:tcBorders>
            <w:shd w:val="clear" w:color="auto" w:fill="D9D9D9" w:themeFill="background1" w:themeFillShade="D9"/>
            <w:noWrap/>
            <w:vAlign w:val="center"/>
            <w:hideMark/>
          </w:tcPr>
          <w:p w14:paraId="4919775E" w14:textId="77777777" w:rsidR="00FD6F91" w:rsidRPr="00847FAE" w:rsidRDefault="00FD6F91" w:rsidP="00FD6F91">
            <w:pPr>
              <w:jc w:val="center"/>
              <w:rPr>
                <w:rFonts w:cs="Calibri"/>
                <w:color w:val="000000"/>
                <w:sz w:val="18"/>
                <w:szCs w:val="18"/>
              </w:rPr>
            </w:pPr>
            <w:r w:rsidRPr="00847FAE">
              <w:rPr>
                <w:rFonts w:cs="Calibri"/>
                <w:color w:val="000000"/>
                <w:sz w:val="18"/>
                <w:szCs w:val="18"/>
              </w:rPr>
              <w:t>7,952</w:t>
            </w:r>
          </w:p>
        </w:tc>
        <w:tc>
          <w:tcPr>
            <w:tcW w:w="992" w:type="dxa"/>
            <w:tcBorders>
              <w:top w:val="single" w:sz="4" w:space="0" w:color="auto"/>
            </w:tcBorders>
            <w:shd w:val="clear" w:color="auto" w:fill="D9D9D9" w:themeFill="background1" w:themeFillShade="D9"/>
            <w:noWrap/>
            <w:vAlign w:val="center"/>
            <w:hideMark/>
          </w:tcPr>
          <w:p w14:paraId="71053181" w14:textId="77777777" w:rsidR="00FD6F91" w:rsidRPr="00847FAE" w:rsidRDefault="00FD6F91" w:rsidP="00FD6F91">
            <w:pPr>
              <w:jc w:val="center"/>
              <w:rPr>
                <w:rFonts w:cs="Calibri"/>
                <w:color w:val="000000"/>
                <w:sz w:val="18"/>
                <w:szCs w:val="18"/>
              </w:rPr>
            </w:pPr>
            <w:r w:rsidRPr="00847FAE">
              <w:rPr>
                <w:rFonts w:cs="Calibri"/>
                <w:color w:val="000000"/>
                <w:sz w:val="18"/>
                <w:szCs w:val="18"/>
              </w:rPr>
              <w:t>7,788</w:t>
            </w:r>
          </w:p>
        </w:tc>
        <w:tc>
          <w:tcPr>
            <w:tcW w:w="1134" w:type="dxa"/>
            <w:tcBorders>
              <w:top w:val="single" w:sz="4" w:space="0" w:color="auto"/>
            </w:tcBorders>
            <w:shd w:val="clear" w:color="auto" w:fill="D9D9D9" w:themeFill="background1" w:themeFillShade="D9"/>
            <w:noWrap/>
            <w:vAlign w:val="center"/>
            <w:hideMark/>
          </w:tcPr>
          <w:p w14:paraId="6F491254" w14:textId="77777777" w:rsidR="00FD6F91" w:rsidRPr="00847FAE" w:rsidRDefault="00FD6F91" w:rsidP="00FD6F91">
            <w:pPr>
              <w:jc w:val="center"/>
              <w:rPr>
                <w:rFonts w:cs="Calibri"/>
                <w:color w:val="000000"/>
                <w:sz w:val="18"/>
                <w:szCs w:val="18"/>
              </w:rPr>
            </w:pPr>
            <w:r w:rsidRPr="00847FAE">
              <w:rPr>
                <w:rFonts w:cs="Calibri"/>
                <w:color w:val="000000"/>
                <w:sz w:val="18"/>
                <w:szCs w:val="18"/>
              </w:rPr>
              <w:t>-2.10%</w:t>
            </w:r>
          </w:p>
        </w:tc>
      </w:tr>
      <w:tr w:rsidR="00FD6F91" w:rsidRPr="00847FAE" w14:paraId="36A7E5F0" w14:textId="77777777" w:rsidTr="001F1F60">
        <w:trPr>
          <w:cantSplit/>
          <w:trHeight w:val="255"/>
        </w:trPr>
        <w:tc>
          <w:tcPr>
            <w:tcW w:w="2972" w:type="dxa"/>
            <w:gridSpan w:val="4"/>
            <w:noWrap/>
            <w:vAlign w:val="center"/>
            <w:hideMark/>
          </w:tcPr>
          <w:p w14:paraId="7E55DC20" w14:textId="77777777" w:rsidR="00FD6F91" w:rsidRPr="00847FAE" w:rsidRDefault="00FD6F91" w:rsidP="00FD6F91">
            <w:pPr>
              <w:keepNext/>
              <w:rPr>
                <w:rFonts w:cs="Calibri"/>
                <w:color w:val="000000"/>
                <w:sz w:val="18"/>
                <w:szCs w:val="18"/>
              </w:rPr>
            </w:pPr>
            <w:r w:rsidRPr="00847FAE">
              <w:rPr>
                <w:rFonts w:cs="Calibri"/>
                <w:color w:val="000000"/>
                <w:sz w:val="18"/>
                <w:szCs w:val="18"/>
              </w:rPr>
              <w:t xml:space="preserve">   </w:t>
            </w:r>
            <w:r w:rsidRPr="00847FAE">
              <w:rPr>
                <w:rFonts w:cs="Calibri"/>
                <w:iCs/>
                <w:color w:val="000000"/>
                <w:sz w:val="18"/>
                <w:szCs w:val="18"/>
              </w:rPr>
              <w:t>Between 6 and 12 months</w:t>
            </w:r>
          </w:p>
        </w:tc>
        <w:tc>
          <w:tcPr>
            <w:tcW w:w="992" w:type="dxa"/>
            <w:noWrap/>
            <w:vAlign w:val="center"/>
          </w:tcPr>
          <w:p w14:paraId="3EEAAD1D" w14:textId="77777777" w:rsidR="00FD6F91" w:rsidRPr="00847FAE" w:rsidRDefault="00FD6F91" w:rsidP="00FD6F91">
            <w:pPr>
              <w:jc w:val="center"/>
              <w:rPr>
                <w:rFonts w:cs="Calibri"/>
                <w:color w:val="000000"/>
                <w:sz w:val="18"/>
                <w:szCs w:val="18"/>
              </w:rPr>
            </w:pPr>
            <w:r w:rsidRPr="00847FAE">
              <w:rPr>
                <w:rFonts w:cs="Calibri"/>
                <w:color w:val="000000"/>
                <w:sz w:val="18"/>
                <w:szCs w:val="18"/>
              </w:rPr>
              <w:t>897</w:t>
            </w:r>
          </w:p>
        </w:tc>
        <w:tc>
          <w:tcPr>
            <w:tcW w:w="993" w:type="dxa"/>
            <w:noWrap/>
            <w:vAlign w:val="center"/>
          </w:tcPr>
          <w:p w14:paraId="4C00042E" w14:textId="77777777" w:rsidR="00FD6F91" w:rsidRPr="00847FAE" w:rsidRDefault="00FD6F91" w:rsidP="00FD6F91">
            <w:pPr>
              <w:jc w:val="center"/>
              <w:rPr>
                <w:rFonts w:cs="Calibri"/>
                <w:color w:val="000000"/>
                <w:sz w:val="18"/>
                <w:szCs w:val="18"/>
              </w:rPr>
            </w:pPr>
            <w:r w:rsidRPr="00847FAE">
              <w:rPr>
                <w:rFonts w:cs="Calibri"/>
                <w:color w:val="000000"/>
                <w:sz w:val="18"/>
                <w:szCs w:val="18"/>
              </w:rPr>
              <w:t>1,353</w:t>
            </w:r>
          </w:p>
        </w:tc>
        <w:tc>
          <w:tcPr>
            <w:tcW w:w="992" w:type="dxa"/>
            <w:noWrap/>
            <w:vAlign w:val="center"/>
          </w:tcPr>
          <w:p w14:paraId="37AD3FF7" w14:textId="77777777" w:rsidR="00FD6F91" w:rsidRPr="00847FAE" w:rsidRDefault="00FD6F91" w:rsidP="00FD6F91">
            <w:pPr>
              <w:jc w:val="center"/>
              <w:rPr>
                <w:rFonts w:cs="Calibri"/>
                <w:color w:val="000000"/>
                <w:sz w:val="18"/>
                <w:szCs w:val="18"/>
              </w:rPr>
            </w:pPr>
            <w:r w:rsidRPr="00847FAE">
              <w:rPr>
                <w:rFonts w:cs="Calibri"/>
                <w:color w:val="000000"/>
                <w:sz w:val="18"/>
                <w:szCs w:val="18"/>
              </w:rPr>
              <w:t>1,294</w:t>
            </w:r>
          </w:p>
        </w:tc>
        <w:tc>
          <w:tcPr>
            <w:tcW w:w="992" w:type="dxa"/>
            <w:noWrap/>
            <w:vAlign w:val="center"/>
          </w:tcPr>
          <w:p w14:paraId="0C7BA5C0" w14:textId="77777777" w:rsidR="00FD6F91" w:rsidRPr="00847FAE" w:rsidRDefault="00FD6F91" w:rsidP="00FD6F91">
            <w:pPr>
              <w:jc w:val="center"/>
              <w:rPr>
                <w:rFonts w:cs="Calibri"/>
                <w:color w:val="000000"/>
                <w:sz w:val="18"/>
                <w:szCs w:val="18"/>
              </w:rPr>
            </w:pPr>
            <w:r w:rsidRPr="00847FAE">
              <w:rPr>
                <w:rFonts w:cs="Calibri"/>
                <w:color w:val="000000"/>
                <w:sz w:val="18"/>
                <w:szCs w:val="18"/>
              </w:rPr>
              <w:t>1,748</w:t>
            </w:r>
          </w:p>
        </w:tc>
        <w:tc>
          <w:tcPr>
            <w:tcW w:w="992" w:type="dxa"/>
            <w:noWrap/>
            <w:vAlign w:val="center"/>
          </w:tcPr>
          <w:p w14:paraId="7E926102" w14:textId="77777777" w:rsidR="00FD6F91" w:rsidRPr="00847FAE" w:rsidRDefault="00FD6F91" w:rsidP="00FD6F91">
            <w:pPr>
              <w:jc w:val="center"/>
              <w:rPr>
                <w:rFonts w:cs="Calibri"/>
                <w:color w:val="000000"/>
                <w:sz w:val="18"/>
                <w:szCs w:val="18"/>
              </w:rPr>
            </w:pPr>
            <w:r w:rsidRPr="00847FAE">
              <w:rPr>
                <w:rFonts w:cs="Calibri"/>
                <w:color w:val="000000"/>
                <w:sz w:val="18"/>
                <w:szCs w:val="18"/>
              </w:rPr>
              <w:t>1,650</w:t>
            </w:r>
          </w:p>
        </w:tc>
        <w:tc>
          <w:tcPr>
            <w:tcW w:w="1134" w:type="dxa"/>
            <w:noWrap/>
            <w:vAlign w:val="center"/>
          </w:tcPr>
          <w:p w14:paraId="50A074A6" w14:textId="77777777" w:rsidR="00FD6F91" w:rsidRPr="00847FAE" w:rsidRDefault="00FD6F91" w:rsidP="00FD6F91">
            <w:pPr>
              <w:jc w:val="center"/>
              <w:rPr>
                <w:rFonts w:cs="Calibri"/>
                <w:color w:val="000000"/>
                <w:sz w:val="18"/>
                <w:szCs w:val="18"/>
              </w:rPr>
            </w:pPr>
            <w:r w:rsidRPr="00847FAE">
              <w:rPr>
                <w:rFonts w:cs="Calibri"/>
                <w:color w:val="000000"/>
                <w:sz w:val="18"/>
                <w:szCs w:val="18"/>
              </w:rPr>
              <w:t>-5.6%</w:t>
            </w:r>
          </w:p>
        </w:tc>
      </w:tr>
      <w:tr w:rsidR="00FD6F91" w:rsidRPr="00847FAE" w14:paraId="0CA70CAC" w14:textId="77777777" w:rsidTr="001F1F60">
        <w:trPr>
          <w:cantSplit/>
          <w:trHeight w:val="255"/>
        </w:trPr>
        <w:tc>
          <w:tcPr>
            <w:tcW w:w="2972" w:type="dxa"/>
            <w:gridSpan w:val="4"/>
            <w:noWrap/>
            <w:vAlign w:val="center"/>
          </w:tcPr>
          <w:p w14:paraId="622CF5A9"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Greater than 12 months</w:t>
            </w:r>
          </w:p>
        </w:tc>
        <w:tc>
          <w:tcPr>
            <w:tcW w:w="992" w:type="dxa"/>
            <w:noWrap/>
            <w:vAlign w:val="center"/>
          </w:tcPr>
          <w:p w14:paraId="71D94D8D" w14:textId="77777777" w:rsidR="00FD6F91" w:rsidRPr="00847FAE" w:rsidRDefault="00FD6F91" w:rsidP="00FD6F91">
            <w:pPr>
              <w:jc w:val="center"/>
              <w:rPr>
                <w:rFonts w:cs="Calibri"/>
                <w:color w:val="000000"/>
                <w:sz w:val="18"/>
                <w:szCs w:val="18"/>
              </w:rPr>
            </w:pPr>
            <w:r w:rsidRPr="00847FAE">
              <w:rPr>
                <w:rFonts w:cs="Calibri"/>
                <w:color w:val="000000"/>
                <w:sz w:val="18"/>
                <w:szCs w:val="18"/>
              </w:rPr>
              <w:t>698</w:t>
            </w:r>
          </w:p>
        </w:tc>
        <w:tc>
          <w:tcPr>
            <w:tcW w:w="993" w:type="dxa"/>
            <w:noWrap/>
            <w:vAlign w:val="center"/>
          </w:tcPr>
          <w:p w14:paraId="38810F69" w14:textId="77777777" w:rsidR="00FD6F91" w:rsidRPr="00847FAE" w:rsidRDefault="00FD6F91" w:rsidP="00FD6F91">
            <w:pPr>
              <w:jc w:val="center"/>
              <w:rPr>
                <w:rFonts w:cs="Calibri"/>
                <w:color w:val="000000"/>
                <w:sz w:val="18"/>
                <w:szCs w:val="18"/>
              </w:rPr>
            </w:pPr>
            <w:r w:rsidRPr="00847FAE">
              <w:rPr>
                <w:rFonts w:cs="Calibri"/>
                <w:color w:val="000000"/>
                <w:sz w:val="18"/>
                <w:szCs w:val="18"/>
              </w:rPr>
              <w:t>1,007</w:t>
            </w:r>
          </w:p>
        </w:tc>
        <w:tc>
          <w:tcPr>
            <w:tcW w:w="992" w:type="dxa"/>
            <w:noWrap/>
            <w:vAlign w:val="center"/>
          </w:tcPr>
          <w:p w14:paraId="4A390C48" w14:textId="77777777" w:rsidR="00FD6F91" w:rsidRPr="00847FAE" w:rsidRDefault="00FD6F91" w:rsidP="00FD6F91">
            <w:pPr>
              <w:jc w:val="center"/>
              <w:rPr>
                <w:rFonts w:cs="Calibri"/>
                <w:color w:val="000000"/>
                <w:sz w:val="18"/>
                <w:szCs w:val="18"/>
              </w:rPr>
            </w:pPr>
            <w:r w:rsidRPr="00847FAE">
              <w:rPr>
                <w:rFonts w:cs="Calibri"/>
                <w:color w:val="000000"/>
                <w:sz w:val="18"/>
                <w:szCs w:val="18"/>
              </w:rPr>
              <w:t>967</w:t>
            </w:r>
          </w:p>
        </w:tc>
        <w:tc>
          <w:tcPr>
            <w:tcW w:w="992" w:type="dxa"/>
            <w:noWrap/>
            <w:vAlign w:val="center"/>
          </w:tcPr>
          <w:p w14:paraId="0998F788" w14:textId="77777777" w:rsidR="00FD6F91" w:rsidRPr="00847FAE" w:rsidRDefault="00FD6F91" w:rsidP="00FD6F91">
            <w:pPr>
              <w:jc w:val="center"/>
              <w:rPr>
                <w:rFonts w:cs="Calibri"/>
                <w:color w:val="000000"/>
                <w:sz w:val="18"/>
                <w:szCs w:val="18"/>
              </w:rPr>
            </w:pPr>
            <w:r w:rsidRPr="00847FAE">
              <w:rPr>
                <w:rFonts w:cs="Calibri"/>
                <w:color w:val="000000"/>
                <w:sz w:val="18"/>
                <w:szCs w:val="18"/>
              </w:rPr>
              <w:t>1,000</w:t>
            </w:r>
          </w:p>
        </w:tc>
        <w:tc>
          <w:tcPr>
            <w:tcW w:w="992" w:type="dxa"/>
            <w:noWrap/>
            <w:vAlign w:val="center"/>
          </w:tcPr>
          <w:p w14:paraId="4C5CD9EC" w14:textId="77777777" w:rsidR="00FD6F91" w:rsidRPr="00847FAE" w:rsidRDefault="00FD6F91" w:rsidP="00FD6F91">
            <w:pPr>
              <w:jc w:val="center"/>
              <w:rPr>
                <w:rFonts w:cs="Calibri"/>
                <w:color w:val="000000"/>
                <w:sz w:val="18"/>
                <w:szCs w:val="18"/>
              </w:rPr>
            </w:pPr>
            <w:r w:rsidRPr="00847FAE">
              <w:rPr>
                <w:rFonts w:cs="Calibri"/>
                <w:color w:val="000000"/>
                <w:sz w:val="18"/>
                <w:szCs w:val="18"/>
              </w:rPr>
              <w:t>1,166</w:t>
            </w:r>
          </w:p>
        </w:tc>
        <w:tc>
          <w:tcPr>
            <w:tcW w:w="1134" w:type="dxa"/>
            <w:noWrap/>
            <w:vAlign w:val="center"/>
          </w:tcPr>
          <w:p w14:paraId="21211172" w14:textId="77777777" w:rsidR="00FD6F91" w:rsidRPr="00847FAE" w:rsidRDefault="00FD6F91" w:rsidP="00FD6F91">
            <w:pPr>
              <w:jc w:val="center"/>
              <w:rPr>
                <w:rFonts w:cs="Calibri"/>
                <w:color w:val="000000"/>
                <w:sz w:val="18"/>
                <w:szCs w:val="18"/>
              </w:rPr>
            </w:pPr>
            <w:r w:rsidRPr="00847FAE">
              <w:rPr>
                <w:rFonts w:cs="Calibri"/>
                <w:color w:val="000000"/>
                <w:sz w:val="18"/>
                <w:szCs w:val="18"/>
              </w:rPr>
              <w:t>16.6%</w:t>
            </w:r>
          </w:p>
        </w:tc>
      </w:tr>
      <w:tr w:rsidR="00FD6F91" w:rsidRPr="00847FAE" w14:paraId="117EEE44" w14:textId="77777777" w:rsidTr="001F1F60">
        <w:trPr>
          <w:cantSplit/>
          <w:trHeight w:val="255"/>
        </w:trPr>
        <w:tc>
          <w:tcPr>
            <w:tcW w:w="2972" w:type="dxa"/>
            <w:gridSpan w:val="4"/>
            <w:shd w:val="clear" w:color="auto" w:fill="D9D9D9" w:themeFill="background1" w:themeFillShade="D9"/>
            <w:noWrap/>
            <w:vAlign w:val="center"/>
          </w:tcPr>
          <w:p w14:paraId="7F9DD62E"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 xml:space="preserve">Backlog indicator </w:t>
            </w:r>
          </w:p>
        </w:tc>
        <w:tc>
          <w:tcPr>
            <w:tcW w:w="992" w:type="dxa"/>
            <w:shd w:val="clear" w:color="auto" w:fill="D9D9D9" w:themeFill="background1" w:themeFillShade="D9"/>
            <w:noWrap/>
            <w:vAlign w:val="center"/>
          </w:tcPr>
          <w:p w14:paraId="652EAFA6" w14:textId="77777777" w:rsidR="00FD6F91" w:rsidRPr="00847FAE" w:rsidRDefault="00FD6F91" w:rsidP="00FD6F91">
            <w:pPr>
              <w:keepNext/>
              <w:jc w:val="right"/>
              <w:rPr>
                <w:rFonts w:cs="Calibri"/>
                <w:iCs/>
                <w:color w:val="000000"/>
                <w:sz w:val="18"/>
                <w:szCs w:val="18"/>
              </w:rPr>
            </w:pPr>
          </w:p>
        </w:tc>
        <w:tc>
          <w:tcPr>
            <w:tcW w:w="993" w:type="dxa"/>
            <w:shd w:val="clear" w:color="auto" w:fill="D9D9D9" w:themeFill="background1" w:themeFillShade="D9"/>
            <w:noWrap/>
            <w:vAlign w:val="center"/>
          </w:tcPr>
          <w:p w14:paraId="4B1566C5"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center"/>
          </w:tcPr>
          <w:p w14:paraId="0F1469E3"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center"/>
          </w:tcPr>
          <w:p w14:paraId="1D2EE689"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center"/>
          </w:tcPr>
          <w:p w14:paraId="2B4ECAAC" w14:textId="77777777" w:rsidR="00FD6F91" w:rsidRPr="00847FAE" w:rsidRDefault="00FD6F91" w:rsidP="00FD6F91">
            <w:pPr>
              <w:keepNext/>
              <w:jc w:val="right"/>
              <w:rPr>
                <w:rFonts w:cs="Calibri"/>
                <w:iCs/>
                <w:color w:val="000000"/>
                <w:sz w:val="18"/>
                <w:szCs w:val="18"/>
              </w:rPr>
            </w:pPr>
          </w:p>
        </w:tc>
        <w:tc>
          <w:tcPr>
            <w:tcW w:w="1134" w:type="dxa"/>
            <w:shd w:val="clear" w:color="auto" w:fill="D9D9D9" w:themeFill="background1" w:themeFillShade="D9"/>
            <w:noWrap/>
            <w:vAlign w:val="center"/>
          </w:tcPr>
          <w:p w14:paraId="08C1E51B" w14:textId="77777777" w:rsidR="00FD6F91" w:rsidRPr="00847FAE" w:rsidRDefault="00FD6F91" w:rsidP="00FD6F91">
            <w:pPr>
              <w:keepNext/>
              <w:jc w:val="center"/>
              <w:rPr>
                <w:rFonts w:cs="Calibri"/>
                <w:iCs/>
                <w:color w:val="000000"/>
                <w:sz w:val="18"/>
                <w:szCs w:val="18"/>
              </w:rPr>
            </w:pPr>
          </w:p>
        </w:tc>
      </w:tr>
      <w:tr w:rsidR="00FD6F91" w:rsidRPr="00847FAE" w14:paraId="58324C2B" w14:textId="77777777" w:rsidTr="001F1F60">
        <w:trPr>
          <w:cantSplit/>
          <w:trHeight w:val="255"/>
        </w:trPr>
        <w:tc>
          <w:tcPr>
            <w:tcW w:w="2972" w:type="dxa"/>
            <w:gridSpan w:val="4"/>
            <w:noWrap/>
            <w:vAlign w:val="center"/>
          </w:tcPr>
          <w:p w14:paraId="4D8755AF"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92" w:type="dxa"/>
            <w:noWrap/>
            <w:vAlign w:val="center"/>
          </w:tcPr>
          <w:p w14:paraId="5BEEF024" w14:textId="77777777" w:rsidR="00FD6F91" w:rsidRPr="00847FAE" w:rsidRDefault="00FD6F91" w:rsidP="00FD6F91">
            <w:pPr>
              <w:jc w:val="center"/>
              <w:rPr>
                <w:rFonts w:cs="Calibri"/>
                <w:color w:val="000000"/>
                <w:sz w:val="18"/>
                <w:szCs w:val="18"/>
              </w:rPr>
            </w:pPr>
            <w:r w:rsidRPr="00847FAE">
              <w:rPr>
                <w:rFonts w:cs="Calibri"/>
                <w:color w:val="000000"/>
                <w:sz w:val="18"/>
                <w:szCs w:val="18"/>
              </w:rPr>
              <w:t>26.9</w:t>
            </w:r>
          </w:p>
        </w:tc>
        <w:tc>
          <w:tcPr>
            <w:tcW w:w="993" w:type="dxa"/>
            <w:noWrap/>
            <w:vAlign w:val="center"/>
          </w:tcPr>
          <w:p w14:paraId="787F7F8C" w14:textId="77777777" w:rsidR="00FD6F91" w:rsidRPr="00847FAE" w:rsidRDefault="00FD6F91" w:rsidP="00FD6F91">
            <w:pPr>
              <w:jc w:val="center"/>
              <w:rPr>
                <w:rFonts w:cs="Calibri"/>
                <w:color w:val="000000"/>
                <w:sz w:val="18"/>
                <w:szCs w:val="18"/>
              </w:rPr>
            </w:pPr>
            <w:r w:rsidRPr="00847FAE">
              <w:rPr>
                <w:rFonts w:cs="Calibri"/>
                <w:color w:val="000000"/>
                <w:sz w:val="18"/>
                <w:szCs w:val="18"/>
              </w:rPr>
              <w:t>32.3</w:t>
            </w:r>
          </w:p>
        </w:tc>
        <w:tc>
          <w:tcPr>
            <w:tcW w:w="992" w:type="dxa"/>
            <w:noWrap/>
            <w:vAlign w:val="center"/>
          </w:tcPr>
          <w:p w14:paraId="4E4D2255" w14:textId="77777777" w:rsidR="00FD6F91" w:rsidRPr="00847FAE" w:rsidRDefault="00FD6F91" w:rsidP="00FD6F91">
            <w:pPr>
              <w:jc w:val="center"/>
              <w:rPr>
                <w:rFonts w:cs="Calibri"/>
                <w:color w:val="000000"/>
                <w:sz w:val="18"/>
                <w:szCs w:val="18"/>
              </w:rPr>
            </w:pPr>
            <w:r w:rsidRPr="00847FAE">
              <w:rPr>
                <w:rFonts w:cs="Calibri"/>
                <w:color w:val="000000"/>
                <w:sz w:val="18"/>
                <w:szCs w:val="18"/>
              </w:rPr>
              <w:t>30.4</w:t>
            </w:r>
          </w:p>
        </w:tc>
        <w:tc>
          <w:tcPr>
            <w:tcW w:w="992" w:type="dxa"/>
            <w:noWrap/>
            <w:vAlign w:val="center"/>
          </w:tcPr>
          <w:p w14:paraId="002AF61E" w14:textId="77777777" w:rsidR="00FD6F91" w:rsidRPr="00847FAE" w:rsidRDefault="00FD6F91" w:rsidP="00FD6F91">
            <w:pPr>
              <w:jc w:val="center"/>
              <w:rPr>
                <w:rFonts w:cs="Calibri"/>
                <w:color w:val="000000"/>
                <w:sz w:val="18"/>
                <w:szCs w:val="18"/>
              </w:rPr>
            </w:pPr>
            <w:r w:rsidRPr="00847FAE">
              <w:rPr>
                <w:rFonts w:cs="Calibri"/>
                <w:color w:val="000000"/>
                <w:sz w:val="18"/>
                <w:szCs w:val="18"/>
              </w:rPr>
              <w:t>34.6</w:t>
            </w:r>
          </w:p>
        </w:tc>
        <w:tc>
          <w:tcPr>
            <w:tcW w:w="992" w:type="dxa"/>
            <w:noWrap/>
            <w:vAlign w:val="center"/>
          </w:tcPr>
          <w:p w14:paraId="0B308B35" w14:textId="77777777" w:rsidR="00FD6F91" w:rsidRPr="00847FAE" w:rsidRDefault="00FD6F91" w:rsidP="00FD6F91">
            <w:pPr>
              <w:jc w:val="center"/>
              <w:rPr>
                <w:rFonts w:cs="Calibri"/>
                <w:color w:val="000000"/>
                <w:sz w:val="18"/>
                <w:szCs w:val="18"/>
              </w:rPr>
            </w:pPr>
            <w:r w:rsidRPr="00847FAE">
              <w:rPr>
                <w:rFonts w:cs="Calibri"/>
                <w:color w:val="000000"/>
                <w:sz w:val="18"/>
                <w:szCs w:val="18"/>
              </w:rPr>
              <w:t>36.2</w:t>
            </w:r>
          </w:p>
        </w:tc>
        <w:tc>
          <w:tcPr>
            <w:tcW w:w="1134" w:type="dxa"/>
            <w:noWrap/>
            <w:vAlign w:val="center"/>
          </w:tcPr>
          <w:p w14:paraId="60592D78" w14:textId="77777777" w:rsidR="00FD6F91" w:rsidRPr="00847FAE" w:rsidRDefault="00FD6F91" w:rsidP="00FD6F91">
            <w:pPr>
              <w:jc w:val="center"/>
              <w:rPr>
                <w:rFonts w:cs="Calibri"/>
                <w:color w:val="000000"/>
                <w:sz w:val="18"/>
                <w:szCs w:val="18"/>
              </w:rPr>
            </w:pPr>
            <w:r w:rsidRPr="00847FAE">
              <w:rPr>
                <w:rFonts w:cs="Calibri"/>
                <w:color w:val="000000"/>
                <w:sz w:val="18"/>
                <w:szCs w:val="18"/>
              </w:rPr>
              <w:t>1.6 pp</w:t>
            </w:r>
          </w:p>
        </w:tc>
      </w:tr>
      <w:tr w:rsidR="00FD6F91" w:rsidRPr="00847FAE" w14:paraId="0B3D8067" w14:textId="77777777" w:rsidTr="001F1F60">
        <w:trPr>
          <w:cantSplit/>
          <w:trHeight w:val="255"/>
        </w:trPr>
        <w:tc>
          <w:tcPr>
            <w:tcW w:w="2972" w:type="dxa"/>
            <w:gridSpan w:val="4"/>
            <w:tcBorders>
              <w:bottom w:val="single" w:sz="4" w:space="0" w:color="auto"/>
            </w:tcBorders>
            <w:noWrap/>
            <w:vAlign w:val="center"/>
          </w:tcPr>
          <w:p w14:paraId="1CA0FAA5"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92" w:type="dxa"/>
            <w:tcBorders>
              <w:bottom w:val="single" w:sz="4" w:space="0" w:color="auto"/>
            </w:tcBorders>
            <w:noWrap/>
            <w:vAlign w:val="center"/>
          </w:tcPr>
          <w:p w14:paraId="66BC4A6E" w14:textId="77777777" w:rsidR="00FD6F91" w:rsidRPr="00847FAE" w:rsidRDefault="00FD6F91" w:rsidP="00FD6F91">
            <w:pPr>
              <w:jc w:val="center"/>
              <w:rPr>
                <w:rFonts w:cs="Calibri"/>
                <w:color w:val="000000"/>
                <w:sz w:val="18"/>
                <w:szCs w:val="18"/>
              </w:rPr>
            </w:pPr>
            <w:r w:rsidRPr="00847FAE">
              <w:rPr>
                <w:rFonts w:cs="Calibri"/>
                <w:color w:val="000000"/>
                <w:sz w:val="18"/>
                <w:szCs w:val="18"/>
              </w:rPr>
              <w:t>11.8</w:t>
            </w:r>
          </w:p>
        </w:tc>
        <w:tc>
          <w:tcPr>
            <w:tcW w:w="993" w:type="dxa"/>
            <w:tcBorders>
              <w:bottom w:val="single" w:sz="4" w:space="0" w:color="auto"/>
            </w:tcBorders>
            <w:noWrap/>
            <w:vAlign w:val="center"/>
          </w:tcPr>
          <w:p w14:paraId="60804A88" w14:textId="77777777" w:rsidR="00FD6F91" w:rsidRPr="00847FAE" w:rsidRDefault="00FD6F91" w:rsidP="00FD6F91">
            <w:pPr>
              <w:jc w:val="center"/>
              <w:rPr>
                <w:rFonts w:cs="Calibri"/>
                <w:color w:val="000000"/>
                <w:sz w:val="18"/>
                <w:szCs w:val="18"/>
              </w:rPr>
            </w:pPr>
            <w:r w:rsidRPr="00847FAE">
              <w:rPr>
                <w:rFonts w:cs="Calibri"/>
                <w:color w:val="000000"/>
                <w:sz w:val="18"/>
                <w:szCs w:val="18"/>
              </w:rPr>
              <w:t>13.8</w:t>
            </w:r>
          </w:p>
        </w:tc>
        <w:tc>
          <w:tcPr>
            <w:tcW w:w="992" w:type="dxa"/>
            <w:tcBorders>
              <w:bottom w:val="single" w:sz="4" w:space="0" w:color="auto"/>
            </w:tcBorders>
            <w:noWrap/>
            <w:vAlign w:val="center"/>
          </w:tcPr>
          <w:p w14:paraId="34B824D0" w14:textId="77777777" w:rsidR="00FD6F91" w:rsidRPr="00847FAE" w:rsidRDefault="00FD6F91" w:rsidP="00FD6F91">
            <w:pPr>
              <w:jc w:val="center"/>
              <w:rPr>
                <w:rFonts w:cs="Calibri"/>
                <w:color w:val="000000"/>
                <w:sz w:val="18"/>
                <w:szCs w:val="18"/>
              </w:rPr>
            </w:pPr>
            <w:r w:rsidRPr="00847FAE">
              <w:rPr>
                <w:rFonts w:cs="Calibri"/>
                <w:color w:val="000000"/>
                <w:sz w:val="18"/>
                <w:szCs w:val="18"/>
              </w:rPr>
              <w:t>13.0</w:t>
            </w:r>
          </w:p>
        </w:tc>
        <w:tc>
          <w:tcPr>
            <w:tcW w:w="992" w:type="dxa"/>
            <w:tcBorders>
              <w:bottom w:val="single" w:sz="4" w:space="0" w:color="auto"/>
            </w:tcBorders>
            <w:noWrap/>
            <w:vAlign w:val="center"/>
          </w:tcPr>
          <w:p w14:paraId="17691E80" w14:textId="77777777" w:rsidR="00FD6F91" w:rsidRPr="00847FAE" w:rsidRDefault="00FD6F91" w:rsidP="00FD6F91">
            <w:pPr>
              <w:jc w:val="center"/>
              <w:rPr>
                <w:rFonts w:cs="Calibri"/>
                <w:color w:val="000000"/>
                <w:sz w:val="18"/>
                <w:szCs w:val="18"/>
              </w:rPr>
            </w:pPr>
            <w:r w:rsidRPr="00847FAE">
              <w:rPr>
                <w:rFonts w:cs="Calibri"/>
                <w:color w:val="000000"/>
                <w:sz w:val="18"/>
                <w:szCs w:val="18"/>
              </w:rPr>
              <w:t>12.6</w:t>
            </w:r>
          </w:p>
        </w:tc>
        <w:tc>
          <w:tcPr>
            <w:tcW w:w="992" w:type="dxa"/>
            <w:tcBorders>
              <w:bottom w:val="single" w:sz="4" w:space="0" w:color="auto"/>
            </w:tcBorders>
            <w:noWrap/>
            <w:vAlign w:val="center"/>
          </w:tcPr>
          <w:p w14:paraId="36C3CD4C" w14:textId="77777777" w:rsidR="00FD6F91" w:rsidRPr="00847FAE" w:rsidRDefault="00FD6F91" w:rsidP="00FD6F91">
            <w:pPr>
              <w:jc w:val="center"/>
              <w:rPr>
                <w:rFonts w:cs="Calibri"/>
                <w:color w:val="000000"/>
                <w:sz w:val="18"/>
                <w:szCs w:val="18"/>
              </w:rPr>
            </w:pPr>
            <w:r w:rsidRPr="00847FAE">
              <w:rPr>
                <w:rFonts w:cs="Calibri"/>
                <w:color w:val="000000"/>
                <w:sz w:val="18"/>
                <w:szCs w:val="18"/>
              </w:rPr>
              <w:t>15.0</w:t>
            </w:r>
          </w:p>
        </w:tc>
        <w:tc>
          <w:tcPr>
            <w:tcW w:w="1134" w:type="dxa"/>
            <w:tcBorders>
              <w:bottom w:val="single" w:sz="4" w:space="0" w:color="auto"/>
            </w:tcBorders>
            <w:noWrap/>
            <w:vAlign w:val="center"/>
          </w:tcPr>
          <w:p w14:paraId="10A7AA50" w14:textId="77777777" w:rsidR="00FD6F91" w:rsidRPr="00847FAE" w:rsidRDefault="00FD6F91" w:rsidP="00FD6F91">
            <w:pPr>
              <w:jc w:val="center"/>
              <w:rPr>
                <w:rFonts w:cs="Calibri"/>
                <w:color w:val="000000"/>
                <w:sz w:val="18"/>
                <w:szCs w:val="18"/>
              </w:rPr>
            </w:pPr>
            <w:r w:rsidRPr="00847FAE">
              <w:rPr>
                <w:rFonts w:cs="Calibri"/>
                <w:color w:val="000000"/>
                <w:sz w:val="18"/>
                <w:szCs w:val="18"/>
              </w:rPr>
              <w:t>2.4 pp</w:t>
            </w:r>
          </w:p>
        </w:tc>
      </w:tr>
      <w:tr w:rsidR="00FD6F91" w:rsidRPr="00847FAE" w14:paraId="7B704DCF" w14:textId="77777777" w:rsidTr="001F1F60">
        <w:trPr>
          <w:cantSplit/>
          <w:trHeight w:val="255"/>
        </w:trPr>
        <w:tc>
          <w:tcPr>
            <w:tcW w:w="2972" w:type="dxa"/>
            <w:gridSpan w:val="4"/>
            <w:tcBorders>
              <w:top w:val="single" w:sz="4" w:space="0" w:color="auto"/>
              <w:bottom w:val="single" w:sz="4" w:space="0" w:color="auto"/>
            </w:tcBorders>
            <w:noWrap/>
            <w:vAlign w:val="center"/>
            <w:hideMark/>
          </w:tcPr>
          <w:p w14:paraId="5173B1E1" w14:textId="77777777" w:rsidR="00FD6F91" w:rsidRPr="00847FAE" w:rsidRDefault="00FD6F91" w:rsidP="00FD6F91">
            <w:pPr>
              <w:keepNext/>
              <w:rPr>
                <w:rFonts w:cs="Calibri"/>
                <w:color w:val="000000"/>
                <w:sz w:val="18"/>
                <w:szCs w:val="18"/>
              </w:rPr>
            </w:pPr>
            <w:r w:rsidRPr="00847FAE">
              <w:rPr>
                <w:rFonts w:cs="Calibri"/>
                <w:color w:val="000000"/>
                <w:sz w:val="18"/>
                <w:szCs w:val="18"/>
              </w:rPr>
              <w:t>YOUTH JUSTICE COURT</w:t>
            </w:r>
          </w:p>
        </w:tc>
        <w:tc>
          <w:tcPr>
            <w:tcW w:w="992" w:type="dxa"/>
            <w:tcBorders>
              <w:top w:val="single" w:sz="4" w:space="0" w:color="auto"/>
              <w:bottom w:val="single" w:sz="4" w:space="0" w:color="auto"/>
            </w:tcBorders>
            <w:noWrap/>
            <w:vAlign w:val="center"/>
          </w:tcPr>
          <w:p w14:paraId="5E7BE2FF" w14:textId="77777777" w:rsidR="00FD6F91" w:rsidRPr="00847FAE" w:rsidRDefault="00FD6F91" w:rsidP="00FD6F91">
            <w:pPr>
              <w:keepNext/>
              <w:jc w:val="right"/>
              <w:rPr>
                <w:rFonts w:cs="Calibri"/>
                <w:color w:val="000000"/>
                <w:sz w:val="18"/>
                <w:szCs w:val="18"/>
              </w:rPr>
            </w:pPr>
          </w:p>
        </w:tc>
        <w:tc>
          <w:tcPr>
            <w:tcW w:w="993" w:type="dxa"/>
            <w:tcBorders>
              <w:top w:val="single" w:sz="4" w:space="0" w:color="auto"/>
              <w:bottom w:val="single" w:sz="4" w:space="0" w:color="auto"/>
            </w:tcBorders>
            <w:noWrap/>
            <w:vAlign w:val="center"/>
          </w:tcPr>
          <w:p w14:paraId="51C03DCE" w14:textId="77777777" w:rsidR="00FD6F91" w:rsidRPr="00847FAE" w:rsidRDefault="00FD6F91" w:rsidP="00FD6F91">
            <w:pPr>
              <w:keepNext/>
              <w:jc w:val="right"/>
              <w:rPr>
                <w:rFonts w:cs="Calibri"/>
                <w:color w:val="000000"/>
                <w:sz w:val="18"/>
                <w:szCs w:val="18"/>
              </w:rPr>
            </w:pPr>
          </w:p>
        </w:tc>
        <w:tc>
          <w:tcPr>
            <w:tcW w:w="992" w:type="dxa"/>
            <w:tcBorders>
              <w:top w:val="single" w:sz="4" w:space="0" w:color="auto"/>
              <w:bottom w:val="single" w:sz="4" w:space="0" w:color="auto"/>
            </w:tcBorders>
            <w:noWrap/>
            <w:vAlign w:val="center"/>
          </w:tcPr>
          <w:p w14:paraId="570FFAA0" w14:textId="77777777" w:rsidR="00FD6F91" w:rsidRPr="00847FAE" w:rsidRDefault="00FD6F91" w:rsidP="00FD6F91">
            <w:pPr>
              <w:keepNext/>
              <w:jc w:val="right"/>
              <w:rPr>
                <w:rFonts w:cs="Calibri"/>
                <w:color w:val="000000"/>
                <w:sz w:val="18"/>
                <w:szCs w:val="18"/>
              </w:rPr>
            </w:pPr>
          </w:p>
        </w:tc>
        <w:tc>
          <w:tcPr>
            <w:tcW w:w="992" w:type="dxa"/>
            <w:tcBorders>
              <w:top w:val="single" w:sz="4" w:space="0" w:color="auto"/>
              <w:bottom w:val="single" w:sz="4" w:space="0" w:color="auto"/>
            </w:tcBorders>
            <w:noWrap/>
            <w:vAlign w:val="center"/>
          </w:tcPr>
          <w:p w14:paraId="1B0EB075" w14:textId="77777777" w:rsidR="00FD6F91" w:rsidRPr="00847FAE" w:rsidRDefault="00FD6F91" w:rsidP="00FD6F91">
            <w:pPr>
              <w:keepNext/>
              <w:jc w:val="right"/>
              <w:rPr>
                <w:rFonts w:cs="Calibri"/>
                <w:color w:val="000000"/>
                <w:sz w:val="18"/>
                <w:szCs w:val="18"/>
              </w:rPr>
            </w:pPr>
          </w:p>
        </w:tc>
        <w:tc>
          <w:tcPr>
            <w:tcW w:w="992" w:type="dxa"/>
            <w:tcBorders>
              <w:top w:val="single" w:sz="4" w:space="0" w:color="auto"/>
              <w:bottom w:val="single" w:sz="4" w:space="0" w:color="auto"/>
            </w:tcBorders>
            <w:noWrap/>
            <w:vAlign w:val="center"/>
          </w:tcPr>
          <w:p w14:paraId="1D94344D" w14:textId="77777777" w:rsidR="00FD6F91" w:rsidRPr="00847FAE" w:rsidRDefault="00FD6F91" w:rsidP="00FD6F91">
            <w:pPr>
              <w:keepNext/>
              <w:jc w:val="right"/>
              <w:rPr>
                <w:rFonts w:cs="Calibri"/>
                <w:color w:val="000000"/>
                <w:sz w:val="18"/>
                <w:szCs w:val="18"/>
              </w:rPr>
            </w:pPr>
          </w:p>
        </w:tc>
        <w:tc>
          <w:tcPr>
            <w:tcW w:w="1134" w:type="dxa"/>
            <w:tcBorders>
              <w:top w:val="single" w:sz="4" w:space="0" w:color="auto"/>
              <w:bottom w:val="single" w:sz="4" w:space="0" w:color="auto"/>
            </w:tcBorders>
            <w:noWrap/>
            <w:vAlign w:val="center"/>
          </w:tcPr>
          <w:p w14:paraId="59A71F80" w14:textId="77777777" w:rsidR="00FD6F91" w:rsidRPr="00847FAE" w:rsidRDefault="00FD6F91" w:rsidP="00FD6F91">
            <w:pPr>
              <w:keepNext/>
              <w:jc w:val="center"/>
              <w:rPr>
                <w:rFonts w:cs="Calibri"/>
                <w:iCs/>
                <w:color w:val="000000"/>
                <w:sz w:val="18"/>
                <w:szCs w:val="18"/>
              </w:rPr>
            </w:pPr>
          </w:p>
        </w:tc>
      </w:tr>
      <w:tr w:rsidR="00FD6F91" w:rsidRPr="00847FAE" w14:paraId="2888EDA0" w14:textId="77777777" w:rsidTr="001F1F60">
        <w:trPr>
          <w:cantSplit/>
          <w:trHeight w:val="255"/>
        </w:trPr>
        <w:tc>
          <w:tcPr>
            <w:tcW w:w="2972" w:type="dxa"/>
            <w:gridSpan w:val="4"/>
            <w:tcBorders>
              <w:top w:val="single" w:sz="4" w:space="0" w:color="auto"/>
            </w:tcBorders>
            <w:shd w:val="clear" w:color="auto" w:fill="D9D9D9" w:themeFill="background1" w:themeFillShade="D9"/>
            <w:noWrap/>
            <w:vAlign w:val="center"/>
            <w:hideMark/>
          </w:tcPr>
          <w:p w14:paraId="1E65F603"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Total lodged pending completion</w:t>
            </w:r>
          </w:p>
        </w:tc>
        <w:tc>
          <w:tcPr>
            <w:tcW w:w="992" w:type="dxa"/>
            <w:tcBorders>
              <w:top w:val="single" w:sz="4" w:space="0" w:color="auto"/>
            </w:tcBorders>
            <w:shd w:val="clear" w:color="auto" w:fill="D9D9D9" w:themeFill="background1" w:themeFillShade="D9"/>
            <w:noWrap/>
            <w:vAlign w:val="center"/>
          </w:tcPr>
          <w:p w14:paraId="489B95A6" w14:textId="77777777" w:rsidR="00FD6F91" w:rsidRPr="00847FAE" w:rsidRDefault="00FD6F91" w:rsidP="00FD6F91">
            <w:pPr>
              <w:jc w:val="center"/>
              <w:rPr>
                <w:rFonts w:cs="Calibri"/>
                <w:color w:val="000000"/>
                <w:sz w:val="18"/>
                <w:szCs w:val="18"/>
              </w:rPr>
            </w:pPr>
            <w:r w:rsidRPr="00847FAE">
              <w:rPr>
                <w:rFonts w:cs="Calibri"/>
                <w:color w:val="000000"/>
                <w:sz w:val="18"/>
                <w:szCs w:val="18"/>
              </w:rPr>
              <w:t>412</w:t>
            </w:r>
          </w:p>
        </w:tc>
        <w:tc>
          <w:tcPr>
            <w:tcW w:w="993" w:type="dxa"/>
            <w:tcBorders>
              <w:top w:val="single" w:sz="4" w:space="0" w:color="auto"/>
            </w:tcBorders>
            <w:shd w:val="clear" w:color="auto" w:fill="D9D9D9" w:themeFill="background1" w:themeFillShade="D9"/>
            <w:noWrap/>
            <w:vAlign w:val="center"/>
          </w:tcPr>
          <w:p w14:paraId="13C8E2DD" w14:textId="77777777" w:rsidR="00FD6F91" w:rsidRPr="00847FAE" w:rsidRDefault="00FD6F91" w:rsidP="00FD6F91">
            <w:pPr>
              <w:jc w:val="center"/>
              <w:rPr>
                <w:rFonts w:cs="Calibri"/>
                <w:color w:val="000000"/>
                <w:sz w:val="18"/>
                <w:szCs w:val="18"/>
              </w:rPr>
            </w:pPr>
            <w:r w:rsidRPr="00847FAE">
              <w:rPr>
                <w:rFonts w:cs="Calibri"/>
                <w:color w:val="000000"/>
                <w:sz w:val="18"/>
                <w:szCs w:val="18"/>
              </w:rPr>
              <w:t>438</w:t>
            </w:r>
          </w:p>
        </w:tc>
        <w:tc>
          <w:tcPr>
            <w:tcW w:w="992" w:type="dxa"/>
            <w:tcBorders>
              <w:top w:val="single" w:sz="4" w:space="0" w:color="auto"/>
            </w:tcBorders>
            <w:shd w:val="clear" w:color="auto" w:fill="D9D9D9" w:themeFill="background1" w:themeFillShade="D9"/>
            <w:noWrap/>
            <w:vAlign w:val="center"/>
          </w:tcPr>
          <w:p w14:paraId="1CB3FECC" w14:textId="77777777" w:rsidR="00FD6F91" w:rsidRPr="00847FAE" w:rsidRDefault="00FD6F91" w:rsidP="00FD6F91">
            <w:pPr>
              <w:jc w:val="center"/>
              <w:rPr>
                <w:rFonts w:cs="Calibri"/>
                <w:color w:val="000000"/>
                <w:sz w:val="18"/>
                <w:szCs w:val="18"/>
              </w:rPr>
            </w:pPr>
            <w:r w:rsidRPr="00847FAE">
              <w:rPr>
                <w:rFonts w:cs="Calibri"/>
                <w:color w:val="000000"/>
                <w:sz w:val="18"/>
                <w:szCs w:val="18"/>
              </w:rPr>
              <w:t>354</w:t>
            </w:r>
          </w:p>
        </w:tc>
        <w:tc>
          <w:tcPr>
            <w:tcW w:w="992" w:type="dxa"/>
            <w:tcBorders>
              <w:top w:val="single" w:sz="4" w:space="0" w:color="auto"/>
            </w:tcBorders>
            <w:shd w:val="clear" w:color="auto" w:fill="D9D9D9" w:themeFill="background1" w:themeFillShade="D9"/>
            <w:noWrap/>
            <w:vAlign w:val="center"/>
          </w:tcPr>
          <w:p w14:paraId="404288AA" w14:textId="77777777" w:rsidR="00FD6F91" w:rsidRPr="00847FAE" w:rsidRDefault="00FD6F91" w:rsidP="00FD6F91">
            <w:pPr>
              <w:jc w:val="center"/>
              <w:rPr>
                <w:rFonts w:cs="Calibri"/>
                <w:color w:val="000000"/>
                <w:sz w:val="18"/>
                <w:szCs w:val="18"/>
              </w:rPr>
            </w:pPr>
            <w:r w:rsidRPr="00847FAE">
              <w:rPr>
                <w:rFonts w:cs="Calibri"/>
                <w:color w:val="000000"/>
                <w:sz w:val="18"/>
                <w:szCs w:val="18"/>
              </w:rPr>
              <w:t>442</w:t>
            </w:r>
          </w:p>
        </w:tc>
        <w:tc>
          <w:tcPr>
            <w:tcW w:w="992" w:type="dxa"/>
            <w:tcBorders>
              <w:top w:val="single" w:sz="4" w:space="0" w:color="auto"/>
            </w:tcBorders>
            <w:shd w:val="clear" w:color="auto" w:fill="D9D9D9" w:themeFill="background1" w:themeFillShade="D9"/>
            <w:noWrap/>
            <w:vAlign w:val="center"/>
          </w:tcPr>
          <w:p w14:paraId="5381B035" w14:textId="77777777" w:rsidR="00FD6F91" w:rsidRPr="00847FAE" w:rsidRDefault="00FD6F91" w:rsidP="00FD6F91">
            <w:pPr>
              <w:jc w:val="center"/>
              <w:rPr>
                <w:rFonts w:cs="Calibri"/>
                <w:color w:val="000000"/>
                <w:sz w:val="18"/>
                <w:szCs w:val="18"/>
              </w:rPr>
            </w:pPr>
            <w:r w:rsidRPr="00847FAE">
              <w:rPr>
                <w:rFonts w:cs="Calibri"/>
                <w:color w:val="000000"/>
                <w:sz w:val="18"/>
                <w:szCs w:val="18"/>
              </w:rPr>
              <w:t>413</w:t>
            </w:r>
          </w:p>
        </w:tc>
        <w:tc>
          <w:tcPr>
            <w:tcW w:w="1134" w:type="dxa"/>
            <w:tcBorders>
              <w:top w:val="single" w:sz="4" w:space="0" w:color="auto"/>
            </w:tcBorders>
            <w:shd w:val="clear" w:color="auto" w:fill="D9D9D9" w:themeFill="background1" w:themeFillShade="D9"/>
            <w:noWrap/>
            <w:vAlign w:val="center"/>
          </w:tcPr>
          <w:p w14:paraId="3151C1EA" w14:textId="77777777" w:rsidR="00FD6F91" w:rsidRPr="00847FAE" w:rsidRDefault="00FD6F91" w:rsidP="00FD6F91">
            <w:pPr>
              <w:jc w:val="center"/>
              <w:rPr>
                <w:rFonts w:cs="Calibri"/>
                <w:color w:val="000000"/>
                <w:sz w:val="18"/>
                <w:szCs w:val="18"/>
              </w:rPr>
            </w:pPr>
            <w:r w:rsidRPr="00847FAE">
              <w:rPr>
                <w:rFonts w:cs="Calibri"/>
                <w:color w:val="000000"/>
                <w:sz w:val="18"/>
                <w:szCs w:val="18"/>
              </w:rPr>
              <w:t>-6.6%</w:t>
            </w:r>
          </w:p>
        </w:tc>
      </w:tr>
      <w:tr w:rsidR="00FD6F91" w:rsidRPr="00847FAE" w14:paraId="3D497E87" w14:textId="77777777" w:rsidTr="001F1F60">
        <w:trPr>
          <w:cantSplit/>
          <w:trHeight w:val="255"/>
        </w:trPr>
        <w:tc>
          <w:tcPr>
            <w:tcW w:w="2972" w:type="dxa"/>
            <w:gridSpan w:val="4"/>
            <w:noWrap/>
            <w:vAlign w:val="center"/>
            <w:hideMark/>
          </w:tcPr>
          <w:p w14:paraId="2810CEC5"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w:t>
            </w:r>
            <w:r w:rsidRPr="00847FAE">
              <w:rPr>
                <w:rFonts w:cs="Calibri"/>
                <w:iCs/>
                <w:color w:val="000000"/>
                <w:sz w:val="18"/>
                <w:szCs w:val="18"/>
              </w:rPr>
              <w:t>Between 6 and 12 months</w:t>
            </w:r>
          </w:p>
        </w:tc>
        <w:tc>
          <w:tcPr>
            <w:tcW w:w="992" w:type="dxa"/>
            <w:noWrap/>
            <w:vAlign w:val="center"/>
          </w:tcPr>
          <w:p w14:paraId="27D92586" w14:textId="77777777" w:rsidR="00FD6F91" w:rsidRPr="00847FAE" w:rsidRDefault="00FD6F91" w:rsidP="00FD6F91">
            <w:pPr>
              <w:jc w:val="center"/>
              <w:rPr>
                <w:rFonts w:cs="Calibri"/>
                <w:color w:val="000000"/>
                <w:sz w:val="18"/>
                <w:szCs w:val="18"/>
              </w:rPr>
            </w:pPr>
            <w:r w:rsidRPr="00847FAE">
              <w:rPr>
                <w:rFonts w:cs="Calibri"/>
                <w:color w:val="000000"/>
                <w:sz w:val="18"/>
                <w:szCs w:val="18"/>
              </w:rPr>
              <w:t>48</w:t>
            </w:r>
          </w:p>
        </w:tc>
        <w:tc>
          <w:tcPr>
            <w:tcW w:w="993" w:type="dxa"/>
            <w:noWrap/>
            <w:vAlign w:val="center"/>
          </w:tcPr>
          <w:p w14:paraId="508143DF" w14:textId="77777777" w:rsidR="00FD6F91" w:rsidRPr="00847FAE" w:rsidRDefault="00FD6F91" w:rsidP="00FD6F91">
            <w:pPr>
              <w:jc w:val="center"/>
              <w:rPr>
                <w:rFonts w:cs="Calibri"/>
                <w:color w:val="000000"/>
                <w:sz w:val="18"/>
                <w:szCs w:val="18"/>
              </w:rPr>
            </w:pPr>
            <w:r w:rsidRPr="00847FAE">
              <w:rPr>
                <w:rFonts w:cs="Calibri"/>
                <w:color w:val="000000"/>
                <w:sz w:val="18"/>
                <w:szCs w:val="18"/>
              </w:rPr>
              <w:t>69</w:t>
            </w:r>
          </w:p>
        </w:tc>
        <w:tc>
          <w:tcPr>
            <w:tcW w:w="992" w:type="dxa"/>
            <w:noWrap/>
            <w:vAlign w:val="center"/>
          </w:tcPr>
          <w:p w14:paraId="0A1592B7" w14:textId="77777777" w:rsidR="00FD6F91" w:rsidRPr="00847FAE" w:rsidRDefault="00FD6F91" w:rsidP="00FD6F91">
            <w:pPr>
              <w:jc w:val="center"/>
              <w:rPr>
                <w:rFonts w:cs="Calibri"/>
                <w:color w:val="000000"/>
                <w:sz w:val="18"/>
                <w:szCs w:val="18"/>
              </w:rPr>
            </w:pPr>
            <w:r w:rsidRPr="00847FAE">
              <w:rPr>
                <w:rFonts w:cs="Calibri"/>
                <w:color w:val="000000"/>
                <w:sz w:val="18"/>
                <w:szCs w:val="18"/>
              </w:rPr>
              <w:t>39</w:t>
            </w:r>
          </w:p>
        </w:tc>
        <w:tc>
          <w:tcPr>
            <w:tcW w:w="992" w:type="dxa"/>
            <w:noWrap/>
            <w:vAlign w:val="center"/>
          </w:tcPr>
          <w:p w14:paraId="78AA1BA4" w14:textId="77777777" w:rsidR="00FD6F91" w:rsidRPr="00847FAE" w:rsidRDefault="00FD6F91" w:rsidP="00FD6F91">
            <w:pPr>
              <w:jc w:val="center"/>
              <w:rPr>
                <w:rFonts w:cs="Calibri"/>
                <w:color w:val="000000"/>
                <w:sz w:val="18"/>
                <w:szCs w:val="18"/>
              </w:rPr>
            </w:pPr>
            <w:r w:rsidRPr="00847FAE">
              <w:rPr>
                <w:rFonts w:cs="Calibri"/>
                <w:color w:val="000000"/>
                <w:sz w:val="18"/>
                <w:szCs w:val="18"/>
              </w:rPr>
              <w:t>48</w:t>
            </w:r>
          </w:p>
        </w:tc>
        <w:tc>
          <w:tcPr>
            <w:tcW w:w="992" w:type="dxa"/>
            <w:noWrap/>
            <w:vAlign w:val="center"/>
          </w:tcPr>
          <w:p w14:paraId="30F36661" w14:textId="77777777" w:rsidR="00FD6F91" w:rsidRPr="00847FAE" w:rsidRDefault="00FD6F91" w:rsidP="00FD6F91">
            <w:pPr>
              <w:jc w:val="center"/>
              <w:rPr>
                <w:rFonts w:cs="Calibri"/>
                <w:color w:val="000000"/>
                <w:sz w:val="18"/>
                <w:szCs w:val="18"/>
              </w:rPr>
            </w:pPr>
            <w:r w:rsidRPr="00847FAE">
              <w:rPr>
                <w:rFonts w:cs="Calibri"/>
                <w:color w:val="000000"/>
                <w:sz w:val="18"/>
                <w:szCs w:val="18"/>
              </w:rPr>
              <w:t>55</w:t>
            </w:r>
          </w:p>
        </w:tc>
        <w:tc>
          <w:tcPr>
            <w:tcW w:w="1134" w:type="dxa"/>
            <w:noWrap/>
            <w:vAlign w:val="center"/>
          </w:tcPr>
          <w:p w14:paraId="04AB5E33" w14:textId="77777777" w:rsidR="00FD6F91" w:rsidRPr="00847FAE" w:rsidRDefault="00FD6F91" w:rsidP="00FD6F91">
            <w:pPr>
              <w:jc w:val="center"/>
              <w:rPr>
                <w:rFonts w:cs="Calibri"/>
                <w:color w:val="000000"/>
                <w:sz w:val="18"/>
                <w:szCs w:val="18"/>
              </w:rPr>
            </w:pPr>
            <w:r w:rsidRPr="00847FAE">
              <w:rPr>
                <w:rFonts w:cs="Calibri"/>
                <w:color w:val="000000"/>
                <w:sz w:val="18"/>
                <w:szCs w:val="18"/>
              </w:rPr>
              <w:t>14.6%</w:t>
            </w:r>
          </w:p>
        </w:tc>
      </w:tr>
      <w:tr w:rsidR="00FD6F91" w:rsidRPr="00847FAE" w14:paraId="1A1583DD" w14:textId="77777777" w:rsidTr="001F1F60">
        <w:trPr>
          <w:cantSplit/>
          <w:trHeight w:val="255"/>
        </w:trPr>
        <w:tc>
          <w:tcPr>
            <w:tcW w:w="2972" w:type="dxa"/>
            <w:gridSpan w:val="4"/>
            <w:noWrap/>
            <w:vAlign w:val="center"/>
            <w:hideMark/>
          </w:tcPr>
          <w:p w14:paraId="4787DD21"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Greater than 12 months</w:t>
            </w:r>
          </w:p>
        </w:tc>
        <w:tc>
          <w:tcPr>
            <w:tcW w:w="992" w:type="dxa"/>
            <w:noWrap/>
            <w:vAlign w:val="center"/>
          </w:tcPr>
          <w:p w14:paraId="423B1DE5" w14:textId="77777777" w:rsidR="00FD6F91" w:rsidRPr="00847FAE" w:rsidRDefault="00FD6F91" w:rsidP="00FD6F91">
            <w:pPr>
              <w:jc w:val="center"/>
              <w:rPr>
                <w:rFonts w:cs="Calibri"/>
                <w:color w:val="000000"/>
                <w:sz w:val="18"/>
                <w:szCs w:val="18"/>
              </w:rPr>
            </w:pPr>
            <w:r w:rsidRPr="00847FAE">
              <w:rPr>
                <w:rFonts w:cs="Calibri"/>
                <w:color w:val="000000"/>
                <w:sz w:val="18"/>
                <w:szCs w:val="18"/>
              </w:rPr>
              <w:t>43</w:t>
            </w:r>
          </w:p>
        </w:tc>
        <w:tc>
          <w:tcPr>
            <w:tcW w:w="993" w:type="dxa"/>
            <w:noWrap/>
            <w:vAlign w:val="center"/>
          </w:tcPr>
          <w:p w14:paraId="70F6AB09" w14:textId="77777777" w:rsidR="00FD6F91" w:rsidRPr="00847FAE" w:rsidRDefault="00FD6F91" w:rsidP="00FD6F91">
            <w:pPr>
              <w:jc w:val="center"/>
              <w:rPr>
                <w:rFonts w:cs="Calibri"/>
                <w:color w:val="000000"/>
                <w:sz w:val="18"/>
                <w:szCs w:val="18"/>
              </w:rPr>
            </w:pPr>
            <w:r w:rsidRPr="00847FAE">
              <w:rPr>
                <w:rFonts w:cs="Calibri"/>
                <w:color w:val="000000"/>
                <w:sz w:val="18"/>
                <w:szCs w:val="18"/>
              </w:rPr>
              <w:t>53</w:t>
            </w:r>
          </w:p>
        </w:tc>
        <w:tc>
          <w:tcPr>
            <w:tcW w:w="992" w:type="dxa"/>
            <w:noWrap/>
            <w:vAlign w:val="center"/>
          </w:tcPr>
          <w:p w14:paraId="420C7819" w14:textId="77777777" w:rsidR="00FD6F91" w:rsidRPr="00847FAE" w:rsidRDefault="00FD6F91" w:rsidP="00FD6F91">
            <w:pPr>
              <w:jc w:val="center"/>
              <w:rPr>
                <w:rFonts w:cs="Calibri"/>
                <w:color w:val="000000"/>
                <w:sz w:val="18"/>
                <w:szCs w:val="18"/>
              </w:rPr>
            </w:pPr>
            <w:r w:rsidRPr="00847FAE">
              <w:rPr>
                <w:rFonts w:cs="Calibri"/>
                <w:color w:val="000000"/>
                <w:sz w:val="18"/>
                <w:szCs w:val="18"/>
              </w:rPr>
              <w:t>47</w:t>
            </w:r>
          </w:p>
        </w:tc>
        <w:tc>
          <w:tcPr>
            <w:tcW w:w="992" w:type="dxa"/>
            <w:noWrap/>
            <w:vAlign w:val="center"/>
          </w:tcPr>
          <w:p w14:paraId="73682C6C" w14:textId="77777777" w:rsidR="00FD6F91" w:rsidRPr="00847FAE" w:rsidRDefault="00FD6F91" w:rsidP="00FD6F91">
            <w:pPr>
              <w:jc w:val="center"/>
              <w:rPr>
                <w:rFonts w:cs="Calibri"/>
                <w:color w:val="000000"/>
                <w:sz w:val="18"/>
                <w:szCs w:val="18"/>
              </w:rPr>
            </w:pPr>
            <w:r w:rsidRPr="00847FAE">
              <w:rPr>
                <w:rFonts w:cs="Calibri"/>
                <w:color w:val="000000"/>
                <w:sz w:val="18"/>
                <w:szCs w:val="18"/>
              </w:rPr>
              <w:t>24</w:t>
            </w:r>
          </w:p>
        </w:tc>
        <w:tc>
          <w:tcPr>
            <w:tcW w:w="992" w:type="dxa"/>
            <w:noWrap/>
            <w:vAlign w:val="center"/>
          </w:tcPr>
          <w:p w14:paraId="7E7D272A" w14:textId="77777777" w:rsidR="00FD6F91" w:rsidRPr="00847FAE" w:rsidRDefault="00FD6F91" w:rsidP="00FD6F91">
            <w:pPr>
              <w:jc w:val="center"/>
              <w:rPr>
                <w:rFonts w:cs="Calibri"/>
                <w:color w:val="000000"/>
                <w:sz w:val="18"/>
                <w:szCs w:val="18"/>
              </w:rPr>
            </w:pPr>
            <w:r w:rsidRPr="00847FAE">
              <w:rPr>
                <w:rFonts w:cs="Calibri"/>
                <w:color w:val="000000"/>
                <w:sz w:val="18"/>
                <w:szCs w:val="18"/>
              </w:rPr>
              <w:t>29</w:t>
            </w:r>
          </w:p>
        </w:tc>
        <w:tc>
          <w:tcPr>
            <w:tcW w:w="1134" w:type="dxa"/>
            <w:noWrap/>
            <w:vAlign w:val="center"/>
          </w:tcPr>
          <w:p w14:paraId="225460E2" w14:textId="77777777" w:rsidR="00FD6F91" w:rsidRPr="00847FAE" w:rsidRDefault="00FD6F91" w:rsidP="00FD6F91">
            <w:pPr>
              <w:jc w:val="center"/>
              <w:rPr>
                <w:rFonts w:cs="Calibri"/>
                <w:color w:val="000000"/>
                <w:sz w:val="18"/>
                <w:szCs w:val="18"/>
              </w:rPr>
            </w:pPr>
            <w:r w:rsidRPr="00847FAE">
              <w:rPr>
                <w:rFonts w:cs="Calibri"/>
                <w:color w:val="000000"/>
                <w:sz w:val="18"/>
                <w:szCs w:val="18"/>
              </w:rPr>
              <w:t>20.8%</w:t>
            </w:r>
          </w:p>
        </w:tc>
      </w:tr>
      <w:tr w:rsidR="00FD6F91" w:rsidRPr="00847FAE" w14:paraId="0E5B192D" w14:textId="77777777" w:rsidTr="001F1F60">
        <w:trPr>
          <w:cantSplit/>
          <w:trHeight w:val="255"/>
        </w:trPr>
        <w:tc>
          <w:tcPr>
            <w:tcW w:w="2972" w:type="dxa"/>
            <w:gridSpan w:val="4"/>
            <w:shd w:val="clear" w:color="auto" w:fill="D9D9D9" w:themeFill="background1" w:themeFillShade="D9"/>
            <w:noWrap/>
            <w:vAlign w:val="center"/>
          </w:tcPr>
          <w:p w14:paraId="46706CE2"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 xml:space="preserve">Backlog indicator </w:t>
            </w:r>
          </w:p>
        </w:tc>
        <w:tc>
          <w:tcPr>
            <w:tcW w:w="992" w:type="dxa"/>
            <w:shd w:val="clear" w:color="auto" w:fill="D9D9D9" w:themeFill="background1" w:themeFillShade="D9"/>
            <w:noWrap/>
            <w:vAlign w:val="center"/>
          </w:tcPr>
          <w:p w14:paraId="620DEB66" w14:textId="77777777" w:rsidR="00FD6F91" w:rsidRPr="00847FAE" w:rsidRDefault="00FD6F91" w:rsidP="00FD6F91">
            <w:pPr>
              <w:keepNext/>
              <w:jc w:val="right"/>
              <w:rPr>
                <w:rFonts w:cs="Calibri"/>
                <w:iCs/>
                <w:color w:val="000000"/>
                <w:sz w:val="18"/>
                <w:szCs w:val="18"/>
              </w:rPr>
            </w:pPr>
          </w:p>
        </w:tc>
        <w:tc>
          <w:tcPr>
            <w:tcW w:w="993" w:type="dxa"/>
            <w:shd w:val="clear" w:color="auto" w:fill="D9D9D9" w:themeFill="background1" w:themeFillShade="D9"/>
            <w:noWrap/>
            <w:vAlign w:val="center"/>
          </w:tcPr>
          <w:p w14:paraId="4B0C84F7"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center"/>
          </w:tcPr>
          <w:p w14:paraId="3A55DA90"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center"/>
          </w:tcPr>
          <w:p w14:paraId="0AAE9032"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center"/>
          </w:tcPr>
          <w:p w14:paraId="65DE8562" w14:textId="77777777" w:rsidR="00FD6F91" w:rsidRPr="00847FAE" w:rsidRDefault="00FD6F91" w:rsidP="00FD6F91">
            <w:pPr>
              <w:keepNext/>
              <w:jc w:val="right"/>
              <w:rPr>
                <w:rFonts w:cs="Calibri"/>
                <w:iCs/>
                <w:color w:val="000000"/>
                <w:sz w:val="18"/>
                <w:szCs w:val="18"/>
              </w:rPr>
            </w:pPr>
          </w:p>
        </w:tc>
        <w:tc>
          <w:tcPr>
            <w:tcW w:w="1134" w:type="dxa"/>
            <w:shd w:val="clear" w:color="auto" w:fill="D9D9D9" w:themeFill="background1" w:themeFillShade="D9"/>
            <w:noWrap/>
            <w:vAlign w:val="center"/>
          </w:tcPr>
          <w:p w14:paraId="24AFFBC9" w14:textId="77777777" w:rsidR="00FD6F91" w:rsidRPr="00847FAE" w:rsidRDefault="00FD6F91" w:rsidP="00FD6F91">
            <w:pPr>
              <w:keepNext/>
              <w:jc w:val="center"/>
              <w:rPr>
                <w:rFonts w:cs="Calibri"/>
                <w:iCs/>
                <w:color w:val="000000"/>
                <w:sz w:val="18"/>
                <w:szCs w:val="18"/>
              </w:rPr>
            </w:pPr>
          </w:p>
        </w:tc>
      </w:tr>
      <w:tr w:rsidR="00FD6F91" w:rsidRPr="00847FAE" w14:paraId="1A271D8D" w14:textId="77777777" w:rsidTr="001F1F60">
        <w:trPr>
          <w:cantSplit/>
          <w:trHeight w:val="255"/>
        </w:trPr>
        <w:tc>
          <w:tcPr>
            <w:tcW w:w="2972" w:type="dxa"/>
            <w:gridSpan w:val="4"/>
            <w:noWrap/>
            <w:vAlign w:val="center"/>
          </w:tcPr>
          <w:p w14:paraId="57E18DF1"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92" w:type="dxa"/>
            <w:noWrap/>
            <w:vAlign w:val="center"/>
          </w:tcPr>
          <w:p w14:paraId="030F320B" w14:textId="77777777" w:rsidR="00FD6F91" w:rsidRPr="00847FAE" w:rsidRDefault="00FD6F91" w:rsidP="00FD6F91">
            <w:pPr>
              <w:jc w:val="center"/>
              <w:rPr>
                <w:rFonts w:cs="Calibri"/>
                <w:color w:val="000000"/>
                <w:sz w:val="18"/>
                <w:szCs w:val="18"/>
              </w:rPr>
            </w:pPr>
            <w:r w:rsidRPr="00847FAE">
              <w:rPr>
                <w:rFonts w:cs="Calibri"/>
                <w:color w:val="000000"/>
                <w:sz w:val="18"/>
                <w:szCs w:val="18"/>
              </w:rPr>
              <w:t>22.1</w:t>
            </w:r>
          </w:p>
        </w:tc>
        <w:tc>
          <w:tcPr>
            <w:tcW w:w="993" w:type="dxa"/>
            <w:noWrap/>
            <w:vAlign w:val="center"/>
          </w:tcPr>
          <w:p w14:paraId="78FF7B27" w14:textId="77777777" w:rsidR="00FD6F91" w:rsidRPr="00847FAE" w:rsidRDefault="00FD6F91" w:rsidP="00FD6F91">
            <w:pPr>
              <w:jc w:val="center"/>
              <w:rPr>
                <w:rFonts w:cs="Calibri"/>
                <w:color w:val="000000"/>
                <w:sz w:val="18"/>
                <w:szCs w:val="18"/>
              </w:rPr>
            </w:pPr>
            <w:r w:rsidRPr="00847FAE">
              <w:rPr>
                <w:rFonts w:cs="Calibri"/>
                <w:color w:val="000000"/>
                <w:sz w:val="18"/>
                <w:szCs w:val="18"/>
              </w:rPr>
              <w:t>27.9</w:t>
            </w:r>
          </w:p>
        </w:tc>
        <w:tc>
          <w:tcPr>
            <w:tcW w:w="992" w:type="dxa"/>
            <w:noWrap/>
            <w:vAlign w:val="center"/>
          </w:tcPr>
          <w:p w14:paraId="7C2478FC" w14:textId="77777777" w:rsidR="00FD6F91" w:rsidRPr="00847FAE" w:rsidRDefault="00FD6F91" w:rsidP="00FD6F91">
            <w:pPr>
              <w:jc w:val="center"/>
              <w:rPr>
                <w:rFonts w:cs="Calibri"/>
                <w:color w:val="000000"/>
                <w:sz w:val="18"/>
                <w:szCs w:val="18"/>
              </w:rPr>
            </w:pPr>
            <w:r w:rsidRPr="00847FAE">
              <w:rPr>
                <w:rFonts w:cs="Calibri"/>
                <w:color w:val="000000"/>
                <w:sz w:val="18"/>
                <w:szCs w:val="18"/>
              </w:rPr>
              <w:t>24.3</w:t>
            </w:r>
          </w:p>
        </w:tc>
        <w:tc>
          <w:tcPr>
            <w:tcW w:w="992" w:type="dxa"/>
            <w:noWrap/>
            <w:vAlign w:val="center"/>
          </w:tcPr>
          <w:p w14:paraId="1E424905" w14:textId="77777777" w:rsidR="00FD6F91" w:rsidRPr="00847FAE" w:rsidRDefault="00FD6F91" w:rsidP="00FD6F91">
            <w:pPr>
              <w:jc w:val="center"/>
              <w:rPr>
                <w:rFonts w:cs="Calibri"/>
                <w:color w:val="000000"/>
                <w:sz w:val="18"/>
                <w:szCs w:val="18"/>
              </w:rPr>
            </w:pPr>
            <w:r w:rsidRPr="00847FAE">
              <w:rPr>
                <w:rFonts w:cs="Calibri"/>
                <w:color w:val="000000"/>
                <w:sz w:val="18"/>
                <w:szCs w:val="18"/>
              </w:rPr>
              <w:t>16.3</w:t>
            </w:r>
          </w:p>
        </w:tc>
        <w:tc>
          <w:tcPr>
            <w:tcW w:w="992" w:type="dxa"/>
            <w:noWrap/>
            <w:vAlign w:val="center"/>
          </w:tcPr>
          <w:p w14:paraId="6FF806D3" w14:textId="77777777" w:rsidR="00FD6F91" w:rsidRPr="00847FAE" w:rsidRDefault="00FD6F91" w:rsidP="00FD6F91">
            <w:pPr>
              <w:jc w:val="center"/>
              <w:rPr>
                <w:rFonts w:cs="Calibri"/>
                <w:color w:val="000000"/>
                <w:sz w:val="18"/>
                <w:szCs w:val="18"/>
              </w:rPr>
            </w:pPr>
            <w:r w:rsidRPr="00847FAE">
              <w:rPr>
                <w:rFonts w:cs="Calibri"/>
                <w:color w:val="000000"/>
                <w:sz w:val="18"/>
                <w:szCs w:val="18"/>
              </w:rPr>
              <w:t>20.3</w:t>
            </w:r>
          </w:p>
        </w:tc>
        <w:tc>
          <w:tcPr>
            <w:tcW w:w="1134" w:type="dxa"/>
            <w:noWrap/>
            <w:vAlign w:val="center"/>
          </w:tcPr>
          <w:p w14:paraId="192ACDD5" w14:textId="77777777" w:rsidR="00FD6F91" w:rsidRPr="00847FAE" w:rsidRDefault="00FD6F91" w:rsidP="00FD6F91">
            <w:pPr>
              <w:jc w:val="center"/>
              <w:rPr>
                <w:rFonts w:cs="Calibri"/>
                <w:color w:val="000000"/>
                <w:sz w:val="18"/>
                <w:szCs w:val="18"/>
              </w:rPr>
            </w:pPr>
            <w:r w:rsidRPr="00847FAE">
              <w:rPr>
                <w:rFonts w:cs="Calibri"/>
                <w:color w:val="000000"/>
                <w:sz w:val="18"/>
                <w:szCs w:val="18"/>
              </w:rPr>
              <w:t>4.0 pp</w:t>
            </w:r>
          </w:p>
        </w:tc>
      </w:tr>
      <w:tr w:rsidR="00FD6F91" w:rsidRPr="00847FAE" w14:paraId="6878C5CA" w14:textId="77777777" w:rsidTr="001F1F60">
        <w:trPr>
          <w:cantSplit/>
          <w:trHeight w:val="255"/>
        </w:trPr>
        <w:tc>
          <w:tcPr>
            <w:tcW w:w="2972" w:type="dxa"/>
            <w:gridSpan w:val="4"/>
            <w:tcBorders>
              <w:bottom w:val="single" w:sz="4" w:space="0" w:color="auto"/>
            </w:tcBorders>
            <w:noWrap/>
            <w:vAlign w:val="center"/>
          </w:tcPr>
          <w:p w14:paraId="69A57466"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92" w:type="dxa"/>
            <w:tcBorders>
              <w:bottom w:val="single" w:sz="4" w:space="0" w:color="auto"/>
            </w:tcBorders>
            <w:noWrap/>
            <w:vAlign w:val="center"/>
          </w:tcPr>
          <w:p w14:paraId="0B6F6684" w14:textId="77777777" w:rsidR="00FD6F91" w:rsidRPr="00847FAE" w:rsidRDefault="00FD6F91" w:rsidP="00FD6F91">
            <w:pPr>
              <w:jc w:val="center"/>
              <w:rPr>
                <w:rFonts w:cs="Calibri"/>
                <w:color w:val="000000"/>
                <w:sz w:val="18"/>
                <w:szCs w:val="18"/>
              </w:rPr>
            </w:pPr>
            <w:r w:rsidRPr="00847FAE">
              <w:rPr>
                <w:rFonts w:cs="Calibri"/>
                <w:color w:val="000000"/>
                <w:sz w:val="18"/>
                <w:szCs w:val="18"/>
              </w:rPr>
              <w:t>10.4</w:t>
            </w:r>
          </w:p>
        </w:tc>
        <w:tc>
          <w:tcPr>
            <w:tcW w:w="993" w:type="dxa"/>
            <w:tcBorders>
              <w:bottom w:val="single" w:sz="4" w:space="0" w:color="auto"/>
            </w:tcBorders>
            <w:noWrap/>
            <w:vAlign w:val="center"/>
          </w:tcPr>
          <w:p w14:paraId="4BBC9A4A" w14:textId="77777777" w:rsidR="00FD6F91" w:rsidRPr="00847FAE" w:rsidRDefault="00FD6F91" w:rsidP="00FD6F91">
            <w:pPr>
              <w:jc w:val="center"/>
              <w:rPr>
                <w:rFonts w:cs="Calibri"/>
                <w:color w:val="000000"/>
                <w:sz w:val="18"/>
                <w:szCs w:val="18"/>
              </w:rPr>
            </w:pPr>
            <w:r w:rsidRPr="00847FAE">
              <w:rPr>
                <w:rFonts w:cs="Calibri"/>
                <w:color w:val="000000"/>
                <w:sz w:val="18"/>
                <w:szCs w:val="18"/>
              </w:rPr>
              <w:t>12.1</w:t>
            </w:r>
          </w:p>
        </w:tc>
        <w:tc>
          <w:tcPr>
            <w:tcW w:w="992" w:type="dxa"/>
            <w:tcBorders>
              <w:bottom w:val="single" w:sz="4" w:space="0" w:color="auto"/>
            </w:tcBorders>
            <w:noWrap/>
            <w:vAlign w:val="center"/>
          </w:tcPr>
          <w:p w14:paraId="1D77D589" w14:textId="77777777" w:rsidR="00FD6F91" w:rsidRPr="00847FAE" w:rsidRDefault="00FD6F91" w:rsidP="00FD6F91">
            <w:pPr>
              <w:jc w:val="center"/>
              <w:rPr>
                <w:rFonts w:cs="Calibri"/>
                <w:color w:val="000000"/>
                <w:sz w:val="18"/>
                <w:szCs w:val="18"/>
              </w:rPr>
            </w:pPr>
            <w:r w:rsidRPr="00847FAE">
              <w:rPr>
                <w:rFonts w:cs="Calibri"/>
                <w:color w:val="000000"/>
                <w:sz w:val="18"/>
                <w:szCs w:val="18"/>
              </w:rPr>
              <w:t>13.3</w:t>
            </w:r>
          </w:p>
        </w:tc>
        <w:tc>
          <w:tcPr>
            <w:tcW w:w="992" w:type="dxa"/>
            <w:tcBorders>
              <w:bottom w:val="single" w:sz="4" w:space="0" w:color="auto"/>
            </w:tcBorders>
            <w:noWrap/>
            <w:vAlign w:val="center"/>
          </w:tcPr>
          <w:p w14:paraId="1947BBA5" w14:textId="77777777" w:rsidR="00FD6F91" w:rsidRPr="00847FAE" w:rsidRDefault="00FD6F91" w:rsidP="00FD6F91">
            <w:pPr>
              <w:jc w:val="center"/>
              <w:rPr>
                <w:rFonts w:cs="Calibri"/>
                <w:color w:val="000000"/>
                <w:sz w:val="18"/>
                <w:szCs w:val="18"/>
              </w:rPr>
            </w:pPr>
            <w:r w:rsidRPr="00847FAE">
              <w:rPr>
                <w:rFonts w:cs="Calibri"/>
                <w:color w:val="000000"/>
                <w:sz w:val="18"/>
                <w:szCs w:val="18"/>
              </w:rPr>
              <w:t>5.4</w:t>
            </w:r>
          </w:p>
        </w:tc>
        <w:tc>
          <w:tcPr>
            <w:tcW w:w="992" w:type="dxa"/>
            <w:tcBorders>
              <w:bottom w:val="single" w:sz="4" w:space="0" w:color="auto"/>
            </w:tcBorders>
            <w:noWrap/>
            <w:vAlign w:val="center"/>
          </w:tcPr>
          <w:p w14:paraId="6FF6585E" w14:textId="77777777" w:rsidR="00FD6F91" w:rsidRPr="00847FAE" w:rsidRDefault="00FD6F91" w:rsidP="00FD6F91">
            <w:pPr>
              <w:jc w:val="center"/>
              <w:rPr>
                <w:rFonts w:cs="Calibri"/>
                <w:color w:val="000000"/>
                <w:sz w:val="18"/>
                <w:szCs w:val="18"/>
              </w:rPr>
            </w:pPr>
            <w:r w:rsidRPr="00847FAE">
              <w:rPr>
                <w:rFonts w:cs="Calibri"/>
                <w:color w:val="000000"/>
                <w:sz w:val="18"/>
                <w:szCs w:val="18"/>
              </w:rPr>
              <w:t>7.0</w:t>
            </w:r>
          </w:p>
        </w:tc>
        <w:tc>
          <w:tcPr>
            <w:tcW w:w="1134" w:type="dxa"/>
            <w:tcBorders>
              <w:bottom w:val="single" w:sz="4" w:space="0" w:color="auto"/>
            </w:tcBorders>
            <w:noWrap/>
            <w:vAlign w:val="center"/>
          </w:tcPr>
          <w:p w14:paraId="58A90D86" w14:textId="77777777" w:rsidR="00FD6F91" w:rsidRPr="00847FAE" w:rsidRDefault="00FD6F91" w:rsidP="00FD6F91">
            <w:pPr>
              <w:jc w:val="center"/>
              <w:rPr>
                <w:rFonts w:cs="Calibri"/>
                <w:color w:val="000000"/>
                <w:sz w:val="18"/>
                <w:szCs w:val="18"/>
              </w:rPr>
            </w:pPr>
            <w:r w:rsidRPr="00847FAE">
              <w:rPr>
                <w:rFonts w:cs="Calibri"/>
                <w:color w:val="000000"/>
                <w:sz w:val="18"/>
                <w:szCs w:val="18"/>
              </w:rPr>
              <w:t>1.6 pp</w:t>
            </w:r>
          </w:p>
        </w:tc>
      </w:tr>
    </w:tbl>
    <w:p w14:paraId="7C48B6BD" w14:textId="77777777" w:rsidR="00FD6F91" w:rsidRPr="00847FAE" w:rsidRDefault="00FD6F91" w:rsidP="00FD6F91">
      <w:pPr>
        <w:shd w:val="clear" w:color="auto" w:fill="FFFFFF" w:themeFill="background1"/>
        <w:rPr>
          <w:rFonts w:eastAsiaTheme="minorHAnsi"/>
          <w:sz w:val="15"/>
          <w:szCs w:val="15"/>
          <w:lang w:eastAsia="en-US"/>
        </w:rPr>
      </w:pPr>
      <w:r w:rsidRPr="00847FAE">
        <w:rPr>
          <w:rFonts w:eastAsiaTheme="minorHAnsi"/>
          <w:b/>
          <w:sz w:val="15"/>
          <w:szCs w:val="15"/>
          <w:lang w:eastAsia="en-US"/>
        </w:rPr>
        <w:t xml:space="preserve">pp </w:t>
      </w:r>
      <w:r w:rsidRPr="00847FAE">
        <w:rPr>
          <w:rFonts w:eastAsiaTheme="minorHAnsi"/>
          <w:sz w:val="15"/>
          <w:szCs w:val="15"/>
          <w:lang w:eastAsia="en-US"/>
        </w:rPr>
        <w:t>refers to percentage points</w:t>
      </w:r>
    </w:p>
    <w:p w14:paraId="0C976122" w14:textId="77777777" w:rsidR="00FD6F91" w:rsidRPr="00847FAE" w:rsidRDefault="00FD6F91" w:rsidP="00FD6F91">
      <w:pPr>
        <w:shd w:val="clear" w:color="auto" w:fill="FFFFFF" w:themeFill="background1"/>
        <w:rPr>
          <w:rFonts w:cs="Calibri"/>
          <w:color w:val="000000"/>
          <w:sz w:val="15"/>
          <w:szCs w:val="15"/>
        </w:rPr>
      </w:pPr>
      <w:r w:rsidRPr="00847FAE">
        <w:rPr>
          <w:rFonts w:cs="Calibri"/>
          <w:color w:val="000000"/>
          <w:sz w:val="15"/>
          <w:szCs w:val="15"/>
          <w:vertAlign w:val="superscript"/>
        </w:rPr>
        <w:t xml:space="preserve">1 </w:t>
      </w:r>
      <w:r w:rsidRPr="00847FAE">
        <w:rPr>
          <w:rFonts w:cs="Calibri"/>
          <w:color w:val="000000"/>
          <w:sz w:val="15"/>
          <w:szCs w:val="15"/>
        </w:rPr>
        <w:t>In accordance with the Report on Government Services (RoGS) statistics manual, the counting unit adopted for criminal complaints is a defendant per case based unit. This figure includes family violence and intervention order criminal activity (such as the breach of a family violence or intervention order) and not the civil activity (the application of an order) which is set out separately under ‘civil’ in Table 13.</w:t>
      </w:r>
    </w:p>
    <w:p w14:paraId="2675FB31" w14:textId="77777777" w:rsidR="00FD6F91" w:rsidRPr="00847FAE" w:rsidRDefault="00FD6F91" w:rsidP="00FD6F91">
      <w:pPr>
        <w:shd w:val="clear" w:color="auto" w:fill="FFFFFF" w:themeFill="background1"/>
        <w:rPr>
          <w:rFonts w:cs="Calibri"/>
          <w:color w:val="000000"/>
          <w:sz w:val="15"/>
          <w:szCs w:val="15"/>
        </w:rPr>
      </w:pPr>
      <w:r w:rsidRPr="00847FAE">
        <w:rPr>
          <w:rFonts w:cs="Calibri"/>
          <w:i/>
          <w:color w:val="000000"/>
          <w:sz w:val="15"/>
          <w:szCs w:val="15"/>
        </w:rPr>
        <w:t>Source: CRIMESStats database</w:t>
      </w:r>
    </w:p>
    <w:p w14:paraId="1732563A" w14:textId="77777777" w:rsidR="00FD6F91" w:rsidRPr="00847FAE" w:rsidRDefault="00FD6F91" w:rsidP="00FD6F91">
      <w:pPr>
        <w:shd w:val="clear" w:color="auto" w:fill="FFFFFF" w:themeFill="background1"/>
        <w:rPr>
          <w:rFonts w:cs="Calibri"/>
          <w:color w:val="000000"/>
          <w:sz w:val="15"/>
          <w:szCs w:val="15"/>
        </w:rPr>
      </w:pPr>
    </w:p>
    <w:p w14:paraId="0122B73B" w14:textId="7CCC5A13" w:rsidR="00FD6F91" w:rsidRPr="00847FAE" w:rsidRDefault="00FD6F91" w:rsidP="00FD6F91">
      <w:pPr>
        <w:keepNext/>
        <w:keepLines/>
        <w:spacing w:before="40"/>
        <w:outlineLvl w:val="2"/>
        <w:rPr>
          <w:rFonts w:eastAsiaTheme="majorEastAsia" w:cstheme="majorBidi"/>
          <w:vertAlign w:val="superscript"/>
          <w:lang w:eastAsia="en-US"/>
        </w:rPr>
      </w:pPr>
      <w:bookmarkStart w:id="393" w:name="_Toc1041198"/>
      <w:r w:rsidRPr="00847FAE">
        <w:rPr>
          <w:rFonts w:eastAsiaTheme="majorEastAsia" w:cstheme="majorBidi"/>
          <w:lang w:eastAsia="en-US"/>
        </w:rPr>
        <w:lastRenderedPageBreak/>
        <w:t xml:space="preserve">Table </w:t>
      </w:r>
      <w:r w:rsidR="000D3B2B">
        <w:rPr>
          <w:rFonts w:eastAsiaTheme="majorEastAsia" w:cstheme="majorBidi"/>
          <w:lang w:eastAsia="en-US"/>
        </w:rPr>
        <w:t>1</w:t>
      </w:r>
      <w:r w:rsidR="0037416A">
        <w:rPr>
          <w:rFonts w:eastAsiaTheme="majorEastAsia" w:cstheme="majorBidi"/>
          <w:lang w:eastAsia="en-US"/>
        </w:rPr>
        <w:t>6</w:t>
      </w:r>
      <w:r w:rsidRPr="00847FAE">
        <w:rPr>
          <w:rFonts w:eastAsiaTheme="majorEastAsia" w:cstheme="majorBidi"/>
          <w:lang w:eastAsia="en-US"/>
        </w:rPr>
        <w:t>: Civil Pending Caseload (at 30 June) and Backlog Indicator, 2013-14 to 2017-18</w:t>
      </w:r>
      <w:r w:rsidRPr="00847FAE">
        <w:rPr>
          <w:rFonts w:eastAsiaTheme="majorEastAsia" w:cstheme="majorBidi"/>
          <w:b/>
          <w:sz w:val="20"/>
          <w:vertAlign w:val="superscript"/>
          <w:lang w:eastAsia="en-US"/>
        </w:rPr>
        <w:t>1</w:t>
      </w:r>
      <w:bookmarkEnd w:id="393"/>
    </w:p>
    <w:tbl>
      <w:tblPr>
        <w:tblStyle w:val="TableGrid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16CivilPendingCaseloadandbacklogindicator"/>
        <w:tblDescription w:val="TabledescribingCivilPendingCaseloadat30Juneandbacklogindicator2013_14to2017_18"/>
      </w:tblPr>
      <w:tblGrid>
        <w:gridCol w:w="460"/>
        <w:gridCol w:w="856"/>
        <w:gridCol w:w="1378"/>
        <w:gridCol w:w="278"/>
        <w:gridCol w:w="992"/>
        <w:gridCol w:w="993"/>
        <w:gridCol w:w="992"/>
        <w:gridCol w:w="992"/>
        <w:gridCol w:w="992"/>
        <w:gridCol w:w="1134"/>
      </w:tblGrid>
      <w:tr w:rsidR="00FD6F91" w:rsidRPr="00847FAE" w14:paraId="47BF85F1" w14:textId="77777777" w:rsidTr="004E3DB0">
        <w:trPr>
          <w:cantSplit/>
          <w:trHeight w:val="20"/>
          <w:tblHeader/>
        </w:trPr>
        <w:tc>
          <w:tcPr>
            <w:tcW w:w="460" w:type="dxa"/>
            <w:tcBorders>
              <w:top w:val="single" w:sz="4" w:space="0" w:color="auto"/>
              <w:bottom w:val="single" w:sz="4" w:space="0" w:color="auto"/>
            </w:tcBorders>
            <w:noWrap/>
            <w:hideMark/>
          </w:tcPr>
          <w:p w14:paraId="2BDC02D7"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856" w:type="dxa"/>
            <w:tcBorders>
              <w:top w:val="single" w:sz="4" w:space="0" w:color="auto"/>
              <w:bottom w:val="single" w:sz="4" w:space="0" w:color="auto"/>
            </w:tcBorders>
            <w:noWrap/>
            <w:hideMark/>
          </w:tcPr>
          <w:p w14:paraId="3265B29F"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378" w:type="dxa"/>
            <w:tcBorders>
              <w:top w:val="single" w:sz="4" w:space="0" w:color="auto"/>
              <w:bottom w:val="single" w:sz="4" w:space="0" w:color="auto"/>
            </w:tcBorders>
            <w:noWrap/>
            <w:hideMark/>
          </w:tcPr>
          <w:p w14:paraId="02824BCE"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278" w:type="dxa"/>
            <w:tcBorders>
              <w:top w:val="single" w:sz="4" w:space="0" w:color="auto"/>
              <w:bottom w:val="single" w:sz="4" w:space="0" w:color="auto"/>
            </w:tcBorders>
            <w:noWrap/>
            <w:hideMark/>
          </w:tcPr>
          <w:p w14:paraId="5BA2C4FC"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bottom"/>
            <w:hideMark/>
          </w:tcPr>
          <w:p w14:paraId="0E6BE104"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2013-14</w:t>
            </w:r>
          </w:p>
        </w:tc>
        <w:tc>
          <w:tcPr>
            <w:tcW w:w="993" w:type="dxa"/>
            <w:tcBorders>
              <w:top w:val="single" w:sz="4" w:space="0" w:color="auto"/>
              <w:bottom w:val="single" w:sz="4" w:space="0" w:color="auto"/>
            </w:tcBorders>
            <w:noWrap/>
            <w:vAlign w:val="bottom"/>
            <w:hideMark/>
          </w:tcPr>
          <w:p w14:paraId="5BA400A3"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2014-15</w:t>
            </w:r>
          </w:p>
        </w:tc>
        <w:tc>
          <w:tcPr>
            <w:tcW w:w="992" w:type="dxa"/>
            <w:tcBorders>
              <w:top w:val="single" w:sz="4" w:space="0" w:color="auto"/>
              <w:bottom w:val="single" w:sz="4" w:space="0" w:color="auto"/>
            </w:tcBorders>
            <w:noWrap/>
            <w:vAlign w:val="bottom"/>
            <w:hideMark/>
          </w:tcPr>
          <w:p w14:paraId="3DB9512B"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2015-16</w:t>
            </w:r>
          </w:p>
        </w:tc>
        <w:tc>
          <w:tcPr>
            <w:tcW w:w="992" w:type="dxa"/>
            <w:tcBorders>
              <w:top w:val="single" w:sz="4" w:space="0" w:color="auto"/>
              <w:bottom w:val="single" w:sz="4" w:space="0" w:color="auto"/>
            </w:tcBorders>
            <w:noWrap/>
            <w:vAlign w:val="bottom"/>
            <w:hideMark/>
          </w:tcPr>
          <w:p w14:paraId="096BC44D"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2016-17</w:t>
            </w:r>
          </w:p>
        </w:tc>
        <w:tc>
          <w:tcPr>
            <w:tcW w:w="992" w:type="dxa"/>
            <w:tcBorders>
              <w:top w:val="single" w:sz="4" w:space="0" w:color="auto"/>
              <w:bottom w:val="single" w:sz="4" w:space="0" w:color="auto"/>
            </w:tcBorders>
            <w:noWrap/>
            <w:vAlign w:val="bottom"/>
            <w:hideMark/>
          </w:tcPr>
          <w:p w14:paraId="0656841C"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bottom w:val="single" w:sz="4" w:space="0" w:color="auto"/>
            </w:tcBorders>
            <w:vAlign w:val="bottom"/>
            <w:hideMark/>
          </w:tcPr>
          <w:p w14:paraId="4016DA3F"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3C9A2EF1" w14:textId="77777777" w:rsidTr="001F1F60">
        <w:trPr>
          <w:cantSplit/>
          <w:trHeight w:val="20"/>
        </w:trPr>
        <w:tc>
          <w:tcPr>
            <w:tcW w:w="2972" w:type="dxa"/>
            <w:gridSpan w:val="4"/>
            <w:tcBorders>
              <w:top w:val="single" w:sz="4" w:space="0" w:color="auto"/>
              <w:bottom w:val="single" w:sz="4" w:space="0" w:color="auto"/>
            </w:tcBorders>
            <w:noWrap/>
            <w:vAlign w:val="center"/>
            <w:hideMark/>
          </w:tcPr>
          <w:p w14:paraId="19824D56" w14:textId="77777777" w:rsidR="00FD6F91" w:rsidRPr="00847FAE" w:rsidRDefault="00FD6F91" w:rsidP="00FD6F91">
            <w:pPr>
              <w:keepNext/>
              <w:rPr>
                <w:rFonts w:cs="Calibri"/>
                <w:color w:val="000000"/>
                <w:sz w:val="18"/>
                <w:szCs w:val="18"/>
              </w:rPr>
            </w:pPr>
            <w:r w:rsidRPr="00847FAE">
              <w:rPr>
                <w:rFonts w:cs="Calibri"/>
                <w:color w:val="000000"/>
                <w:sz w:val="18"/>
                <w:szCs w:val="18"/>
              </w:rPr>
              <w:t>CIVIL MAGISTRATES COURT</w:t>
            </w:r>
          </w:p>
        </w:tc>
        <w:tc>
          <w:tcPr>
            <w:tcW w:w="992" w:type="dxa"/>
            <w:tcBorders>
              <w:top w:val="single" w:sz="4" w:space="0" w:color="auto"/>
              <w:bottom w:val="single" w:sz="4" w:space="0" w:color="auto"/>
            </w:tcBorders>
            <w:noWrap/>
            <w:vAlign w:val="center"/>
            <w:hideMark/>
          </w:tcPr>
          <w:p w14:paraId="36DDAD77"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3" w:type="dxa"/>
            <w:tcBorders>
              <w:top w:val="single" w:sz="4" w:space="0" w:color="auto"/>
              <w:bottom w:val="single" w:sz="4" w:space="0" w:color="auto"/>
            </w:tcBorders>
            <w:noWrap/>
            <w:vAlign w:val="center"/>
            <w:hideMark/>
          </w:tcPr>
          <w:p w14:paraId="7154842C"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center"/>
            <w:hideMark/>
          </w:tcPr>
          <w:p w14:paraId="525F72EF"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center"/>
            <w:hideMark/>
          </w:tcPr>
          <w:p w14:paraId="32C92AD8"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center"/>
            <w:hideMark/>
          </w:tcPr>
          <w:p w14:paraId="6A7D6926"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134" w:type="dxa"/>
            <w:tcBorders>
              <w:top w:val="single" w:sz="4" w:space="0" w:color="auto"/>
              <w:bottom w:val="single" w:sz="4" w:space="0" w:color="auto"/>
            </w:tcBorders>
            <w:noWrap/>
            <w:vAlign w:val="center"/>
            <w:hideMark/>
          </w:tcPr>
          <w:p w14:paraId="6837B7FC"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r>
      <w:tr w:rsidR="00FD6F91" w:rsidRPr="00847FAE" w14:paraId="7B9ECDC3" w14:textId="77777777" w:rsidTr="001F1F60">
        <w:trPr>
          <w:cantSplit/>
          <w:trHeight w:val="255"/>
        </w:trPr>
        <w:tc>
          <w:tcPr>
            <w:tcW w:w="2972" w:type="dxa"/>
            <w:gridSpan w:val="4"/>
            <w:tcBorders>
              <w:top w:val="single" w:sz="4" w:space="0" w:color="auto"/>
            </w:tcBorders>
            <w:shd w:val="clear" w:color="auto" w:fill="D9D9D9" w:themeFill="background1" w:themeFillShade="D9"/>
            <w:noWrap/>
            <w:vAlign w:val="center"/>
          </w:tcPr>
          <w:p w14:paraId="020798B7"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Total lodged pending completion</w:t>
            </w:r>
          </w:p>
        </w:tc>
        <w:tc>
          <w:tcPr>
            <w:tcW w:w="992" w:type="dxa"/>
            <w:tcBorders>
              <w:top w:val="single" w:sz="4" w:space="0" w:color="auto"/>
            </w:tcBorders>
            <w:shd w:val="clear" w:color="auto" w:fill="D9D9D9" w:themeFill="background1" w:themeFillShade="D9"/>
            <w:noWrap/>
            <w:vAlign w:val="center"/>
          </w:tcPr>
          <w:p w14:paraId="787A4AB1" w14:textId="77777777" w:rsidR="00FD6F91" w:rsidRPr="00847FAE" w:rsidRDefault="00FD6F91" w:rsidP="00FD6F91">
            <w:pPr>
              <w:jc w:val="center"/>
              <w:rPr>
                <w:rFonts w:cs="Calibri"/>
                <w:color w:val="000000"/>
                <w:sz w:val="18"/>
                <w:szCs w:val="18"/>
              </w:rPr>
            </w:pPr>
            <w:r w:rsidRPr="00847FAE">
              <w:rPr>
                <w:rFonts w:cs="Calibri"/>
                <w:color w:val="000000"/>
                <w:sz w:val="18"/>
                <w:szCs w:val="18"/>
              </w:rPr>
              <w:t>4,203</w:t>
            </w:r>
          </w:p>
        </w:tc>
        <w:tc>
          <w:tcPr>
            <w:tcW w:w="993" w:type="dxa"/>
            <w:tcBorders>
              <w:top w:val="single" w:sz="4" w:space="0" w:color="auto"/>
            </w:tcBorders>
            <w:shd w:val="clear" w:color="auto" w:fill="D9D9D9" w:themeFill="background1" w:themeFillShade="D9"/>
            <w:noWrap/>
            <w:vAlign w:val="center"/>
          </w:tcPr>
          <w:p w14:paraId="06905A93" w14:textId="77777777" w:rsidR="00FD6F91" w:rsidRPr="00847FAE" w:rsidRDefault="00FD6F91" w:rsidP="00FD6F91">
            <w:pPr>
              <w:jc w:val="center"/>
              <w:rPr>
                <w:rFonts w:cs="Calibri"/>
                <w:color w:val="000000"/>
                <w:sz w:val="18"/>
                <w:szCs w:val="18"/>
              </w:rPr>
            </w:pPr>
            <w:r w:rsidRPr="00847FAE">
              <w:rPr>
                <w:rFonts w:cs="Calibri"/>
                <w:color w:val="000000"/>
                <w:sz w:val="18"/>
                <w:szCs w:val="18"/>
              </w:rPr>
              <w:t>3,729</w:t>
            </w:r>
          </w:p>
        </w:tc>
        <w:tc>
          <w:tcPr>
            <w:tcW w:w="992" w:type="dxa"/>
            <w:tcBorders>
              <w:top w:val="single" w:sz="4" w:space="0" w:color="auto"/>
            </w:tcBorders>
            <w:shd w:val="clear" w:color="auto" w:fill="D9D9D9" w:themeFill="background1" w:themeFillShade="D9"/>
            <w:noWrap/>
            <w:vAlign w:val="center"/>
          </w:tcPr>
          <w:p w14:paraId="6AEF5D97" w14:textId="77777777" w:rsidR="00FD6F91" w:rsidRPr="00847FAE" w:rsidRDefault="00FD6F91" w:rsidP="00FD6F91">
            <w:pPr>
              <w:jc w:val="center"/>
              <w:rPr>
                <w:rFonts w:cs="Calibri"/>
                <w:color w:val="000000"/>
                <w:sz w:val="18"/>
                <w:szCs w:val="18"/>
              </w:rPr>
            </w:pPr>
            <w:r w:rsidRPr="00847FAE">
              <w:rPr>
                <w:rFonts w:cs="Calibri"/>
                <w:color w:val="000000"/>
                <w:sz w:val="18"/>
                <w:szCs w:val="18"/>
              </w:rPr>
              <w:t>3,557</w:t>
            </w:r>
          </w:p>
        </w:tc>
        <w:tc>
          <w:tcPr>
            <w:tcW w:w="992" w:type="dxa"/>
            <w:tcBorders>
              <w:top w:val="single" w:sz="4" w:space="0" w:color="auto"/>
            </w:tcBorders>
            <w:shd w:val="clear" w:color="auto" w:fill="D9D9D9" w:themeFill="background1" w:themeFillShade="D9"/>
            <w:noWrap/>
            <w:vAlign w:val="center"/>
          </w:tcPr>
          <w:p w14:paraId="7BE65FCA" w14:textId="77777777" w:rsidR="00FD6F91" w:rsidRPr="00847FAE" w:rsidRDefault="00FD6F91" w:rsidP="00FD6F91">
            <w:pPr>
              <w:jc w:val="center"/>
              <w:rPr>
                <w:rFonts w:cs="Calibri"/>
                <w:color w:val="000000"/>
                <w:sz w:val="18"/>
                <w:szCs w:val="18"/>
              </w:rPr>
            </w:pPr>
            <w:r w:rsidRPr="00847FAE">
              <w:rPr>
                <w:rFonts w:cs="Calibri"/>
                <w:color w:val="000000"/>
                <w:sz w:val="18"/>
                <w:szCs w:val="18"/>
              </w:rPr>
              <w:t>3,477</w:t>
            </w:r>
          </w:p>
        </w:tc>
        <w:tc>
          <w:tcPr>
            <w:tcW w:w="992" w:type="dxa"/>
            <w:tcBorders>
              <w:top w:val="single" w:sz="4" w:space="0" w:color="auto"/>
            </w:tcBorders>
            <w:shd w:val="clear" w:color="auto" w:fill="D9D9D9" w:themeFill="background1" w:themeFillShade="D9"/>
            <w:noWrap/>
            <w:vAlign w:val="center"/>
          </w:tcPr>
          <w:p w14:paraId="4FF5C4FD" w14:textId="77777777" w:rsidR="00FD6F91" w:rsidRPr="00847FAE" w:rsidRDefault="00FD6F91" w:rsidP="00FD6F91">
            <w:pPr>
              <w:jc w:val="center"/>
              <w:rPr>
                <w:rFonts w:cs="Calibri"/>
                <w:color w:val="000000"/>
                <w:sz w:val="18"/>
                <w:szCs w:val="18"/>
              </w:rPr>
            </w:pPr>
            <w:r w:rsidRPr="00847FAE">
              <w:rPr>
                <w:rFonts w:cs="Calibri"/>
                <w:color w:val="000000"/>
                <w:sz w:val="18"/>
                <w:szCs w:val="18"/>
              </w:rPr>
              <w:t>3,547</w:t>
            </w:r>
          </w:p>
        </w:tc>
        <w:tc>
          <w:tcPr>
            <w:tcW w:w="1134" w:type="dxa"/>
            <w:tcBorders>
              <w:top w:val="single" w:sz="4" w:space="0" w:color="auto"/>
            </w:tcBorders>
            <w:shd w:val="clear" w:color="auto" w:fill="D9D9D9" w:themeFill="background1" w:themeFillShade="D9"/>
            <w:noWrap/>
            <w:vAlign w:val="center"/>
          </w:tcPr>
          <w:p w14:paraId="2292FA73" w14:textId="77777777" w:rsidR="00FD6F91" w:rsidRPr="00847FAE" w:rsidRDefault="00FD6F91" w:rsidP="00FD6F91">
            <w:pPr>
              <w:jc w:val="center"/>
              <w:rPr>
                <w:rFonts w:cs="Calibri"/>
                <w:color w:val="000000"/>
                <w:sz w:val="18"/>
                <w:szCs w:val="18"/>
              </w:rPr>
            </w:pPr>
            <w:r w:rsidRPr="00847FAE">
              <w:rPr>
                <w:rFonts w:cs="Calibri"/>
                <w:color w:val="000000"/>
                <w:sz w:val="18"/>
                <w:szCs w:val="18"/>
              </w:rPr>
              <w:t>2.0%</w:t>
            </w:r>
          </w:p>
        </w:tc>
      </w:tr>
      <w:tr w:rsidR="00FD6F91" w:rsidRPr="00847FAE" w14:paraId="0E3BAE92" w14:textId="77777777" w:rsidTr="001F1F60">
        <w:trPr>
          <w:cantSplit/>
          <w:trHeight w:val="255"/>
        </w:trPr>
        <w:tc>
          <w:tcPr>
            <w:tcW w:w="2972" w:type="dxa"/>
            <w:gridSpan w:val="4"/>
            <w:noWrap/>
            <w:vAlign w:val="center"/>
            <w:hideMark/>
          </w:tcPr>
          <w:p w14:paraId="1648B6B1" w14:textId="77777777" w:rsidR="00FD6F91" w:rsidRPr="00847FAE" w:rsidRDefault="00FD6F91" w:rsidP="00FD6F91">
            <w:pPr>
              <w:keepNext/>
              <w:rPr>
                <w:rFonts w:cs="Calibri"/>
                <w:color w:val="000000"/>
                <w:sz w:val="18"/>
                <w:szCs w:val="18"/>
              </w:rPr>
            </w:pPr>
            <w:r w:rsidRPr="00847FAE">
              <w:rPr>
                <w:rFonts w:cs="Calibri"/>
                <w:color w:val="000000"/>
                <w:sz w:val="18"/>
                <w:szCs w:val="18"/>
              </w:rPr>
              <w:t xml:space="preserve">   </w:t>
            </w:r>
            <w:r w:rsidRPr="00847FAE">
              <w:rPr>
                <w:rFonts w:cs="Calibri"/>
                <w:iCs/>
                <w:color w:val="000000"/>
                <w:sz w:val="18"/>
                <w:szCs w:val="18"/>
              </w:rPr>
              <w:t>Between 6 and 12 months</w:t>
            </w:r>
          </w:p>
        </w:tc>
        <w:tc>
          <w:tcPr>
            <w:tcW w:w="992" w:type="dxa"/>
            <w:noWrap/>
            <w:vAlign w:val="center"/>
          </w:tcPr>
          <w:p w14:paraId="7E9559B9" w14:textId="77777777" w:rsidR="00FD6F91" w:rsidRPr="00847FAE" w:rsidRDefault="00FD6F91" w:rsidP="00FD6F91">
            <w:pPr>
              <w:jc w:val="center"/>
              <w:rPr>
                <w:rFonts w:cs="Calibri"/>
                <w:color w:val="000000"/>
                <w:sz w:val="18"/>
                <w:szCs w:val="18"/>
              </w:rPr>
            </w:pPr>
            <w:r w:rsidRPr="00847FAE">
              <w:rPr>
                <w:rFonts w:cs="Calibri"/>
                <w:color w:val="000000"/>
                <w:sz w:val="18"/>
                <w:szCs w:val="18"/>
              </w:rPr>
              <w:t>1,331</w:t>
            </w:r>
          </w:p>
        </w:tc>
        <w:tc>
          <w:tcPr>
            <w:tcW w:w="993" w:type="dxa"/>
            <w:noWrap/>
            <w:vAlign w:val="center"/>
          </w:tcPr>
          <w:p w14:paraId="429FFB9A" w14:textId="77777777" w:rsidR="00FD6F91" w:rsidRPr="00847FAE" w:rsidRDefault="00FD6F91" w:rsidP="00FD6F91">
            <w:pPr>
              <w:jc w:val="center"/>
              <w:rPr>
                <w:rFonts w:cs="Calibri"/>
                <w:color w:val="000000"/>
                <w:sz w:val="18"/>
                <w:szCs w:val="18"/>
              </w:rPr>
            </w:pPr>
            <w:r w:rsidRPr="00847FAE">
              <w:rPr>
                <w:rFonts w:cs="Calibri"/>
                <w:color w:val="000000"/>
                <w:sz w:val="18"/>
                <w:szCs w:val="18"/>
              </w:rPr>
              <w:t>1,177</w:t>
            </w:r>
          </w:p>
        </w:tc>
        <w:tc>
          <w:tcPr>
            <w:tcW w:w="992" w:type="dxa"/>
            <w:noWrap/>
            <w:vAlign w:val="center"/>
          </w:tcPr>
          <w:p w14:paraId="0E842448" w14:textId="6DA6DC40" w:rsidR="00FD6F91" w:rsidRPr="0009776C" w:rsidRDefault="00FD6F91" w:rsidP="00FD6F91">
            <w:pPr>
              <w:jc w:val="center"/>
              <w:rPr>
                <w:rFonts w:cs="Calibri"/>
                <w:color w:val="000000"/>
                <w:sz w:val="18"/>
                <w:szCs w:val="18"/>
                <w:vertAlign w:val="superscript"/>
              </w:rPr>
            </w:pPr>
            <w:r w:rsidRPr="00847FAE">
              <w:rPr>
                <w:rFonts w:cs="Calibri"/>
                <w:color w:val="000000"/>
                <w:sz w:val="18"/>
                <w:szCs w:val="18"/>
              </w:rPr>
              <w:t>1,014</w:t>
            </w:r>
            <w:r w:rsidR="0009776C">
              <w:rPr>
                <w:rFonts w:cs="Calibri"/>
                <w:color w:val="000000"/>
                <w:sz w:val="18"/>
                <w:szCs w:val="18"/>
                <w:vertAlign w:val="superscript"/>
              </w:rPr>
              <w:t>2</w:t>
            </w:r>
          </w:p>
        </w:tc>
        <w:tc>
          <w:tcPr>
            <w:tcW w:w="992" w:type="dxa"/>
            <w:noWrap/>
            <w:vAlign w:val="center"/>
          </w:tcPr>
          <w:p w14:paraId="7E708FC1" w14:textId="77777777" w:rsidR="00FD6F91" w:rsidRPr="00847FAE" w:rsidRDefault="00FD6F91" w:rsidP="00FD6F91">
            <w:pPr>
              <w:jc w:val="center"/>
              <w:rPr>
                <w:rFonts w:cs="Calibri"/>
                <w:color w:val="000000"/>
                <w:sz w:val="18"/>
                <w:szCs w:val="18"/>
              </w:rPr>
            </w:pPr>
            <w:r w:rsidRPr="00847FAE">
              <w:rPr>
                <w:rFonts w:cs="Calibri"/>
                <w:color w:val="000000"/>
                <w:sz w:val="18"/>
                <w:szCs w:val="18"/>
              </w:rPr>
              <w:t>994</w:t>
            </w:r>
          </w:p>
        </w:tc>
        <w:tc>
          <w:tcPr>
            <w:tcW w:w="992" w:type="dxa"/>
            <w:noWrap/>
            <w:vAlign w:val="center"/>
          </w:tcPr>
          <w:p w14:paraId="3F47E8C2" w14:textId="77777777" w:rsidR="00FD6F91" w:rsidRPr="00847FAE" w:rsidRDefault="00FD6F91" w:rsidP="00FD6F91">
            <w:pPr>
              <w:jc w:val="center"/>
              <w:rPr>
                <w:rFonts w:cs="Calibri"/>
                <w:color w:val="000000"/>
                <w:sz w:val="18"/>
                <w:szCs w:val="18"/>
              </w:rPr>
            </w:pPr>
            <w:r w:rsidRPr="00847FAE">
              <w:rPr>
                <w:rFonts w:cs="Calibri"/>
                <w:color w:val="000000"/>
                <w:sz w:val="18"/>
                <w:szCs w:val="18"/>
              </w:rPr>
              <w:t>1,072</w:t>
            </w:r>
          </w:p>
        </w:tc>
        <w:tc>
          <w:tcPr>
            <w:tcW w:w="1134" w:type="dxa"/>
            <w:noWrap/>
            <w:vAlign w:val="center"/>
          </w:tcPr>
          <w:p w14:paraId="44B927E1" w14:textId="77777777" w:rsidR="00FD6F91" w:rsidRPr="00847FAE" w:rsidRDefault="00FD6F91" w:rsidP="00FD6F91">
            <w:pPr>
              <w:jc w:val="center"/>
              <w:rPr>
                <w:rFonts w:cs="Calibri"/>
                <w:color w:val="000000"/>
                <w:sz w:val="18"/>
                <w:szCs w:val="18"/>
              </w:rPr>
            </w:pPr>
            <w:r w:rsidRPr="00847FAE">
              <w:rPr>
                <w:rFonts w:cs="Calibri"/>
                <w:color w:val="000000"/>
                <w:sz w:val="18"/>
                <w:szCs w:val="18"/>
              </w:rPr>
              <w:t>7.8%</w:t>
            </w:r>
          </w:p>
        </w:tc>
      </w:tr>
      <w:tr w:rsidR="00FD6F91" w:rsidRPr="00847FAE" w14:paraId="7851614E" w14:textId="77777777" w:rsidTr="001F1F60">
        <w:trPr>
          <w:cantSplit/>
          <w:trHeight w:val="255"/>
        </w:trPr>
        <w:tc>
          <w:tcPr>
            <w:tcW w:w="2972" w:type="dxa"/>
            <w:gridSpan w:val="4"/>
            <w:noWrap/>
            <w:vAlign w:val="center"/>
          </w:tcPr>
          <w:p w14:paraId="22A4C3A0"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Greater than 12 months</w:t>
            </w:r>
          </w:p>
        </w:tc>
        <w:tc>
          <w:tcPr>
            <w:tcW w:w="992" w:type="dxa"/>
            <w:noWrap/>
            <w:vAlign w:val="center"/>
          </w:tcPr>
          <w:p w14:paraId="25F18786" w14:textId="77777777" w:rsidR="00FD6F91" w:rsidRPr="00847FAE" w:rsidRDefault="00FD6F91" w:rsidP="00FD6F91">
            <w:pPr>
              <w:jc w:val="center"/>
              <w:rPr>
                <w:rFonts w:cs="Calibri"/>
                <w:color w:val="000000"/>
                <w:sz w:val="18"/>
                <w:szCs w:val="18"/>
              </w:rPr>
            </w:pPr>
            <w:r w:rsidRPr="00847FAE">
              <w:rPr>
                <w:rFonts w:cs="Calibri"/>
                <w:color w:val="000000"/>
                <w:sz w:val="18"/>
                <w:szCs w:val="18"/>
              </w:rPr>
              <w:t>472</w:t>
            </w:r>
          </w:p>
        </w:tc>
        <w:tc>
          <w:tcPr>
            <w:tcW w:w="993" w:type="dxa"/>
            <w:noWrap/>
            <w:vAlign w:val="center"/>
          </w:tcPr>
          <w:p w14:paraId="3DE8F493" w14:textId="77777777" w:rsidR="00FD6F91" w:rsidRPr="00847FAE" w:rsidRDefault="00FD6F91" w:rsidP="00FD6F91">
            <w:pPr>
              <w:jc w:val="center"/>
              <w:rPr>
                <w:rFonts w:cs="Calibri"/>
                <w:color w:val="000000"/>
                <w:sz w:val="18"/>
                <w:szCs w:val="18"/>
              </w:rPr>
            </w:pPr>
            <w:r w:rsidRPr="00847FAE">
              <w:rPr>
                <w:rFonts w:cs="Calibri"/>
                <w:color w:val="000000"/>
                <w:sz w:val="18"/>
                <w:szCs w:val="18"/>
              </w:rPr>
              <w:t>460</w:t>
            </w:r>
          </w:p>
        </w:tc>
        <w:tc>
          <w:tcPr>
            <w:tcW w:w="992" w:type="dxa"/>
            <w:noWrap/>
            <w:vAlign w:val="center"/>
          </w:tcPr>
          <w:p w14:paraId="2CFB7D86" w14:textId="77777777" w:rsidR="00FD6F91" w:rsidRPr="00847FAE" w:rsidRDefault="00FD6F91" w:rsidP="00FD6F91">
            <w:pPr>
              <w:jc w:val="center"/>
              <w:rPr>
                <w:rFonts w:cs="Calibri"/>
                <w:color w:val="000000"/>
                <w:sz w:val="18"/>
                <w:szCs w:val="18"/>
              </w:rPr>
            </w:pPr>
            <w:r w:rsidRPr="00847FAE">
              <w:rPr>
                <w:rFonts w:cs="Calibri"/>
                <w:color w:val="000000"/>
                <w:sz w:val="18"/>
                <w:szCs w:val="18"/>
              </w:rPr>
              <w:t>409</w:t>
            </w:r>
          </w:p>
        </w:tc>
        <w:tc>
          <w:tcPr>
            <w:tcW w:w="992" w:type="dxa"/>
            <w:noWrap/>
            <w:vAlign w:val="center"/>
          </w:tcPr>
          <w:p w14:paraId="470B5A84" w14:textId="77777777" w:rsidR="00FD6F91" w:rsidRPr="00847FAE" w:rsidRDefault="00FD6F91" w:rsidP="00FD6F91">
            <w:pPr>
              <w:jc w:val="center"/>
              <w:rPr>
                <w:rFonts w:cs="Calibri"/>
                <w:color w:val="000000"/>
                <w:sz w:val="18"/>
                <w:szCs w:val="18"/>
              </w:rPr>
            </w:pPr>
            <w:r w:rsidRPr="00847FAE">
              <w:rPr>
                <w:rFonts w:cs="Calibri"/>
                <w:color w:val="000000"/>
                <w:sz w:val="18"/>
                <w:szCs w:val="18"/>
              </w:rPr>
              <w:t>431</w:t>
            </w:r>
          </w:p>
        </w:tc>
        <w:tc>
          <w:tcPr>
            <w:tcW w:w="992" w:type="dxa"/>
            <w:noWrap/>
            <w:vAlign w:val="center"/>
          </w:tcPr>
          <w:p w14:paraId="199C55D1" w14:textId="77777777" w:rsidR="00FD6F91" w:rsidRPr="00847FAE" w:rsidRDefault="00FD6F91" w:rsidP="00FD6F91">
            <w:pPr>
              <w:jc w:val="center"/>
              <w:rPr>
                <w:rFonts w:cs="Calibri"/>
                <w:color w:val="000000"/>
                <w:sz w:val="18"/>
                <w:szCs w:val="18"/>
              </w:rPr>
            </w:pPr>
            <w:r w:rsidRPr="00847FAE">
              <w:rPr>
                <w:rFonts w:cs="Calibri"/>
                <w:color w:val="000000"/>
                <w:sz w:val="18"/>
                <w:szCs w:val="18"/>
              </w:rPr>
              <w:t>378</w:t>
            </w:r>
          </w:p>
        </w:tc>
        <w:tc>
          <w:tcPr>
            <w:tcW w:w="1134" w:type="dxa"/>
            <w:noWrap/>
            <w:vAlign w:val="center"/>
          </w:tcPr>
          <w:p w14:paraId="1D9500EE" w14:textId="77777777" w:rsidR="00FD6F91" w:rsidRPr="00847FAE" w:rsidRDefault="00FD6F91" w:rsidP="00FD6F91">
            <w:pPr>
              <w:jc w:val="center"/>
              <w:rPr>
                <w:rFonts w:cs="Calibri"/>
                <w:color w:val="000000"/>
                <w:sz w:val="18"/>
                <w:szCs w:val="18"/>
              </w:rPr>
            </w:pPr>
            <w:r w:rsidRPr="00847FAE">
              <w:rPr>
                <w:rFonts w:cs="Calibri"/>
                <w:color w:val="000000"/>
                <w:sz w:val="18"/>
                <w:szCs w:val="18"/>
              </w:rPr>
              <w:t>-12.3%</w:t>
            </w:r>
          </w:p>
        </w:tc>
      </w:tr>
      <w:tr w:rsidR="00FD6F91" w:rsidRPr="00847FAE" w14:paraId="7AC379D9" w14:textId="77777777" w:rsidTr="001F1F60">
        <w:trPr>
          <w:cantSplit/>
          <w:trHeight w:val="255"/>
        </w:trPr>
        <w:tc>
          <w:tcPr>
            <w:tcW w:w="2972" w:type="dxa"/>
            <w:gridSpan w:val="4"/>
            <w:shd w:val="clear" w:color="auto" w:fill="D9D9D9" w:themeFill="background1" w:themeFillShade="D9"/>
            <w:noWrap/>
            <w:vAlign w:val="center"/>
          </w:tcPr>
          <w:p w14:paraId="650EEC0A"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 xml:space="preserve">Backlog indicator </w:t>
            </w:r>
          </w:p>
        </w:tc>
        <w:tc>
          <w:tcPr>
            <w:tcW w:w="992" w:type="dxa"/>
            <w:shd w:val="clear" w:color="auto" w:fill="D9D9D9" w:themeFill="background1" w:themeFillShade="D9"/>
            <w:noWrap/>
            <w:vAlign w:val="center"/>
          </w:tcPr>
          <w:p w14:paraId="08821B78"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93" w:type="dxa"/>
            <w:shd w:val="clear" w:color="auto" w:fill="D9D9D9" w:themeFill="background1" w:themeFillShade="D9"/>
            <w:noWrap/>
            <w:vAlign w:val="center"/>
          </w:tcPr>
          <w:p w14:paraId="02648A49"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92" w:type="dxa"/>
            <w:shd w:val="clear" w:color="auto" w:fill="D9D9D9" w:themeFill="background1" w:themeFillShade="D9"/>
            <w:noWrap/>
            <w:vAlign w:val="center"/>
          </w:tcPr>
          <w:p w14:paraId="6619D521"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92" w:type="dxa"/>
            <w:shd w:val="clear" w:color="auto" w:fill="D9D9D9" w:themeFill="background1" w:themeFillShade="D9"/>
            <w:noWrap/>
            <w:vAlign w:val="center"/>
          </w:tcPr>
          <w:p w14:paraId="08123F31"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92" w:type="dxa"/>
            <w:shd w:val="clear" w:color="auto" w:fill="D9D9D9" w:themeFill="background1" w:themeFillShade="D9"/>
            <w:noWrap/>
            <w:vAlign w:val="center"/>
          </w:tcPr>
          <w:p w14:paraId="3F0EEA02"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1134" w:type="dxa"/>
            <w:shd w:val="clear" w:color="auto" w:fill="D9D9D9" w:themeFill="background1" w:themeFillShade="D9"/>
            <w:noWrap/>
            <w:vAlign w:val="center"/>
          </w:tcPr>
          <w:p w14:paraId="3A3412D6"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r>
      <w:tr w:rsidR="00FD6F91" w:rsidRPr="00847FAE" w14:paraId="61C139A2" w14:textId="77777777" w:rsidTr="001F1F60">
        <w:trPr>
          <w:cantSplit/>
          <w:trHeight w:val="255"/>
        </w:trPr>
        <w:tc>
          <w:tcPr>
            <w:tcW w:w="2972" w:type="dxa"/>
            <w:gridSpan w:val="4"/>
            <w:noWrap/>
            <w:vAlign w:val="center"/>
          </w:tcPr>
          <w:p w14:paraId="38267F6E"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92" w:type="dxa"/>
            <w:noWrap/>
            <w:vAlign w:val="center"/>
          </w:tcPr>
          <w:p w14:paraId="37F373B5" w14:textId="77777777" w:rsidR="00FD6F91" w:rsidRPr="00847FAE" w:rsidRDefault="00FD6F91" w:rsidP="00FD6F91">
            <w:pPr>
              <w:jc w:val="center"/>
              <w:rPr>
                <w:rFonts w:cs="Calibri"/>
                <w:color w:val="000000"/>
                <w:sz w:val="18"/>
                <w:szCs w:val="18"/>
              </w:rPr>
            </w:pPr>
            <w:r w:rsidRPr="00847FAE">
              <w:rPr>
                <w:rFonts w:cs="Calibri"/>
                <w:color w:val="000000"/>
                <w:sz w:val="18"/>
                <w:szCs w:val="18"/>
              </w:rPr>
              <w:t>42.9</w:t>
            </w:r>
          </w:p>
        </w:tc>
        <w:tc>
          <w:tcPr>
            <w:tcW w:w="993" w:type="dxa"/>
            <w:noWrap/>
            <w:vAlign w:val="center"/>
          </w:tcPr>
          <w:p w14:paraId="11AAAAF1" w14:textId="77777777" w:rsidR="00FD6F91" w:rsidRPr="00847FAE" w:rsidRDefault="00FD6F91" w:rsidP="00FD6F91">
            <w:pPr>
              <w:jc w:val="center"/>
              <w:rPr>
                <w:rFonts w:cs="Calibri"/>
                <w:color w:val="000000"/>
                <w:sz w:val="18"/>
                <w:szCs w:val="18"/>
              </w:rPr>
            </w:pPr>
            <w:r w:rsidRPr="00847FAE">
              <w:rPr>
                <w:rFonts w:cs="Calibri"/>
                <w:color w:val="000000"/>
                <w:sz w:val="18"/>
                <w:szCs w:val="18"/>
              </w:rPr>
              <w:t>43.9</w:t>
            </w:r>
          </w:p>
        </w:tc>
        <w:tc>
          <w:tcPr>
            <w:tcW w:w="992" w:type="dxa"/>
            <w:noWrap/>
            <w:vAlign w:val="center"/>
          </w:tcPr>
          <w:p w14:paraId="5B6C9E44" w14:textId="77777777" w:rsidR="00FD6F91" w:rsidRPr="00847FAE" w:rsidRDefault="00FD6F91" w:rsidP="00FD6F91">
            <w:pPr>
              <w:jc w:val="center"/>
              <w:rPr>
                <w:rFonts w:cs="Calibri"/>
                <w:color w:val="000000"/>
                <w:sz w:val="18"/>
                <w:szCs w:val="18"/>
              </w:rPr>
            </w:pPr>
            <w:r w:rsidRPr="00847FAE">
              <w:rPr>
                <w:rFonts w:cs="Calibri"/>
                <w:color w:val="000000"/>
                <w:sz w:val="18"/>
                <w:szCs w:val="18"/>
              </w:rPr>
              <w:t>40.0</w:t>
            </w:r>
          </w:p>
        </w:tc>
        <w:tc>
          <w:tcPr>
            <w:tcW w:w="992" w:type="dxa"/>
            <w:noWrap/>
            <w:vAlign w:val="center"/>
          </w:tcPr>
          <w:p w14:paraId="710071D0" w14:textId="77777777" w:rsidR="00FD6F91" w:rsidRPr="00847FAE" w:rsidRDefault="00FD6F91" w:rsidP="00FD6F91">
            <w:pPr>
              <w:jc w:val="center"/>
              <w:rPr>
                <w:rFonts w:cs="Calibri"/>
                <w:color w:val="000000"/>
                <w:sz w:val="18"/>
                <w:szCs w:val="18"/>
              </w:rPr>
            </w:pPr>
            <w:r w:rsidRPr="00847FAE">
              <w:rPr>
                <w:rFonts w:cs="Calibri"/>
                <w:color w:val="000000"/>
                <w:sz w:val="18"/>
                <w:szCs w:val="18"/>
              </w:rPr>
              <w:t>41.0</w:t>
            </w:r>
          </w:p>
        </w:tc>
        <w:tc>
          <w:tcPr>
            <w:tcW w:w="992" w:type="dxa"/>
            <w:noWrap/>
            <w:vAlign w:val="center"/>
          </w:tcPr>
          <w:p w14:paraId="391B33F8" w14:textId="77777777" w:rsidR="00FD6F91" w:rsidRPr="00847FAE" w:rsidRDefault="00FD6F91" w:rsidP="00FD6F91">
            <w:pPr>
              <w:jc w:val="center"/>
              <w:rPr>
                <w:rFonts w:cs="Calibri"/>
                <w:color w:val="000000"/>
                <w:sz w:val="18"/>
                <w:szCs w:val="18"/>
              </w:rPr>
            </w:pPr>
            <w:r w:rsidRPr="00847FAE">
              <w:rPr>
                <w:rFonts w:cs="Calibri"/>
                <w:color w:val="000000"/>
                <w:sz w:val="18"/>
                <w:szCs w:val="18"/>
              </w:rPr>
              <w:t>40.9</w:t>
            </w:r>
          </w:p>
        </w:tc>
        <w:tc>
          <w:tcPr>
            <w:tcW w:w="1134" w:type="dxa"/>
            <w:noWrap/>
            <w:vAlign w:val="center"/>
          </w:tcPr>
          <w:p w14:paraId="63A5913A" w14:textId="77777777" w:rsidR="00FD6F91" w:rsidRPr="00847FAE" w:rsidRDefault="00FD6F91" w:rsidP="00FD6F91">
            <w:pPr>
              <w:jc w:val="center"/>
              <w:rPr>
                <w:rFonts w:cs="Calibri"/>
                <w:color w:val="000000"/>
                <w:sz w:val="18"/>
                <w:szCs w:val="18"/>
              </w:rPr>
            </w:pPr>
            <w:r w:rsidRPr="00847FAE">
              <w:rPr>
                <w:rFonts w:cs="Calibri"/>
                <w:color w:val="000000"/>
                <w:sz w:val="18"/>
                <w:szCs w:val="18"/>
              </w:rPr>
              <w:t>-0.1 pp</w:t>
            </w:r>
          </w:p>
        </w:tc>
      </w:tr>
      <w:tr w:rsidR="00FD6F91" w:rsidRPr="00847FAE" w14:paraId="4DB38B88" w14:textId="77777777" w:rsidTr="001F1F60">
        <w:trPr>
          <w:cantSplit/>
          <w:trHeight w:val="255"/>
        </w:trPr>
        <w:tc>
          <w:tcPr>
            <w:tcW w:w="2972" w:type="dxa"/>
            <w:gridSpan w:val="4"/>
            <w:tcBorders>
              <w:bottom w:val="single" w:sz="4" w:space="0" w:color="auto"/>
            </w:tcBorders>
            <w:noWrap/>
            <w:vAlign w:val="center"/>
          </w:tcPr>
          <w:p w14:paraId="4CCCD457"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92" w:type="dxa"/>
            <w:tcBorders>
              <w:bottom w:val="single" w:sz="4" w:space="0" w:color="auto"/>
            </w:tcBorders>
            <w:noWrap/>
            <w:vAlign w:val="center"/>
          </w:tcPr>
          <w:p w14:paraId="68FAFB4C" w14:textId="77777777" w:rsidR="00FD6F91" w:rsidRPr="00847FAE" w:rsidRDefault="00FD6F91" w:rsidP="00FD6F91">
            <w:pPr>
              <w:jc w:val="center"/>
              <w:rPr>
                <w:rFonts w:cs="Calibri"/>
                <w:color w:val="000000"/>
                <w:sz w:val="18"/>
                <w:szCs w:val="18"/>
              </w:rPr>
            </w:pPr>
            <w:r w:rsidRPr="00847FAE">
              <w:rPr>
                <w:rFonts w:cs="Calibri"/>
                <w:color w:val="000000"/>
                <w:sz w:val="18"/>
                <w:szCs w:val="18"/>
              </w:rPr>
              <w:t>11.2</w:t>
            </w:r>
          </w:p>
        </w:tc>
        <w:tc>
          <w:tcPr>
            <w:tcW w:w="993" w:type="dxa"/>
            <w:tcBorders>
              <w:bottom w:val="single" w:sz="4" w:space="0" w:color="auto"/>
            </w:tcBorders>
            <w:noWrap/>
            <w:vAlign w:val="center"/>
          </w:tcPr>
          <w:p w14:paraId="7F878FD0" w14:textId="77777777" w:rsidR="00FD6F91" w:rsidRPr="00847FAE" w:rsidRDefault="00FD6F91" w:rsidP="00FD6F91">
            <w:pPr>
              <w:jc w:val="center"/>
              <w:rPr>
                <w:rFonts w:cs="Calibri"/>
                <w:color w:val="000000"/>
                <w:sz w:val="18"/>
                <w:szCs w:val="18"/>
              </w:rPr>
            </w:pPr>
            <w:r w:rsidRPr="00847FAE">
              <w:rPr>
                <w:rFonts w:cs="Calibri"/>
                <w:color w:val="000000"/>
                <w:sz w:val="18"/>
                <w:szCs w:val="18"/>
              </w:rPr>
              <w:t>12.3</w:t>
            </w:r>
          </w:p>
        </w:tc>
        <w:tc>
          <w:tcPr>
            <w:tcW w:w="992" w:type="dxa"/>
            <w:tcBorders>
              <w:bottom w:val="single" w:sz="4" w:space="0" w:color="auto"/>
            </w:tcBorders>
            <w:noWrap/>
            <w:vAlign w:val="center"/>
          </w:tcPr>
          <w:p w14:paraId="0EA50C69" w14:textId="77777777" w:rsidR="00FD6F91" w:rsidRPr="00847FAE" w:rsidRDefault="00FD6F91" w:rsidP="00FD6F91">
            <w:pPr>
              <w:jc w:val="center"/>
              <w:rPr>
                <w:rFonts w:cs="Calibri"/>
                <w:color w:val="000000"/>
                <w:sz w:val="18"/>
                <w:szCs w:val="18"/>
              </w:rPr>
            </w:pPr>
            <w:r w:rsidRPr="00847FAE">
              <w:rPr>
                <w:rFonts w:cs="Calibri"/>
                <w:color w:val="000000"/>
                <w:sz w:val="18"/>
                <w:szCs w:val="18"/>
              </w:rPr>
              <w:t>11.5</w:t>
            </w:r>
          </w:p>
        </w:tc>
        <w:tc>
          <w:tcPr>
            <w:tcW w:w="992" w:type="dxa"/>
            <w:tcBorders>
              <w:bottom w:val="single" w:sz="4" w:space="0" w:color="auto"/>
            </w:tcBorders>
            <w:noWrap/>
            <w:vAlign w:val="center"/>
          </w:tcPr>
          <w:p w14:paraId="6CD9D6B5" w14:textId="77777777" w:rsidR="00FD6F91" w:rsidRPr="00847FAE" w:rsidRDefault="00FD6F91" w:rsidP="00FD6F91">
            <w:pPr>
              <w:jc w:val="center"/>
              <w:rPr>
                <w:rFonts w:cs="Calibri"/>
                <w:color w:val="000000"/>
                <w:sz w:val="18"/>
                <w:szCs w:val="18"/>
              </w:rPr>
            </w:pPr>
            <w:r w:rsidRPr="00847FAE">
              <w:rPr>
                <w:rFonts w:cs="Calibri"/>
                <w:color w:val="000000"/>
                <w:sz w:val="18"/>
                <w:szCs w:val="18"/>
              </w:rPr>
              <w:t>12.4</w:t>
            </w:r>
          </w:p>
        </w:tc>
        <w:tc>
          <w:tcPr>
            <w:tcW w:w="992" w:type="dxa"/>
            <w:tcBorders>
              <w:bottom w:val="single" w:sz="4" w:space="0" w:color="auto"/>
            </w:tcBorders>
            <w:noWrap/>
            <w:vAlign w:val="center"/>
          </w:tcPr>
          <w:p w14:paraId="7C0ED14A" w14:textId="77777777" w:rsidR="00FD6F91" w:rsidRPr="00847FAE" w:rsidRDefault="00FD6F91" w:rsidP="00FD6F91">
            <w:pPr>
              <w:jc w:val="center"/>
              <w:rPr>
                <w:rFonts w:cs="Calibri"/>
                <w:color w:val="000000"/>
                <w:sz w:val="18"/>
                <w:szCs w:val="18"/>
              </w:rPr>
            </w:pPr>
            <w:r w:rsidRPr="00847FAE">
              <w:rPr>
                <w:rFonts w:cs="Calibri"/>
                <w:color w:val="000000"/>
                <w:sz w:val="18"/>
                <w:szCs w:val="18"/>
              </w:rPr>
              <w:t>10.7</w:t>
            </w:r>
          </w:p>
        </w:tc>
        <w:tc>
          <w:tcPr>
            <w:tcW w:w="1134" w:type="dxa"/>
            <w:tcBorders>
              <w:bottom w:val="single" w:sz="4" w:space="0" w:color="auto"/>
            </w:tcBorders>
            <w:noWrap/>
            <w:vAlign w:val="center"/>
          </w:tcPr>
          <w:p w14:paraId="5F8007AE" w14:textId="77777777" w:rsidR="00FD6F91" w:rsidRPr="00847FAE" w:rsidRDefault="00FD6F91" w:rsidP="00FD6F91">
            <w:pPr>
              <w:jc w:val="center"/>
              <w:rPr>
                <w:rFonts w:cs="Calibri"/>
                <w:color w:val="000000"/>
                <w:sz w:val="18"/>
                <w:szCs w:val="18"/>
              </w:rPr>
            </w:pPr>
            <w:r w:rsidRPr="00847FAE">
              <w:rPr>
                <w:rFonts w:cs="Calibri"/>
                <w:color w:val="000000"/>
                <w:sz w:val="18"/>
                <w:szCs w:val="18"/>
              </w:rPr>
              <w:t>-1.7 pp</w:t>
            </w:r>
          </w:p>
        </w:tc>
      </w:tr>
      <w:tr w:rsidR="00FD6F91" w:rsidRPr="00847FAE" w14:paraId="0F7EA2B0" w14:textId="77777777" w:rsidTr="001F1F60">
        <w:trPr>
          <w:cantSplit/>
          <w:trHeight w:val="255"/>
        </w:trPr>
        <w:tc>
          <w:tcPr>
            <w:tcW w:w="2972" w:type="dxa"/>
            <w:gridSpan w:val="4"/>
            <w:tcBorders>
              <w:top w:val="single" w:sz="4" w:space="0" w:color="auto"/>
              <w:bottom w:val="single" w:sz="4" w:space="0" w:color="auto"/>
            </w:tcBorders>
            <w:noWrap/>
            <w:vAlign w:val="center"/>
            <w:hideMark/>
          </w:tcPr>
          <w:p w14:paraId="7BFCBAC4" w14:textId="77777777" w:rsidR="00FD6F91" w:rsidRPr="00847FAE" w:rsidRDefault="00FD6F91" w:rsidP="00FD6F91">
            <w:pPr>
              <w:keepNext/>
              <w:rPr>
                <w:rFonts w:cs="Calibri"/>
                <w:color w:val="000000"/>
                <w:sz w:val="18"/>
                <w:szCs w:val="18"/>
              </w:rPr>
            </w:pPr>
            <w:r w:rsidRPr="00D83DA4">
              <w:rPr>
                <w:rFonts w:cs="Calibri"/>
                <w:color w:val="000000"/>
                <w:sz w:val="18"/>
                <w:szCs w:val="18"/>
              </w:rPr>
              <w:t>CHILDREN’S COURT</w:t>
            </w:r>
          </w:p>
        </w:tc>
        <w:tc>
          <w:tcPr>
            <w:tcW w:w="992" w:type="dxa"/>
            <w:tcBorders>
              <w:top w:val="single" w:sz="4" w:space="0" w:color="auto"/>
              <w:bottom w:val="single" w:sz="4" w:space="0" w:color="auto"/>
            </w:tcBorders>
            <w:noWrap/>
            <w:vAlign w:val="center"/>
          </w:tcPr>
          <w:p w14:paraId="2995F3A8" w14:textId="77777777" w:rsidR="00FD6F91" w:rsidRPr="00847FAE" w:rsidRDefault="00FD6F91" w:rsidP="00FD6F91">
            <w:pPr>
              <w:keepNext/>
              <w:jc w:val="right"/>
              <w:rPr>
                <w:rFonts w:cs="Calibri"/>
                <w:color w:val="000000"/>
                <w:sz w:val="18"/>
                <w:szCs w:val="18"/>
              </w:rPr>
            </w:pPr>
          </w:p>
        </w:tc>
        <w:tc>
          <w:tcPr>
            <w:tcW w:w="993" w:type="dxa"/>
            <w:tcBorders>
              <w:top w:val="single" w:sz="4" w:space="0" w:color="auto"/>
              <w:bottom w:val="single" w:sz="4" w:space="0" w:color="auto"/>
            </w:tcBorders>
            <w:noWrap/>
            <w:vAlign w:val="center"/>
          </w:tcPr>
          <w:p w14:paraId="78B130A5" w14:textId="77777777" w:rsidR="00FD6F91" w:rsidRPr="00847FAE" w:rsidRDefault="00FD6F91" w:rsidP="00FD6F91">
            <w:pPr>
              <w:keepNext/>
              <w:jc w:val="right"/>
              <w:rPr>
                <w:rFonts w:cs="Calibri"/>
                <w:color w:val="000000"/>
                <w:sz w:val="18"/>
                <w:szCs w:val="18"/>
              </w:rPr>
            </w:pPr>
          </w:p>
        </w:tc>
        <w:tc>
          <w:tcPr>
            <w:tcW w:w="992" w:type="dxa"/>
            <w:tcBorders>
              <w:top w:val="single" w:sz="4" w:space="0" w:color="auto"/>
              <w:bottom w:val="single" w:sz="4" w:space="0" w:color="auto"/>
            </w:tcBorders>
            <w:noWrap/>
            <w:vAlign w:val="center"/>
          </w:tcPr>
          <w:p w14:paraId="40A4281F" w14:textId="77777777" w:rsidR="00FD6F91" w:rsidRPr="00847FAE" w:rsidRDefault="00FD6F91" w:rsidP="00FD6F91">
            <w:pPr>
              <w:keepNext/>
              <w:jc w:val="right"/>
              <w:rPr>
                <w:rFonts w:cs="Calibri"/>
                <w:color w:val="000000"/>
                <w:sz w:val="18"/>
                <w:szCs w:val="18"/>
              </w:rPr>
            </w:pPr>
          </w:p>
        </w:tc>
        <w:tc>
          <w:tcPr>
            <w:tcW w:w="992" w:type="dxa"/>
            <w:tcBorders>
              <w:top w:val="single" w:sz="4" w:space="0" w:color="auto"/>
              <w:bottom w:val="single" w:sz="4" w:space="0" w:color="auto"/>
            </w:tcBorders>
            <w:noWrap/>
            <w:vAlign w:val="center"/>
          </w:tcPr>
          <w:p w14:paraId="74A4029A" w14:textId="77777777" w:rsidR="00FD6F91" w:rsidRPr="00847FAE" w:rsidRDefault="00FD6F91" w:rsidP="00FD6F91">
            <w:pPr>
              <w:keepNext/>
              <w:jc w:val="right"/>
              <w:rPr>
                <w:rFonts w:cs="Calibri"/>
                <w:color w:val="000000"/>
                <w:sz w:val="18"/>
                <w:szCs w:val="18"/>
              </w:rPr>
            </w:pPr>
          </w:p>
        </w:tc>
        <w:tc>
          <w:tcPr>
            <w:tcW w:w="992" w:type="dxa"/>
            <w:tcBorders>
              <w:top w:val="single" w:sz="4" w:space="0" w:color="auto"/>
              <w:bottom w:val="single" w:sz="4" w:space="0" w:color="auto"/>
            </w:tcBorders>
            <w:noWrap/>
            <w:vAlign w:val="center"/>
          </w:tcPr>
          <w:p w14:paraId="5304C9E0" w14:textId="77777777" w:rsidR="00FD6F91" w:rsidRPr="00847FAE" w:rsidRDefault="00FD6F91" w:rsidP="00FD6F91">
            <w:pPr>
              <w:keepNext/>
              <w:jc w:val="right"/>
              <w:rPr>
                <w:rFonts w:cs="Calibri"/>
                <w:color w:val="000000"/>
                <w:sz w:val="18"/>
                <w:szCs w:val="18"/>
              </w:rPr>
            </w:pPr>
          </w:p>
        </w:tc>
        <w:tc>
          <w:tcPr>
            <w:tcW w:w="1134" w:type="dxa"/>
            <w:tcBorders>
              <w:top w:val="single" w:sz="4" w:space="0" w:color="auto"/>
              <w:bottom w:val="single" w:sz="4" w:space="0" w:color="auto"/>
            </w:tcBorders>
            <w:noWrap/>
            <w:vAlign w:val="center"/>
          </w:tcPr>
          <w:p w14:paraId="79C180FF" w14:textId="77777777" w:rsidR="00FD6F91" w:rsidRPr="00847FAE" w:rsidRDefault="00FD6F91" w:rsidP="00FD6F91">
            <w:pPr>
              <w:keepNext/>
              <w:jc w:val="center"/>
              <w:rPr>
                <w:rFonts w:cs="Calibri"/>
                <w:iCs/>
                <w:color w:val="000000"/>
                <w:sz w:val="18"/>
                <w:szCs w:val="18"/>
              </w:rPr>
            </w:pPr>
          </w:p>
        </w:tc>
      </w:tr>
      <w:tr w:rsidR="00FD6F91" w:rsidRPr="00847FAE" w14:paraId="2D420BDF" w14:textId="77777777" w:rsidTr="001F1F60">
        <w:trPr>
          <w:cantSplit/>
          <w:trHeight w:val="255"/>
        </w:trPr>
        <w:tc>
          <w:tcPr>
            <w:tcW w:w="2972" w:type="dxa"/>
            <w:gridSpan w:val="4"/>
            <w:tcBorders>
              <w:top w:val="single" w:sz="4" w:space="0" w:color="auto"/>
            </w:tcBorders>
            <w:shd w:val="clear" w:color="auto" w:fill="D9D9D9" w:themeFill="background1" w:themeFillShade="D9"/>
            <w:noWrap/>
            <w:vAlign w:val="center"/>
            <w:hideMark/>
          </w:tcPr>
          <w:p w14:paraId="0833EAB8"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Total lodged pending completion</w:t>
            </w:r>
          </w:p>
        </w:tc>
        <w:tc>
          <w:tcPr>
            <w:tcW w:w="992" w:type="dxa"/>
            <w:tcBorders>
              <w:top w:val="single" w:sz="4" w:space="0" w:color="auto"/>
            </w:tcBorders>
            <w:shd w:val="clear" w:color="auto" w:fill="D9D9D9" w:themeFill="background1" w:themeFillShade="D9"/>
            <w:noWrap/>
            <w:vAlign w:val="center"/>
          </w:tcPr>
          <w:p w14:paraId="4AC051D6" w14:textId="77777777" w:rsidR="00FD6F91" w:rsidRPr="00847FAE" w:rsidRDefault="00FD6F91" w:rsidP="00FD6F91">
            <w:pPr>
              <w:jc w:val="center"/>
              <w:rPr>
                <w:rFonts w:cs="Calibri"/>
                <w:color w:val="000000"/>
                <w:sz w:val="18"/>
                <w:szCs w:val="18"/>
              </w:rPr>
            </w:pPr>
            <w:r w:rsidRPr="00847FAE">
              <w:rPr>
                <w:rFonts w:cs="Calibri"/>
                <w:color w:val="000000"/>
                <w:sz w:val="18"/>
                <w:szCs w:val="18"/>
              </w:rPr>
              <w:t>86</w:t>
            </w:r>
          </w:p>
        </w:tc>
        <w:tc>
          <w:tcPr>
            <w:tcW w:w="993" w:type="dxa"/>
            <w:tcBorders>
              <w:top w:val="single" w:sz="4" w:space="0" w:color="auto"/>
            </w:tcBorders>
            <w:shd w:val="clear" w:color="auto" w:fill="D9D9D9" w:themeFill="background1" w:themeFillShade="D9"/>
            <w:noWrap/>
            <w:vAlign w:val="center"/>
          </w:tcPr>
          <w:p w14:paraId="4F105309" w14:textId="77777777" w:rsidR="00FD6F91" w:rsidRPr="00847FAE" w:rsidRDefault="00FD6F91" w:rsidP="00FD6F91">
            <w:pPr>
              <w:jc w:val="center"/>
              <w:rPr>
                <w:rFonts w:cs="Calibri"/>
                <w:color w:val="000000"/>
                <w:sz w:val="18"/>
                <w:szCs w:val="18"/>
              </w:rPr>
            </w:pPr>
            <w:r w:rsidRPr="00847FAE">
              <w:rPr>
                <w:rFonts w:cs="Calibri"/>
                <w:color w:val="000000"/>
                <w:sz w:val="18"/>
                <w:szCs w:val="18"/>
              </w:rPr>
              <w:t>45</w:t>
            </w:r>
          </w:p>
        </w:tc>
        <w:tc>
          <w:tcPr>
            <w:tcW w:w="992" w:type="dxa"/>
            <w:tcBorders>
              <w:top w:val="single" w:sz="4" w:space="0" w:color="auto"/>
            </w:tcBorders>
            <w:shd w:val="clear" w:color="auto" w:fill="D9D9D9" w:themeFill="background1" w:themeFillShade="D9"/>
            <w:noWrap/>
            <w:vAlign w:val="center"/>
          </w:tcPr>
          <w:p w14:paraId="404E675F" w14:textId="77777777" w:rsidR="00FD6F91" w:rsidRPr="00847FAE" w:rsidRDefault="00FD6F91" w:rsidP="00FD6F91">
            <w:pPr>
              <w:jc w:val="center"/>
              <w:rPr>
                <w:rFonts w:cs="Calibri"/>
                <w:color w:val="000000"/>
                <w:sz w:val="18"/>
                <w:szCs w:val="18"/>
              </w:rPr>
            </w:pPr>
            <w:r w:rsidRPr="00847FAE">
              <w:rPr>
                <w:rFonts w:cs="Calibri"/>
                <w:color w:val="000000"/>
                <w:sz w:val="18"/>
                <w:szCs w:val="18"/>
              </w:rPr>
              <w:t>58</w:t>
            </w:r>
          </w:p>
        </w:tc>
        <w:tc>
          <w:tcPr>
            <w:tcW w:w="992" w:type="dxa"/>
            <w:tcBorders>
              <w:top w:val="single" w:sz="4" w:space="0" w:color="auto"/>
            </w:tcBorders>
            <w:shd w:val="clear" w:color="auto" w:fill="D9D9D9" w:themeFill="background1" w:themeFillShade="D9"/>
            <w:noWrap/>
            <w:vAlign w:val="center"/>
          </w:tcPr>
          <w:p w14:paraId="1AE07EF5" w14:textId="77777777" w:rsidR="00FD6F91" w:rsidRPr="00847FAE" w:rsidRDefault="00FD6F91" w:rsidP="00FD6F91">
            <w:pPr>
              <w:jc w:val="center"/>
              <w:rPr>
                <w:rFonts w:cs="Calibri"/>
                <w:color w:val="000000"/>
                <w:sz w:val="18"/>
                <w:szCs w:val="18"/>
              </w:rPr>
            </w:pPr>
            <w:r w:rsidRPr="00847FAE">
              <w:rPr>
                <w:rFonts w:cs="Calibri"/>
                <w:color w:val="000000"/>
                <w:sz w:val="18"/>
                <w:szCs w:val="18"/>
              </w:rPr>
              <w:t>59</w:t>
            </w:r>
          </w:p>
        </w:tc>
        <w:tc>
          <w:tcPr>
            <w:tcW w:w="992" w:type="dxa"/>
            <w:tcBorders>
              <w:top w:val="single" w:sz="4" w:space="0" w:color="auto"/>
            </w:tcBorders>
            <w:shd w:val="clear" w:color="auto" w:fill="D9D9D9" w:themeFill="background1" w:themeFillShade="D9"/>
            <w:noWrap/>
            <w:vAlign w:val="center"/>
          </w:tcPr>
          <w:p w14:paraId="31732F82" w14:textId="77777777" w:rsidR="00FD6F91" w:rsidRPr="00847FAE" w:rsidRDefault="00FD6F91" w:rsidP="00FD6F91">
            <w:pPr>
              <w:jc w:val="center"/>
              <w:rPr>
                <w:rFonts w:cs="Calibri"/>
                <w:color w:val="000000"/>
                <w:sz w:val="18"/>
                <w:szCs w:val="18"/>
              </w:rPr>
            </w:pPr>
            <w:r w:rsidRPr="00847FAE">
              <w:rPr>
                <w:rFonts w:cs="Calibri"/>
                <w:color w:val="000000"/>
                <w:sz w:val="18"/>
                <w:szCs w:val="18"/>
              </w:rPr>
              <w:t>66</w:t>
            </w:r>
          </w:p>
        </w:tc>
        <w:tc>
          <w:tcPr>
            <w:tcW w:w="1134" w:type="dxa"/>
            <w:tcBorders>
              <w:top w:val="single" w:sz="4" w:space="0" w:color="auto"/>
            </w:tcBorders>
            <w:shd w:val="clear" w:color="auto" w:fill="D9D9D9" w:themeFill="background1" w:themeFillShade="D9"/>
            <w:noWrap/>
            <w:vAlign w:val="center"/>
          </w:tcPr>
          <w:p w14:paraId="2AF2520A" w14:textId="77777777" w:rsidR="00FD6F91" w:rsidRPr="00847FAE" w:rsidRDefault="00FD6F91" w:rsidP="00FD6F91">
            <w:pPr>
              <w:jc w:val="center"/>
              <w:rPr>
                <w:rFonts w:cs="Calibri"/>
                <w:color w:val="000000"/>
                <w:sz w:val="18"/>
                <w:szCs w:val="18"/>
              </w:rPr>
            </w:pPr>
            <w:r w:rsidRPr="00847FAE">
              <w:rPr>
                <w:rFonts w:cs="Calibri"/>
                <w:color w:val="000000"/>
                <w:sz w:val="18"/>
                <w:szCs w:val="18"/>
              </w:rPr>
              <w:t>11.9%</w:t>
            </w:r>
          </w:p>
        </w:tc>
      </w:tr>
      <w:tr w:rsidR="00FD6F91" w:rsidRPr="00847FAE" w14:paraId="34536935" w14:textId="77777777" w:rsidTr="001F1F60">
        <w:trPr>
          <w:cantSplit/>
          <w:trHeight w:val="255"/>
        </w:trPr>
        <w:tc>
          <w:tcPr>
            <w:tcW w:w="2972" w:type="dxa"/>
            <w:gridSpan w:val="4"/>
            <w:noWrap/>
            <w:vAlign w:val="center"/>
            <w:hideMark/>
          </w:tcPr>
          <w:p w14:paraId="59CE335E"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w:t>
            </w:r>
            <w:r w:rsidRPr="00847FAE">
              <w:rPr>
                <w:rFonts w:cs="Calibri"/>
                <w:iCs/>
                <w:color w:val="000000"/>
                <w:sz w:val="18"/>
                <w:szCs w:val="18"/>
              </w:rPr>
              <w:t>Between 6 and 12 months</w:t>
            </w:r>
          </w:p>
        </w:tc>
        <w:tc>
          <w:tcPr>
            <w:tcW w:w="992" w:type="dxa"/>
            <w:noWrap/>
            <w:vAlign w:val="center"/>
          </w:tcPr>
          <w:p w14:paraId="56957051" w14:textId="77777777" w:rsidR="00FD6F91" w:rsidRPr="00847FAE" w:rsidRDefault="00FD6F91" w:rsidP="00FD6F91">
            <w:pPr>
              <w:jc w:val="center"/>
              <w:rPr>
                <w:rFonts w:cs="Calibri"/>
                <w:color w:val="000000"/>
                <w:sz w:val="18"/>
                <w:szCs w:val="18"/>
              </w:rPr>
            </w:pPr>
            <w:r w:rsidRPr="00847FAE">
              <w:rPr>
                <w:rFonts w:cs="Calibri"/>
                <w:color w:val="000000"/>
                <w:sz w:val="18"/>
                <w:szCs w:val="18"/>
              </w:rPr>
              <w:t>8</w:t>
            </w:r>
          </w:p>
        </w:tc>
        <w:tc>
          <w:tcPr>
            <w:tcW w:w="993" w:type="dxa"/>
            <w:noWrap/>
            <w:vAlign w:val="center"/>
          </w:tcPr>
          <w:p w14:paraId="3E02C518"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992" w:type="dxa"/>
            <w:noWrap/>
            <w:vAlign w:val="center"/>
          </w:tcPr>
          <w:p w14:paraId="0B4FF241" w14:textId="77777777" w:rsidR="00FD6F91" w:rsidRPr="00847FAE" w:rsidRDefault="00FD6F91" w:rsidP="00FD6F91">
            <w:pPr>
              <w:jc w:val="center"/>
              <w:rPr>
                <w:rFonts w:cs="Calibri"/>
                <w:color w:val="000000"/>
                <w:sz w:val="18"/>
                <w:szCs w:val="18"/>
              </w:rPr>
            </w:pPr>
            <w:r w:rsidRPr="00847FAE">
              <w:rPr>
                <w:rFonts w:cs="Calibri"/>
                <w:color w:val="000000"/>
                <w:sz w:val="18"/>
                <w:szCs w:val="18"/>
              </w:rPr>
              <w:t>5</w:t>
            </w:r>
          </w:p>
        </w:tc>
        <w:tc>
          <w:tcPr>
            <w:tcW w:w="992" w:type="dxa"/>
            <w:noWrap/>
            <w:vAlign w:val="center"/>
          </w:tcPr>
          <w:p w14:paraId="150D5480" w14:textId="77777777" w:rsidR="00FD6F91" w:rsidRPr="00847FAE" w:rsidRDefault="00FD6F91" w:rsidP="00FD6F91">
            <w:pPr>
              <w:jc w:val="center"/>
              <w:rPr>
                <w:rFonts w:cs="Calibri"/>
                <w:color w:val="000000"/>
                <w:sz w:val="18"/>
                <w:szCs w:val="18"/>
              </w:rPr>
            </w:pPr>
            <w:r w:rsidRPr="00847FAE">
              <w:rPr>
                <w:rFonts w:cs="Calibri"/>
                <w:color w:val="000000"/>
                <w:sz w:val="18"/>
                <w:szCs w:val="18"/>
              </w:rPr>
              <w:t>6</w:t>
            </w:r>
          </w:p>
        </w:tc>
        <w:tc>
          <w:tcPr>
            <w:tcW w:w="992" w:type="dxa"/>
            <w:noWrap/>
            <w:vAlign w:val="center"/>
          </w:tcPr>
          <w:p w14:paraId="3B6F5E69" w14:textId="77777777" w:rsidR="00FD6F91" w:rsidRPr="00847FAE" w:rsidRDefault="00FD6F91" w:rsidP="00FD6F91">
            <w:pPr>
              <w:jc w:val="center"/>
              <w:rPr>
                <w:rFonts w:cs="Calibri"/>
                <w:color w:val="000000"/>
                <w:sz w:val="18"/>
                <w:szCs w:val="18"/>
              </w:rPr>
            </w:pPr>
            <w:r w:rsidRPr="00847FAE">
              <w:rPr>
                <w:rFonts w:cs="Calibri"/>
                <w:color w:val="000000"/>
                <w:sz w:val="18"/>
                <w:szCs w:val="18"/>
              </w:rPr>
              <w:t>13</w:t>
            </w:r>
          </w:p>
        </w:tc>
        <w:tc>
          <w:tcPr>
            <w:tcW w:w="1134" w:type="dxa"/>
            <w:noWrap/>
            <w:vAlign w:val="center"/>
          </w:tcPr>
          <w:p w14:paraId="3A85A68E" w14:textId="77777777" w:rsidR="00FD6F91" w:rsidRPr="00847FAE" w:rsidRDefault="00FD6F91" w:rsidP="00FD6F91">
            <w:pPr>
              <w:jc w:val="center"/>
              <w:rPr>
                <w:rFonts w:cs="Calibri"/>
                <w:color w:val="000000"/>
                <w:sz w:val="18"/>
                <w:szCs w:val="18"/>
              </w:rPr>
            </w:pPr>
            <w:r w:rsidRPr="00847FAE">
              <w:rPr>
                <w:rFonts w:cs="Calibri"/>
                <w:color w:val="000000"/>
                <w:sz w:val="18"/>
                <w:szCs w:val="18"/>
              </w:rPr>
              <w:t>116.7%</w:t>
            </w:r>
          </w:p>
        </w:tc>
      </w:tr>
      <w:tr w:rsidR="00FD6F91" w:rsidRPr="00847FAE" w14:paraId="5DB3750C" w14:textId="77777777" w:rsidTr="001F1F60">
        <w:trPr>
          <w:cantSplit/>
          <w:trHeight w:val="255"/>
        </w:trPr>
        <w:tc>
          <w:tcPr>
            <w:tcW w:w="2972" w:type="dxa"/>
            <w:gridSpan w:val="4"/>
            <w:noWrap/>
            <w:vAlign w:val="center"/>
            <w:hideMark/>
          </w:tcPr>
          <w:p w14:paraId="7EF7E500"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Greater than 12 months</w:t>
            </w:r>
          </w:p>
        </w:tc>
        <w:tc>
          <w:tcPr>
            <w:tcW w:w="992" w:type="dxa"/>
            <w:noWrap/>
            <w:vAlign w:val="center"/>
          </w:tcPr>
          <w:p w14:paraId="07192D89"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993" w:type="dxa"/>
            <w:noWrap/>
            <w:vAlign w:val="center"/>
          </w:tcPr>
          <w:p w14:paraId="6BF4900C" w14:textId="77777777" w:rsidR="00FD6F91" w:rsidRPr="00847FAE" w:rsidRDefault="00FD6F91" w:rsidP="00FD6F91">
            <w:pPr>
              <w:jc w:val="center"/>
              <w:rPr>
                <w:rFonts w:cs="Calibri"/>
                <w:color w:val="000000"/>
                <w:sz w:val="18"/>
                <w:szCs w:val="18"/>
              </w:rPr>
            </w:pPr>
            <w:r w:rsidRPr="00847FAE">
              <w:rPr>
                <w:rFonts w:cs="Calibri"/>
                <w:color w:val="000000"/>
                <w:sz w:val="18"/>
                <w:szCs w:val="18"/>
              </w:rPr>
              <w:t>4</w:t>
            </w:r>
          </w:p>
        </w:tc>
        <w:tc>
          <w:tcPr>
            <w:tcW w:w="992" w:type="dxa"/>
            <w:noWrap/>
            <w:vAlign w:val="center"/>
          </w:tcPr>
          <w:p w14:paraId="20470DCE" w14:textId="77777777" w:rsidR="00FD6F91" w:rsidRPr="00847FAE" w:rsidRDefault="00FD6F91" w:rsidP="00FD6F91">
            <w:pPr>
              <w:jc w:val="center"/>
              <w:rPr>
                <w:rFonts w:cs="Calibri"/>
                <w:color w:val="000000"/>
                <w:sz w:val="18"/>
                <w:szCs w:val="18"/>
              </w:rPr>
            </w:pPr>
            <w:r w:rsidRPr="00847FAE">
              <w:rPr>
                <w:rFonts w:cs="Calibri"/>
                <w:color w:val="000000"/>
                <w:sz w:val="18"/>
                <w:szCs w:val="18"/>
              </w:rPr>
              <w:t>3</w:t>
            </w:r>
          </w:p>
        </w:tc>
        <w:tc>
          <w:tcPr>
            <w:tcW w:w="992" w:type="dxa"/>
            <w:noWrap/>
            <w:vAlign w:val="center"/>
          </w:tcPr>
          <w:p w14:paraId="60E94B9C" w14:textId="77777777" w:rsidR="00FD6F91" w:rsidRPr="00847FAE" w:rsidRDefault="00FD6F91" w:rsidP="00FD6F91">
            <w:pPr>
              <w:jc w:val="center"/>
              <w:rPr>
                <w:rFonts w:cs="Calibri"/>
                <w:color w:val="000000"/>
                <w:sz w:val="18"/>
                <w:szCs w:val="18"/>
              </w:rPr>
            </w:pPr>
            <w:r w:rsidRPr="00847FAE">
              <w:rPr>
                <w:rFonts w:cs="Calibri"/>
                <w:color w:val="000000"/>
                <w:sz w:val="18"/>
                <w:szCs w:val="18"/>
              </w:rPr>
              <w:t>6</w:t>
            </w:r>
          </w:p>
        </w:tc>
        <w:tc>
          <w:tcPr>
            <w:tcW w:w="992" w:type="dxa"/>
            <w:noWrap/>
            <w:vAlign w:val="center"/>
          </w:tcPr>
          <w:p w14:paraId="71068D37" w14:textId="77777777" w:rsidR="00FD6F91" w:rsidRPr="00847FAE" w:rsidRDefault="00FD6F91" w:rsidP="00FD6F91">
            <w:pPr>
              <w:jc w:val="center"/>
              <w:rPr>
                <w:rFonts w:cs="Calibri"/>
                <w:color w:val="000000"/>
                <w:sz w:val="18"/>
                <w:szCs w:val="18"/>
              </w:rPr>
            </w:pPr>
            <w:r w:rsidRPr="00847FAE">
              <w:rPr>
                <w:rFonts w:cs="Calibri"/>
                <w:color w:val="000000"/>
                <w:sz w:val="18"/>
                <w:szCs w:val="18"/>
              </w:rPr>
              <w:t>11</w:t>
            </w:r>
          </w:p>
        </w:tc>
        <w:tc>
          <w:tcPr>
            <w:tcW w:w="1134" w:type="dxa"/>
            <w:noWrap/>
            <w:vAlign w:val="center"/>
          </w:tcPr>
          <w:p w14:paraId="23646640" w14:textId="77777777" w:rsidR="00FD6F91" w:rsidRPr="00847FAE" w:rsidRDefault="00FD6F91" w:rsidP="00FD6F91">
            <w:pPr>
              <w:jc w:val="center"/>
              <w:rPr>
                <w:rFonts w:cs="Calibri"/>
                <w:color w:val="000000"/>
                <w:sz w:val="18"/>
                <w:szCs w:val="18"/>
              </w:rPr>
            </w:pPr>
            <w:r w:rsidRPr="00847FAE">
              <w:rPr>
                <w:rFonts w:cs="Calibri"/>
                <w:color w:val="000000"/>
                <w:sz w:val="18"/>
                <w:szCs w:val="18"/>
              </w:rPr>
              <w:t>83.3%</w:t>
            </w:r>
          </w:p>
        </w:tc>
      </w:tr>
      <w:tr w:rsidR="00FD6F91" w:rsidRPr="00847FAE" w14:paraId="055C39F7" w14:textId="77777777" w:rsidTr="001F1F60">
        <w:trPr>
          <w:cantSplit/>
          <w:trHeight w:val="255"/>
        </w:trPr>
        <w:tc>
          <w:tcPr>
            <w:tcW w:w="2972" w:type="dxa"/>
            <w:gridSpan w:val="4"/>
            <w:shd w:val="clear" w:color="auto" w:fill="D9D9D9" w:themeFill="background1" w:themeFillShade="D9"/>
            <w:noWrap/>
            <w:vAlign w:val="center"/>
          </w:tcPr>
          <w:p w14:paraId="489E385B"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 xml:space="preserve">Backlog indicator </w:t>
            </w:r>
          </w:p>
        </w:tc>
        <w:tc>
          <w:tcPr>
            <w:tcW w:w="992" w:type="dxa"/>
            <w:shd w:val="clear" w:color="auto" w:fill="D9D9D9" w:themeFill="background1" w:themeFillShade="D9"/>
            <w:noWrap/>
            <w:vAlign w:val="bottom"/>
          </w:tcPr>
          <w:p w14:paraId="78E4E395" w14:textId="77777777" w:rsidR="00FD6F91" w:rsidRPr="00847FAE" w:rsidRDefault="00FD6F91" w:rsidP="00FD6F91">
            <w:pPr>
              <w:keepNext/>
              <w:jc w:val="right"/>
              <w:rPr>
                <w:rFonts w:cs="Calibri"/>
                <w:iCs/>
                <w:color w:val="000000"/>
                <w:sz w:val="18"/>
                <w:szCs w:val="18"/>
              </w:rPr>
            </w:pPr>
          </w:p>
        </w:tc>
        <w:tc>
          <w:tcPr>
            <w:tcW w:w="993" w:type="dxa"/>
            <w:shd w:val="clear" w:color="auto" w:fill="D9D9D9" w:themeFill="background1" w:themeFillShade="D9"/>
            <w:noWrap/>
            <w:vAlign w:val="bottom"/>
          </w:tcPr>
          <w:p w14:paraId="7FFBB3E0"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bottom"/>
          </w:tcPr>
          <w:p w14:paraId="7630962D"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bottom"/>
          </w:tcPr>
          <w:p w14:paraId="40FE3BA7" w14:textId="77777777" w:rsidR="00FD6F91" w:rsidRPr="00847FAE" w:rsidRDefault="00FD6F91" w:rsidP="00FD6F91">
            <w:pPr>
              <w:keepNext/>
              <w:jc w:val="right"/>
              <w:rPr>
                <w:rFonts w:cs="Calibri"/>
                <w:iCs/>
                <w:color w:val="000000"/>
                <w:sz w:val="18"/>
                <w:szCs w:val="18"/>
              </w:rPr>
            </w:pPr>
          </w:p>
        </w:tc>
        <w:tc>
          <w:tcPr>
            <w:tcW w:w="992" w:type="dxa"/>
            <w:shd w:val="clear" w:color="auto" w:fill="D9D9D9" w:themeFill="background1" w:themeFillShade="D9"/>
            <w:noWrap/>
            <w:vAlign w:val="bottom"/>
          </w:tcPr>
          <w:p w14:paraId="74434085" w14:textId="77777777" w:rsidR="00FD6F91" w:rsidRPr="00847FAE" w:rsidRDefault="00FD6F91" w:rsidP="00FD6F91">
            <w:pPr>
              <w:keepNext/>
              <w:jc w:val="right"/>
              <w:rPr>
                <w:rFonts w:cs="Calibri"/>
                <w:iCs/>
                <w:color w:val="000000"/>
                <w:sz w:val="18"/>
                <w:szCs w:val="18"/>
              </w:rPr>
            </w:pPr>
          </w:p>
        </w:tc>
        <w:tc>
          <w:tcPr>
            <w:tcW w:w="1134" w:type="dxa"/>
            <w:shd w:val="clear" w:color="auto" w:fill="D9D9D9" w:themeFill="background1" w:themeFillShade="D9"/>
            <w:noWrap/>
            <w:vAlign w:val="center"/>
          </w:tcPr>
          <w:p w14:paraId="530F19C3" w14:textId="77777777" w:rsidR="00FD6F91" w:rsidRPr="00847FAE" w:rsidRDefault="00FD6F91" w:rsidP="00FD6F91">
            <w:pPr>
              <w:keepNext/>
              <w:jc w:val="center"/>
              <w:rPr>
                <w:rFonts w:cs="Calibri"/>
                <w:iCs/>
                <w:color w:val="000000"/>
                <w:sz w:val="18"/>
                <w:szCs w:val="18"/>
              </w:rPr>
            </w:pPr>
          </w:p>
        </w:tc>
      </w:tr>
      <w:tr w:rsidR="00FD6F91" w:rsidRPr="00847FAE" w14:paraId="2B425807" w14:textId="77777777" w:rsidTr="001F1F60">
        <w:trPr>
          <w:cantSplit/>
          <w:trHeight w:val="255"/>
        </w:trPr>
        <w:tc>
          <w:tcPr>
            <w:tcW w:w="2972" w:type="dxa"/>
            <w:gridSpan w:val="4"/>
            <w:noWrap/>
            <w:vAlign w:val="center"/>
          </w:tcPr>
          <w:p w14:paraId="3E287054"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92" w:type="dxa"/>
            <w:noWrap/>
            <w:vAlign w:val="center"/>
          </w:tcPr>
          <w:p w14:paraId="306A17D0" w14:textId="77777777" w:rsidR="00FD6F91" w:rsidRPr="00847FAE" w:rsidRDefault="00FD6F91" w:rsidP="00FD6F91">
            <w:pPr>
              <w:jc w:val="center"/>
              <w:rPr>
                <w:rFonts w:cs="Calibri"/>
                <w:color w:val="000000"/>
                <w:sz w:val="18"/>
                <w:szCs w:val="18"/>
              </w:rPr>
            </w:pPr>
            <w:r w:rsidRPr="00847FAE">
              <w:rPr>
                <w:rFonts w:cs="Calibri"/>
                <w:color w:val="000000"/>
                <w:sz w:val="18"/>
                <w:szCs w:val="18"/>
              </w:rPr>
              <w:t>12.8</w:t>
            </w:r>
          </w:p>
        </w:tc>
        <w:tc>
          <w:tcPr>
            <w:tcW w:w="993" w:type="dxa"/>
            <w:noWrap/>
            <w:vAlign w:val="center"/>
          </w:tcPr>
          <w:p w14:paraId="71206379" w14:textId="77777777" w:rsidR="00FD6F91" w:rsidRPr="00847FAE" w:rsidRDefault="00FD6F91" w:rsidP="00FD6F91">
            <w:pPr>
              <w:jc w:val="center"/>
              <w:rPr>
                <w:rFonts w:cs="Calibri"/>
                <w:color w:val="000000"/>
                <w:sz w:val="18"/>
                <w:szCs w:val="18"/>
              </w:rPr>
            </w:pPr>
            <w:r w:rsidRPr="00847FAE">
              <w:rPr>
                <w:rFonts w:cs="Calibri"/>
                <w:color w:val="000000"/>
                <w:sz w:val="18"/>
                <w:szCs w:val="18"/>
              </w:rPr>
              <w:t>15.6</w:t>
            </w:r>
          </w:p>
        </w:tc>
        <w:tc>
          <w:tcPr>
            <w:tcW w:w="992" w:type="dxa"/>
            <w:noWrap/>
            <w:vAlign w:val="center"/>
          </w:tcPr>
          <w:p w14:paraId="0294FBCB" w14:textId="77777777" w:rsidR="00FD6F91" w:rsidRPr="00847FAE" w:rsidRDefault="00FD6F91" w:rsidP="00FD6F91">
            <w:pPr>
              <w:jc w:val="center"/>
              <w:rPr>
                <w:rFonts w:cs="Calibri"/>
                <w:color w:val="000000"/>
                <w:sz w:val="18"/>
                <w:szCs w:val="18"/>
              </w:rPr>
            </w:pPr>
            <w:r w:rsidRPr="00847FAE">
              <w:rPr>
                <w:rFonts w:cs="Calibri"/>
                <w:color w:val="000000"/>
                <w:sz w:val="18"/>
                <w:szCs w:val="18"/>
              </w:rPr>
              <w:t>13.8</w:t>
            </w:r>
          </w:p>
        </w:tc>
        <w:tc>
          <w:tcPr>
            <w:tcW w:w="992" w:type="dxa"/>
            <w:noWrap/>
            <w:vAlign w:val="center"/>
          </w:tcPr>
          <w:p w14:paraId="288C3E57" w14:textId="77777777" w:rsidR="00FD6F91" w:rsidRPr="00847FAE" w:rsidRDefault="00FD6F91" w:rsidP="00FD6F91">
            <w:pPr>
              <w:jc w:val="center"/>
              <w:rPr>
                <w:rFonts w:cs="Calibri"/>
                <w:color w:val="000000"/>
                <w:sz w:val="18"/>
                <w:szCs w:val="18"/>
              </w:rPr>
            </w:pPr>
            <w:r w:rsidRPr="00847FAE">
              <w:rPr>
                <w:rFonts w:cs="Calibri"/>
                <w:color w:val="000000"/>
                <w:sz w:val="18"/>
                <w:szCs w:val="18"/>
              </w:rPr>
              <w:t>20.3</w:t>
            </w:r>
          </w:p>
        </w:tc>
        <w:tc>
          <w:tcPr>
            <w:tcW w:w="992" w:type="dxa"/>
            <w:noWrap/>
            <w:vAlign w:val="center"/>
          </w:tcPr>
          <w:p w14:paraId="27404DCD" w14:textId="77777777" w:rsidR="00FD6F91" w:rsidRPr="00847FAE" w:rsidRDefault="00FD6F91" w:rsidP="00FD6F91">
            <w:pPr>
              <w:jc w:val="center"/>
              <w:rPr>
                <w:rFonts w:cs="Calibri"/>
                <w:color w:val="000000"/>
                <w:sz w:val="18"/>
                <w:szCs w:val="18"/>
              </w:rPr>
            </w:pPr>
            <w:r w:rsidRPr="00847FAE">
              <w:rPr>
                <w:rFonts w:cs="Calibri"/>
                <w:color w:val="000000"/>
                <w:sz w:val="18"/>
                <w:szCs w:val="18"/>
              </w:rPr>
              <w:t>36.4</w:t>
            </w:r>
          </w:p>
        </w:tc>
        <w:tc>
          <w:tcPr>
            <w:tcW w:w="1134" w:type="dxa"/>
            <w:noWrap/>
            <w:vAlign w:val="center"/>
          </w:tcPr>
          <w:p w14:paraId="68F572CF" w14:textId="77777777" w:rsidR="00FD6F91" w:rsidRPr="00847FAE" w:rsidRDefault="00FD6F91" w:rsidP="00FD6F91">
            <w:pPr>
              <w:jc w:val="center"/>
              <w:rPr>
                <w:rFonts w:cs="Calibri"/>
                <w:color w:val="000000"/>
                <w:sz w:val="18"/>
                <w:szCs w:val="18"/>
              </w:rPr>
            </w:pPr>
            <w:r w:rsidRPr="00847FAE">
              <w:rPr>
                <w:rFonts w:cs="Calibri"/>
                <w:color w:val="000000"/>
                <w:sz w:val="18"/>
                <w:szCs w:val="18"/>
              </w:rPr>
              <w:t>16.1 pp</w:t>
            </w:r>
          </w:p>
        </w:tc>
      </w:tr>
      <w:tr w:rsidR="00FD6F91" w:rsidRPr="00847FAE" w14:paraId="3368AB48" w14:textId="77777777" w:rsidTr="001F1F60">
        <w:trPr>
          <w:cantSplit/>
          <w:trHeight w:val="255"/>
        </w:trPr>
        <w:tc>
          <w:tcPr>
            <w:tcW w:w="2972" w:type="dxa"/>
            <w:gridSpan w:val="4"/>
            <w:tcBorders>
              <w:bottom w:val="single" w:sz="4" w:space="0" w:color="auto"/>
            </w:tcBorders>
            <w:noWrap/>
            <w:vAlign w:val="center"/>
          </w:tcPr>
          <w:p w14:paraId="2B37BC71"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92" w:type="dxa"/>
            <w:tcBorders>
              <w:bottom w:val="single" w:sz="4" w:space="0" w:color="auto"/>
            </w:tcBorders>
            <w:noWrap/>
            <w:vAlign w:val="center"/>
          </w:tcPr>
          <w:p w14:paraId="144501DC" w14:textId="77777777" w:rsidR="00FD6F91" w:rsidRPr="00847FAE" w:rsidRDefault="00FD6F91" w:rsidP="00FD6F91">
            <w:pPr>
              <w:jc w:val="center"/>
              <w:rPr>
                <w:rFonts w:cs="Calibri"/>
                <w:color w:val="000000"/>
                <w:sz w:val="18"/>
                <w:szCs w:val="18"/>
              </w:rPr>
            </w:pPr>
            <w:r w:rsidRPr="00847FAE">
              <w:rPr>
                <w:rFonts w:cs="Calibri"/>
                <w:color w:val="000000"/>
                <w:sz w:val="18"/>
                <w:szCs w:val="18"/>
              </w:rPr>
              <w:t>3.5</w:t>
            </w:r>
          </w:p>
        </w:tc>
        <w:tc>
          <w:tcPr>
            <w:tcW w:w="993" w:type="dxa"/>
            <w:tcBorders>
              <w:bottom w:val="single" w:sz="4" w:space="0" w:color="auto"/>
            </w:tcBorders>
            <w:noWrap/>
            <w:vAlign w:val="center"/>
          </w:tcPr>
          <w:p w14:paraId="3665215A" w14:textId="77777777" w:rsidR="00FD6F91" w:rsidRPr="00847FAE" w:rsidRDefault="00FD6F91" w:rsidP="00FD6F91">
            <w:pPr>
              <w:jc w:val="center"/>
              <w:rPr>
                <w:rFonts w:cs="Calibri"/>
                <w:color w:val="000000"/>
                <w:sz w:val="18"/>
                <w:szCs w:val="18"/>
              </w:rPr>
            </w:pPr>
            <w:r w:rsidRPr="00847FAE">
              <w:rPr>
                <w:rFonts w:cs="Calibri"/>
                <w:color w:val="000000"/>
                <w:sz w:val="18"/>
                <w:szCs w:val="18"/>
              </w:rPr>
              <w:t>8.9</w:t>
            </w:r>
          </w:p>
        </w:tc>
        <w:tc>
          <w:tcPr>
            <w:tcW w:w="992" w:type="dxa"/>
            <w:tcBorders>
              <w:bottom w:val="single" w:sz="4" w:space="0" w:color="auto"/>
            </w:tcBorders>
            <w:noWrap/>
            <w:vAlign w:val="center"/>
          </w:tcPr>
          <w:p w14:paraId="60BD37A9" w14:textId="77777777" w:rsidR="00FD6F91" w:rsidRPr="00847FAE" w:rsidRDefault="00FD6F91" w:rsidP="00FD6F91">
            <w:pPr>
              <w:jc w:val="center"/>
              <w:rPr>
                <w:rFonts w:cs="Calibri"/>
                <w:color w:val="000000"/>
                <w:sz w:val="18"/>
                <w:szCs w:val="18"/>
              </w:rPr>
            </w:pPr>
            <w:r w:rsidRPr="00847FAE">
              <w:rPr>
                <w:rFonts w:cs="Calibri"/>
                <w:color w:val="000000"/>
                <w:sz w:val="18"/>
                <w:szCs w:val="18"/>
              </w:rPr>
              <w:t>5.2</w:t>
            </w:r>
          </w:p>
        </w:tc>
        <w:tc>
          <w:tcPr>
            <w:tcW w:w="992" w:type="dxa"/>
            <w:tcBorders>
              <w:bottom w:val="single" w:sz="4" w:space="0" w:color="auto"/>
            </w:tcBorders>
            <w:noWrap/>
            <w:vAlign w:val="center"/>
          </w:tcPr>
          <w:p w14:paraId="560D308D" w14:textId="77777777" w:rsidR="00FD6F91" w:rsidRPr="00847FAE" w:rsidRDefault="00FD6F91" w:rsidP="00FD6F91">
            <w:pPr>
              <w:jc w:val="center"/>
              <w:rPr>
                <w:rFonts w:cs="Calibri"/>
                <w:color w:val="000000"/>
                <w:sz w:val="18"/>
                <w:szCs w:val="18"/>
              </w:rPr>
            </w:pPr>
            <w:r w:rsidRPr="00847FAE">
              <w:rPr>
                <w:rFonts w:cs="Calibri"/>
                <w:color w:val="000000"/>
                <w:sz w:val="18"/>
                <w:szCs w:val="18"/>
              </w:rPr>
              <w:t>10.2</w:t>
            </w:r>
          </w:p>
        </w:tc>
        <w:tc>
          <w:tcPr>
            <w:tcW w:w="992" w:type="dxa"/>
            <w:tcBorders>
              <w:bottom w:val="single" w:sz="4" w:space="0" w:color="auto"/>
            </w:tcBorders>
            <w:noWrap/>
            <w:vAlign w:val="center"/>
          </w:tcPr>
          <w:p w14:paraId="530C691D" w14:textId="77777777" w:rsidR="00FD6F91" w:rsidRPr="00847FAE" w:rsidRDefault="00FD6F91" w:rsidP="00FD6F91">
            <w:pPr>
              <w:jc w:val="center"/>
              <w:rPr>
                <w:rFonts w:cs="Calibri"/>
                <w:color w:val="000000"/>
                <w:sz w:val="18"/>
                <w:szCs w:val="18"/>
              </w:rPr>
            </w:pPr>
            <w:r w:rsidRPr="00847FAE">
              <w:rPr>
                <w:rFonts w:cs="Calibri"/>
                <w:color w:val="000000"/>
                <w:sz w:val="18"/>
                <w:szCs w:val="18"/>
              </w:rPr>
              <w:t>16.7</w:t>
            </w:r>
          </w:p>
        </w:tc>
        <w:tc>
          <w:tcPr>
            <w:tcW w:w="1134" w:type="dxa"/>
            <w:tcBorders>
              <w:bottom w:val="single" w:sz="4" w:space="0" w:color="auto"/>
            </w:tcBorders>
            <w:noWrap/>
            <w:vAlign w:val="center"/>
          </w:tcPr>
          <w:p w14:paraId="1E2959D9" w14:textId="77777777" w:rsidR="00FD6F91" w:rsidRPr="00847FAE" w:rsidRDefault="00FD6F91" w:rsidP="00FD6F91">
            <w:pPr>
              <w:jc w:val="center"/>
              <w:rPr>
                <w:rFonts w:cs="Calibri"/>
                <w:color w:val="000000"/>
                <w:sz w:val="18"/>
                <w:szCs w:val="18"/>
              </w:rPr>
            </w:pPr>
            <w:r w:rsidRPr="00847FAE">
              <w:rPr>
                <w:rFonts w:cs="Calibri"/>
                <w:color w:val="000000"/>
                <w:sz w:val="18"/>
                <w:szCs w:val="18"/>
              </w:rPr>
              <w:t>6.5 pp</w:t>
            </w:r>
          </w:p>
        </w:tc>
      </w:tr>
      <w:tr w:rsidR="00FD6F91" w:rsidRPr="00847FAE" w14:paraId="3CA73A1C" w14:textId="77777777" w:rsidTr="001F1F60">
        <w:trPr>
          <w:cantSplit/>
          <w:trHeight w:val="255"/>
        </w:trPr>
        <w:tc>
          <w:tcPr>
            <w:tcW w:w="2972" w:type="dxa"/>
            <w:gridSpan w:val="4"/>
            <w:tcBorders>
              <w:top w:val="single" w:sz="4" w:space="0" w:color="auto"/>
              <w:bottom w:val="single" w:sz="4" w:space="0" w:color="auto"/>
            </w:tcBorders>
            <w:noWrap/>
            <w:vAlign w:val="center"/>
          </w:tcPr>
          <w:p w14:paraId="517FADA4" w14:textId="77777777" w:rsidR="00FD6F91" w:rsidRPr="00847FAE" w:rsidRDefault="00FD6F91" w:rsidP="00FD6F91">
            <w:pPr>
              <w:keepNext/>
              <w:rPr>
                <w:rFonts w:cs="Calibri"/>
                <w:iCs/>
                <w:color w:val="000000"/>
                <w:sz w:val="18"/>
                <w:szCs w:val="18"/>
              </w:rPr>
            </w:pPr>
            <w:r w:rsidRPr="00847FAE">
              <w:rPr>
                <w:rFonts w:cs="Calibri"/>
                <w:color w:val="000000"/>
                <w:sz w:val="18"/>
                <w:szCs w:val="18"/>
              </w:rPr>
              <w:t>CORONERS COURT</w:t>
            </w:r>
          </w:p>
        </w:tc>
        <w:tc>
          <w:tcPr>
            <w:tcW w:w="992" w:type="dxa"/>
            <w:tcBorders>
              <w:top w:val="single" w:sz="4" w:space="0" w:color="auto"/>
              <w:bottom w:val="single" w:sz="4" w:space="0" w:color="auto"/>
            </w:tcBorders>
            <w:noWrap/>
            <w:vAlign w:val="bottom"/>
          </w:tcPr>
          <w:p w14:paraId="2A35472B" w14:textId="77777777" w:rsidR="00FD6F91" w:rsidRPr="00847FAE" w:rsidRDefault="00FD6F91" w:rsidP="00FD6F91">
            <w:pPr>
              <w:keepNext/>
              <w:jc w:val="right"/>
              <w:rPr>
                <w:rFonts w:cs="Calibri"/>
                <w:iCs/>
                <w:color w:val="000000"/>
                <w:sz w:val="18"/>
                <w:szCs w:val="18"/>
              </w:rPr>
            </w:pPr>
          </w:p>
        </w:tc>
        <w:tc>
          <w:tcPr>
            <w:tcW w:w="993" w:type="dxa"/>
            <w:tcBorders>
              <w:top w:val="single" w:sz="4" w:space="0" w:color="auto"/>
              <w:bottom w:val="single" w:sz="4" w:space="0" w:color="auto"/>
            </w:tcBorders>
            <w:noWrap/>
            <w:vAlign w:val="bottom"/>
          </w:tcPr>
          <w:p w14:paraId="58F80740"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noWrap/>
            <w:vAlign w:val="bottom"/>
          </w:tcPr>
          <w:p w14:paraId="3E3AF8CB"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noWrap/>
            <w:vAlign w:val="bottom"/>
          </w:tcPr>
          <w:p w14:paraId="776755B7"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noWrap/>
            <w:vAlign w:val="bottom"/>
          </w:tcPr>
          <w:p w14:paraId="525042BE" w14:textId="77777777" w:rsidR="00FD6F91" w:rsidRPr="00847FAE" w:rsidRDefault="00FD6F91" w:rsidP="00FD6F91">
            <w:pPr>
              <w:keepNext/>
              <w:jc w:val="right"/>
              <w:rPr>
                <w:rFonts w:cs="Calibri"/>
                <w:iCs/>
                <w:color w:val="000000"/>
                <w:sz w:val="18"/>
                <w:szCs w:val="18"/>
              </w:rPr>
            </w:pPr>
          </w:p>
        </w:tc>
        <w:tc>
          <w:tcPr>
            <w:tcW w:w="1134" w:type="dxa"/>
            <w:tcBorders>
              <w:top w:val="single" w:sz="4" w:space="0" w:color="auto"/>
              <w:bottom w:val="single" w:sz="4" w:space="0" w:color="auto"/>
            </w:tcBorders>
            <w:noWrap/>
            <w:vAlign w:val="center"/>
          </w:tcPr>
          <w:p w14:paraId="6C1D5733" w14:textId="77777777" w:rsidR="00FD6F91" w:rsidRPr="00847FAE" w:rsidRDefault="00FD6F91" w:rsidP="00FD6F91">
            <w:pPr>
              <w:keepNext/>
              <w:jc w:val="center"/>
              <w:rPr>
                <w:rFonts w:cs="Calibri"/>
                <w:iCs/>
                <w:color w:val="000000"/>
                <w:sz w:val="18"/>
                <w:szCs w:val="18"/>
              </w:rPr>
            </w:pPr>
          </w:p>
        </w:tc>
      </w:tr>
      <w:tr w:rsidR="00FD6F91" w:rsidRPr="00847FAE" w14:paraId="2A08D071" w14:textId="77777777" w:rsidTr="001F1F60">
        <w:trPr>
          <w:cantSplit/>
          <w:trHeight w:val="255"/>
        </w:trPr>
        <w:tc>
          <w:tcPr>
            <w:tcW w:w="2972" w:type="dxa"/>
            <w:gridSpan w:val="4"/>
            <w:tcBorders>
              <w:top w:val="single" w:sz="4" w:space="0" w:color="auto"/>
            </w:tcBorders>
            <w:shd w:val="clear" w:color="auto" w:fill="D9D9D9" w:themeFill="background1" w:themeFillShade="D9"/>
            <w:noWrap/>
            <w:vAlign w:val="center"/>
          </w:tcPr>
          <w:p w14:paraId="766D244D"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Total lodged pending completion</w:t>
            </w:r>
          </w:p>
        </w:tc>
        <w:tc>
          <w:tcPr>
            <w:tcW w:w="992" w:type="dxa"/>
            <w:tcBorders>
              <w:top w:val="single" w:sz="4" w:space="0" w:color="auto"/>
            </w:tcBorders>
            <w:shd w:val="clear" w:color="auto" w:fill="D9D9D9" w:themeFill="background1" w:themeFillShade="D9"/>
            <w:noWrap/>
            <w:vAlign w:val="center"/>
          </w:tcPr>
          <w:p w14:paraId="54169FE6" w14:textId="77777777" w:rsidR="00FD6F91" w:rsidRPr="00847FAE" w:rsidRDefault="00FD6F91" w:rsidP="00FD6F91">
            <w:pPr>
              <w:jc w:val="center"/>
              <w:rPr>
                <w:rFonts w:cs="Calibri"/>
                <w:color w:val="000000"/>
                <w:sz w:val="18"/>
                <w:szCs w:val="18"/>
              </w:rPr>
            </w:pPr>
            <w:r w:rsidRPr="00847FAE">
              <w:rPr>
                <w:rFonts w:cs="Calibri"/>
                <w:color w:val="000000"/>
                <w:sz w:val="18"/>
                <w:szCs w:val="18"/>
              </w:rPr>
              <w:t>479</w:t>
            </w:r>
          </w:p>
        </w:tc>
        <w:tc>
          <w:tcPr>
            <w:tcW w:w="993" w:type="dxa"/>
            <w:tcBorders>
              <w:top w:val="single" w:sz="4" w:space="0" w:color="auto"/>
            </w:tcBorders>
            <w:shd w:val="clear" w:color="auto" w:fill="D9D9D9" w:themeFill="background1" w:themeFillShade="D9"/>
            <w:noWrap/>
            <w:vAlign w:val="center"/>
          </w:tcPr>
          <w:p w14:paraId="03011333" w14:textId="77777777" w:rsidR="00FD6F91" w:rsidRPr="00847FAE" w:rsidRDefault="00FD6F91" w:rsidP="00FD6F91">
            <w:pPr>
              <w:jc w:val="center"/>
              <w:rPr>
                <w:rFonts w:cs="Calibri"/>
                <w:color w:val="000000"/>
                <w:sz w:val="18"/>
                <w:szCs w:val="18"/>
              </w:rPr>
            </w:pPr>
            <w:r w:rsidRPr="00847FAE">
              <w:rPr>
                <w:rFonts w:cs="Calibri"/>
                <w:color w:val="000000"/>
                <w:sz w:val="18"/>
                <w:szCs w:val="18"/>
              </w:rPr>
              <w:t>518</w:t>
            </w:r>
          </w:p>
        </w:tc>
        <w:tc>
          <w:tcPr>
            <w:tcW w:w="992" w:type="dxa"/>
            <w:tcBorders>
              <w:top w:val="single" w:sz="4" w:space="0" w:color="auto"/>
            </w:tcBorders>
            <w:shd w:val="clear" w:color="auto" w:fill="D9D9D9" w:themeFill="background1" w:themeFillShade="D9"/>
            <w:noWrap/>
            <w:vAlign w:val="center"/>
          </w:tcPr>
          <w:p w14:paraId="5B4A3A6E" w14:textId="77777777" w:rsidR="00FD6F91" w:rsidRPr="00847FAE" w:rsidRDefault="00FD6F91" w:rsidP="00FD6F91">
            <w:pPr>
              <w:jc w:val="center"/>
              <w:rPr>
                <w:rFonts w:cs="Calibri"/>
                <w:color w:val="000000"/>
                <w:sz w:val="18"/>
                <w:szCs w:val="18"/>
              </w:rPr>
            </w:pPr>
            <w:r w:rsidRPr="00847FAE">
              <w:rPr>
                <w:rFonts w:cs="Calibri"/>
                <w:color w:val="000000"/>
                <w:sz w:val="18"/>
                <w:szCs w:val="18"/>
              </w:rPr>
              <w:t>555</w:t>
            </w:r>
          </w:p>
        </w:tc>
        <w:tc>
          <w:tcPr>
            <w:tcW w:w="992" w:type="dxa"/>
            <w:tcBorders>
              <w:top w:val="single" w:sz="4" w:space="0" w:color="auto"/>
            </w:tcBorders>
            <w:shd w:val="clear" w:color="auto" w:fill="D9D9D9" w:themeFill="background1" w:themeFillShade="D9"/>
            <w:noWrap/>
            <w:vAlign w:val="center"/>
          </w:tcPr>
          <w:p w14:paraId="49B082ED" w14:textId="77777777" w:rsidR="00FD6F91" w:rsidRPr="00847FAE" w:rsidRDefault="00FD6F91" w:rsidP="00FD6F91">
            <w:pPr>
              <w:jc w:val="center"/>
              <w:rPr>
                <w:rFonts w:cs="Calibri"/>
                <w:color w:val="000000"/>
                <w:sz w:val="18"/>
                <w:szCs w:val="18"/>
              </w:rPr>
            </w:pPr>
            <w:r w:rsidRPr="00847FAE">
              <w:rPr>
                <w:rFonts w:cs="Calibri"/>
                <w:color w:val="000000"/>
                <w:sz w:val="18"/>
                <w:szCs w:val="18"/>
              </w:rPr>
              <w:t>569</w:t>
            </w:r>
          </w:p>
        </w:tc>
        <w:tc>
          <w:tcPr>
            <w:tcW w:w="992" w:type="dxa"/>
            <w:tcBorders>
              <w:top w:val="single" w:sz="4" w:space="0" w:color="auto"/>
            </w:tcBorders>
            <w:shd w:val="clear" w:color="auto" w:fill="D9D9D9" w:themeFill="background1" w:themeFillShade="D9"/>
            <w:noWrap/>
            <w:vAlign w:val="center"/>
          </w:tcPr>
          <w:p w14:paraId="139B9D56" w14:textId="77777777" w:rsidR="00FD6F91" w:rsidRPr="00847FAE" w:rsidRDefault="00FD6F91" w:rsidP="00FD6F91">
            <w:pPr>
              <w:jc w:val="center"/>
              <w:rPr>
                <w:rFonts w:cs="Calibri"/>
                <w:color w:val="000000"/>
                <w:sz w:val="18"/>
                <w:szCs w:val="18"/>
              </w:rPr>
            </w:pPr>
            <w:r w:rsidRPr="00847FAE">
              <w:rPr>
                <w:rFonts w:cs="Calibri"/>
                <w:color w:val="000000"/>
                <w:sz w:val="18"/>
                <w:szCs w:val="18"/>
              </w:rPr>
              <w:t>553</w:t>
            </w:r>
          </w:p>
        </w:tc>
        <w:tc>
          <w:tcPr>
            <w:tcW w:w="1134" w:type="dxa"/>
            <w:tcBorders>
              <w:top w:val="single" w:sz="4" w:space="0" w:color="auto"/>
            </w:tcBorders>
            <w:shd w:val="clear" w:color="auto" w:fill="D9D9D9" w:themeFill="background1" w:themeFillShade="D9"/>
            <w:noWrap/>
            <w:vAlign w:val="center"/>
          </w:tcPr>
          <w:p w14:paraId="53EF9A8C" w14:textId="77777777" w:rsidR="00FD6F91" w:rsidRPr="00847FAE" w:rsidRDefault="00FD6F91" w:rsidP="00FD6F91">
            <w:pPr>
              <w:jc w:val="center"/>
              <w:rPr>
                <w:rFonts w:cs="Calibri"/>
                <w:color w:val="000000"/>
                <w:sz w:val="18"/>
                <w:szCs w:val="18"/>
              </w:rPr>
            </w:pPr>
            <w:r w:rsidRPr="00847FAE">
              <w:rPr>
                <w:rFonts w:cs="Calibri"/>
                <w:color w:val="000000"/>
                <w:sz w:val="18"/>
                <w:szCs w:val="18"/>
              </w:rPr>
              <w:t>-1.8%</w:t>
            </w:r>
          </w:p>
        </w:tc>
      </w:tr>
      <w:tr w:rsidR="00FD6F91" w:rsidRPr="00847FAE" w14:paraId="65A15496" w14:textId="77777777" w:rsidTr="001F1F60">
        <w:trPr>
          <w:cantSplit/>
          <w:trHeight w:val="255"/>
        </w:trPr>
        <w:tc>
          <w:tcPr>
            <w:tcW w:w="2972" w:type="dxa"/>
            <w:gridSpan w:val="4"/>
            <w:noWrap/>
            <w:vAlign w:val="center"/>
          </w:tcPr>
          <w:p w14:paraId="2F3141E3"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w:t>
            </w:r>
            <w:r w:rsidRPr="00847FAE">
              <w:rPr>
                <w:rFonts w:cs="Calibri"/>
                <w:iCs/>
                <w:color w:val="000000"/>
                <w:sz w:val="18"/>
                <w:szCs w:val="18"/>
              </w:rPr>
              <w:t>Between 12 and 24 months</w:t>
            </w:r>
          </w:p>
        </w:tc>
        <w:tc>
          <w:tcPr>
            <w:tcW w:w="992" w:type="dxa"/>
            <w:noWrap/>
            <w:vAlign w:val="center"/>
          </w:tcPr>
          <w:p w14:paraId="0FB97C35" w14:textId="77777777" w:rsidR="00FD6F91" w:rsidRPr="00847FAE" w:rsidRDefault="00FD6F91" w:rsidP="00FD6F91">
            <w:pPr>
              <w:jc w:val="center"/>
              <w:rPr>
                <w:rFonts w:cs="Calibri"/>
                <w:color w:val="000000"/>
                <w:sz w:val="18"/>
                <w:szCs w:val="18"/>
              </w:rPr>
            </w:pPr>
            <w:r w:rsidRPr="00847FAE">
              <w:rPr>
                <w:rFonts w:cs="Calibri"/>
                <w:color w:val="000000"/>
                <w:sz w:val="18"/>
                <w:szCs w:val="18"/>
              </w:rPr>
              <w:t>112</w:t>
            </w:r>
          </w:p>
        </w:tc>
        <w:tc>
          <w:tcPr>
            <w:tcW w:w="993" w:type="dxa"/>
            <w:noWrap/>
            <w:vAlign w:val="center"/>
          </w:tcPr>
          <w:p w14:paraId="59DEAF74" w14:textId="77777777" w:rsidR="00FD6F91" w:rsidRPr="00847FAE" w:rsidRDefault="00FD6F91" w:rsidP="00FD6F91">
            <w:pPr>
              <w:jc w:val="center"/>
              <w:rPr>
                <w:rFonts w:cs="Calibri"/>
                <w:color w:val="000000"/>
                <w:sz w:val="18"/>
                <w:szCs w:val="18"/>
              </w:rPr>
            </w:pPr>
            <w:r w:rsidRPr="00847FAE">
              <w:rPr>
                <w:rFonts w:cs="Calibri"/>
                <w:color w:val="000000"/>
                <w:sz w:val="18"/>
                <w:szCs w:val="18"/>
              </w:rPr>
              <w:t>107</w:t>
            </w:r>
          </w:p>
        </w:tc>
        <w:tc>
          <w:tcPr>
            <w:tcW w:w="992" w:type="dxa"/>
            <w:noWrap/>
            <w:vAlign w:val="center"/>
          </w:tcPr>
          <w:p w14:paraId="4EFDE9CE" w14:textId="77777777" w:rsidR="00FD6F91" w:rsidRPr="00847FAE" w:rsidRDefault="00FD6F91" w:rsidP="00FD6F91">
            <w:pPr>
              <w:jc w:val="center"/>
              <w:rPr>
                <w:rFonts w:cs="Calibri"/>
                <w:color w:val="000000"/>
                <w:sz w:val="18"/>
                <w:szCs w:val="18"/>
              </w:rPr>
            </w:pPr>
            <w:r w:rsidRPr="00847FAE">
              <w:rPr>
                <w:rFonts w:cs="Calibri"/>
                <w:color w:val="000000"/>
                <w:sz w:val="18"/>
                <w:szCs w:val="18"/>
              </w:rPr>
              <w:t>132</w:t>
            </w:r>
          </w:p>
        </w:tc>
        <w:tc>
          <w:tcPr>
            <w:tcW w:w="992" w:type="dxa"/>
            <w:noWrap/>
            <w:vAlign w:val="center"/>
          </w:tcPr>
          <w:p w14:paraId="7DFF568E" w14:textId="77777777" w:rsidR="00FD6F91" w:rsidRPr="00847FAE" w:rsidRDefault="00FD6F91" w:rsidP="00FD6F91">
            <w:pPr>
              <w:jc w:val="center"/>
              <w:rPr>
                <w:rFonts w:cs="Calibri"/>
                <w:color w:val="000000"/>
                <w:sz w:val="18"/>
                <w:szCs w:val="18"/>
              </w:rPr>
            </w:pPr>
            <w:r w:rsidRPr="00847FAE">
              <w:rPr>
                <w:rFonts w:cs="Calibri"/>
                <w:color w:val="000000"/>
                <w:sz w:val="18"/>
                <w:szCs w:val="18"/>
              </w:rPr>
              <w:t>132</w:t>
            </w:r>
          </w:p>
        </w:tc>
        <w:tc>
          <w:tcPr>
            <w:tcW w:w="992" w:type="dxa"/>
            <w:noWrap/>
            <w:vAlign w:val="center"/>
          </w:tcPr>
          <w:p w14:paraId="47A873CE" w14:textId="77777777" w:rsidR="00FD6F91" w:rsidRPr="00847FAE" w:rsidRDefault="00FD6F91" w:rsidP="00FD6F91">
            <w:pPr>
              <w:jc w:val="center"/>
              <w:rPr>
                <w:rFonts w:cs="Calibri"/>
                <w:color w:val="000000"/>
                <w:sz w:val="18"/>
                <w:szCs w:val="18"/>
              </w:rPr>
            </w:pPr>
            <w:r w:rsidRPr="00847FAE">
              <w:rPr>
                <w:rFonts w:cs="Calibri"/>
                <w:color w:val="000000"/>
                <w:sz w:val="18"/>
                <w:szCs w:val="18"/>
              </w:rPr>
              <w:t>145</w:t>
            </w:r>
          </w:p>
        </w:tc>
        <w:tc>
          <w:tcPr>
            <w:tcW w:w="1134" w:type="dxa"/>
            <w:noWrap/>
            <w:vAlign w:val="center"/>
          </w:tcPr>
          <w:p w14:paraId="246F872B" w14:textId="77777777" w:rsidR="00FD6F91" w:rsidRPr="00847FAE" w:rsidRDefault="00FD6F91" w:rsidP="00FD6F91">
            <w:pPr>
              <w:jc w:val="center"/>
              <w:rPr>
                <w:rFonts w:cs="Calibri"/>
                <w:color w:val="000000"/>
                <w:sz w:val="18"/>
                <w:szCs w:val="18"/>
              </w:rPr>
            </w:pPr>
            <w:r w:rsidRPr="00847FAE">
              <w:rPr>
                <w:rFonts w:cs="Calibri"/>
                <w:color w:val="000000"/>
                <w:sz w:val="18"/>
                <w:szCs w:val="18"/>
              </w:rPr>
              <w:t>9.8%</w:t>
            </w:r>
          </w:p>
        </w:tc>
      </w:tr>
      <w:tr w:rsidR="00FD6F91" w:rsidRPr="00847FAE" w14:paraId="5FAFAD94" w14:textId="77777777" w:rsidTr="001F1F60">
        <w:trPr>
          <w:cantSplit/>
          <w:trHeight w:val="255"/>
        </w:trPr>
        <w:tc>
          <w:tcPr>
            <w:tcW w:w="2972" w:type="dxa"/>
            <w:gridSpan w:val="4"/>
            <w:noWrap/>
            <w:vAlign w:val="center"/>
          </w:tcPr>
          <w:p w14:paraId="7936E1C5"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Greater than 24 months</w:t>
            </w:r>
          </w:p>
        </w:tc>
        <w:tc>
          <w:tcPr>
            <w:tcW w:w="992" w:type="dxa"/>
            <w:noWrap/>
            <w:vAlign w:val="center"/>
          </w:tcPr>
          <w:p w14:paraId="49803641" w14:textId="77777777" w:rsidR="00FD6F91" w:rsidRPr="00847FAE" w:rsidRDefault="00FD6F91" w:rsidP="00FD6F91">
            <w:pPr>
              <w:jc w:val="center"/>
              <w:rPr>
                <w:rFonts w:cs="Calibri"/>
                <w:color w:val="000000"/>
                <w:sz w:val="18"/>
                <w:szCs w:val="18"/>
              </w:rPr>
            </w:pPr>
            <w:r w:rsidRPr="00847FAE">
              <w:rPr>
                <w:rFonts w:cs="Calibri"/>
                <w:color w:val="000000"/>
                <w:sz w:val="18"/>
                <w:szCs w:val="18"/>
              </w:rPr>
              <w:t>62</w:t>
            </w:r>
          </w:p>
        </w:tc>
        <w:tc>
          <w:tcPr>
            <w:tcW w:w="993" w:type="dxa"/>
            <w:noWrap/>
            <w:vAlign w:val="center"/>
          </w:tcPr>
          <w:p w14:paraId="56AE46D6" w14:textId="77777777" w:rsidR="00FD6F91" w:rsidRPr="00847FAE" w:rsidRDefault="00FD6F91" w:rsidP="00FD6F91">
            <w:pPr>
              <w:jc w:val="center"/>
              <w:rPr>
                <w:rFonts w:cs="Calibri"/>
                <w:color w:val="000000"/>
                <w:sz w:val="18"/>
                <w:szCs w:val="18"/>
              </w:rPr>
            </w:pPr>
            <w:r w:rsidRPr="00847FAE">
              <w:rPr>
                <w:rFonts w:cs="Calibri"/>
                <w:color w:val="000000"/>
                <w:sz w:val="18"/>
                <w:szCs w:val="18"/>
              </w:rPr>
              <w:t>65</w:t>
            </w:r>
          </w:p>
        </w:tc>
        <w:tc>
          <w:tcPr>
            <w:tcW w:w="992" w:type="dxa"/>
            <w:noWrap/>
            <w:vAlign w:val="center"/>
          </w:tcPr>
          <w:p w14:paraId="76E056CE" w14:textId="77777777" w:rsidR="00FD6F91" w:rsidRPr="00847FAE" w:rsidRDefault="00FD6F91" w:rsidP="00FD6F91">
            <w:pPr>
              <w:jc w:val="center"/>
              <w:rPr>
                <w:rFonts w:cs="Calibri"/>
                <w:color w:val="000000"/>
                <w:sz w:val="18"/>
                <w:szCs w:val="18"/>
              </w:rPr>
            </w:pPr>
            <w:r w:rsidRPr="00847FAE">
              <w:rPr>
                <w:rFonts w:cs="Calibri"/>
                <w:color w:val="000000"/>
                <w:sz w:val="18"/>
                <w:szCs w:val="18"/>
              </w:rPr>
              <w:t>45</w:t>
            </w:r>
          </w:p>
        </w:tc>
        <w:tc>
          <w:tcPr>
            <w:tcW w:w="992" w:type="dxa"/>
            <w:noWrap/>
            <w:vAlign w:val="center"/>
          </w:tcPr>
          <w:p w14:paraId="176F1F97" w14:textId="77777777" w:rsidR="00FD6F91" w:rsidRPr="00847FAE" w:rsidRDefault="00FD6F91" w:rsidP="00FD6F91">
            <w:pPr>
              <w:jc w:val="center"/>
              <w:rPr>
                <w:rFonts w:cs="Calibri"/>
                <w:color w:val="000000"/>
                <w:sz w:val="18"/>
                <w:szCs w:val="18"/>
              </w:rPr>
            </w:pPr>
            <w:r w:rsidRPr="00847FAE">
              <w:rPr>
                <w:rFonts w:cs="Calibri"/>
                <w:color w:val="000000"/>
                <w:sz w:val="18"/>
                <w:szCs w:val="18"/>
              </w:rPr>
              <w:t>92</w:t>
            </w:r>
          </w:p>
        </w:tc>
        <w:tc>
          <w:tcPr>
            <w:tcW w:w="992" w:type="dxa"/>
            <w:noWrap/>
            <w:vAlign w:val="center"/>
          </w:tcPr>
          <w:p w14:paraId="1D1B95FC" w14:textId="77777777" w:rsidR="00FD6F91" w:rsidRPr="00847FAE" w:rsidRDefault="00FD6F91" w:rsidP="00FD6F91">
            <w:pPr>
              <w:jc w:val="center"/>
              <w:rPr>
                <w:rFonts w:cs="Calibri"/>
                <w:color w:val="000000"/>
                <w:sz w:val="18"/>
                <w:szCs w:val="18"/>
              </w:rPr>
            </w:pPr>
            <w:r w:rsidRPr="00847FAE">
              <w:rPr>
                <w:rFonts w:cs="Calibri"/>
                <w:color w:val="000000"/>
                <w:sz w:val="18"/>
                <w:szCs w:val="18"/>
              </w:rPr>
              <w:t>81</w:t>
            </w:r>
          </w:p>
        </w:tc>
        <w:tc>
          <w:tcPr>
            <w:tcW w:w="1134" w:type="dxa"/>
            <w:noWrap/>
            <w:vAlign w:val="center"/>
          </w:tcPr>
          <w:p w14:paraId="4655ABE1" w14:textId="77777777" w:rsidR="00FD6F91" w:rsidRPr="00847FAE" w:rsidRDefault="00FD6F91" w:rsidP="00FD6F91">
            <w:pPr>
              <w:jc w:val="center"/>
              <w:rPr>
                <w:rFonts w:cs="Calibri"/>
                <w:color w:val="000000"/>
                <w:sz w:val="18"/>
                <w:szCs w:val="18"/>
              </w:rPr>
            </w:pPr>
            <w:r w:rsidRPr="00847FAE">
              <w:rPr>
                <w:rFonts w:cs="Calibri"/>
                <w:color w:val="000000"/>
                <w:sz w:val="18"/>
                <w:szCs w:val="18"/>
              </w:rPr>
              <w:t>-12.0%</w:t>
            </w:r>
          </w:p>
        </w:tc>
      </w:tr>
      <w:tr w:rsidR="00FD6F91" w:rsidRPr="00847FAE" w14:paraId="21DC0C7F" w14:textId="77777777" w:rsidTr="001F1F60">
        <w:trPr>
          <w:cantSplit/>
          <w:trHeight w:val="255"/>
        </w:trPr>
        <w:tc>
          <w:tcPr>
            <w:tcW w:w="2972" w:type="dxa"/>
            <w:gridSpan w:val="4"/>
            <w:shd w:val="clear" w:color="auto" w:fill="D9D9D9" w:themeFill="background1" w:themeFillShade="D9"/>
            <w:noWrap/>
            <w:vAlign w:val="center"/>
          </w:tcPr>
          <w:p w14:paraId="71A2F49C"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 xml:space="preserve">Backlog indicator </w:t>
            </w:r>
          </w:p>
        </w:tc>
        <w:tc>
          <w:tcPr>
            <w:tcW w:w="992" w:type="dxa"/>
            <w:shd w:val="clear" w:color="auto" w:fill="D9D9D9" w:themeFill="background1" w:themeFillShade="D9"/>
            <w:noWrap/>
            <w:vAlign w:val="center"/>
          </w:tcPr>
          <w:p w14:paraId="138EE974"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93" w:type="dxa"/>
            <w:shd w:val="clear" w:color="auto" w:fill="D9D9D9" w:themeFill="background1" w:themeFillShade="D9"/>
            <w:noWrap/>
            <w:vAlign w:val="center"/>
          </w:tcPr>
          <w:p w14:paraId="6C9EC674"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92" w:type="dxa"/>
            <w:shd w:val="clear" w:color="auto" w:fill="D9D9D9" w:themeFill="background1" w:themeFillShade="D9"/>
            <w:noWrap/>
            <w:vAlign w:val="center"/>
          </w:tcPr>
          <w:p w14:paraId="22303CA4"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92" w:type="dxa"/>
            <w:shd w:val="clear" w:color="auto" w:fill="D9D9D9" w:themeFill="background1" w:themeFillShade="D9"/>
            <w:noWrap/>
            <w:vAlign w:val="center"/>
          </w:tcPr>
          <w:p w14:paraId="2F9313A8"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92" w:type="dxa"/>
            <w:shd w:val="clear" w:color="auto" w:fill="D9D9D9" w:themeFill="background1" w:themeFillShade="D9"/>
            <w:noWrap/>
            <w:vAlign w:val="center"/>
          </w:tcPr>
          <w:p w14:paraId="3865D0B9"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1134" w:type="dxa"/>
            <w:shd w:val="clear" w:color="auto" w:fill="D9D9D9" w:themeFill="background1" w:themeFillShade="D9"/>
            <w:noWrap/>
            <w:vAlign w:val="center"/>
          </w:tcPr>
          <w:p w14:paraId="350527FE"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r>
      <w:tr w:rsidR="00FD6F91" w:rsidRPr="00847FAE" w14:paraId="539E48E9" w14:textId="77777777" w:rsidTr="001F1F60">
        <w:trPr>
          <w:cantSplit/>
          <w:trHeight w:val="255"/>
        </w:trPr>
        <w:tc>
          <w:tcPr>
            <w:tcW w:w="2972" w:type="dxa"/>
            <w:gridSpan w:val="4"/>
            <w:noWrap/>
            <w:vAlign w:val="center"/>
          </w:tcPr>
          <w:p w14:paraId="11D83A15"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92" w:type="dxa"/>
            <w:noWrap/>
            <w:vAlign w:val="center"/>
          </w:tcPr>
          <w:p w14:paraId="2F38F838" w14:textId="77777777" w:rsidR="00FD6F91" w:rsidRPr="00847FAE" w:rsidRDefault="00FD6F91" w:rsidP="00FD6F91">
            <w:pPr>
              <w:jc w:val="center"/>
              <w:rPr>
                <w:rFonts w:cs="Calibri"/>
                <w:color w:val="000000"/>
                <w:sz w:val="18"/>
                <w:szCs w:val="18"/>
              </w:rPr>
            </w:pPr>
            <w:r w:rsidRPr="00847FAE">
              <w:rPr>
                <w:rFonts w:cs="Calibri"/>
                <w:color w:val="000000"/>
                <w:sz w:val="18"/>
                <w:szCs w:val="18"/>
              </w:rPr>
              <w:t>36.3</w:t>
            </w:r>
          </w:p>
        </w:tc>
        <w:tc>
          <w:tcPr>
            <w:tcW w:w="993" w:type="dxa"/>
            <w:noWrap/>
            <w:vAlign w:val="center"/>
          </w:tcPr>
          <w:p w14:paraId="379745D9" w14:textId="77777777" w:rsidR="00FD6F91" w:rsidRPr="00847FAE" w:rsidRDefault="00FD6F91" w:rsidP="00FD6F91">
            <w:pPr>
              <w:jc w:val="center"/>
              <w:rPr>
                <w:rFonts w:cs="Calibri"/>
                <w:color w:val="000000"/>
                <w:sz w:val="18"/>
                <w:szCs w:val="18"/>
              </w:rPr>
            </w:pPr>
            <w:r w:rsidRPr="00847FAE">
              <w:rPr>
                <w:rFonts w:cs="Calibri"/>
                <w:color w:val="000000"/>
                <w:sz w:val="18"/>
                <w:szCs w:val="18"/>
              </w:rPr>
              <w:t>33.2</w:t>
            </w:r>
          </w:p>
        </w:tc>
        <w:tc>
          <w:tcPr>
            <w:tcW w:w="992" w:type="dxa"/>
            <w:noWrap/>
            <w:vAlign w:val="center"/>
          </w:tcPr>
          <w:p w14:paraId="415F76F0" w14:textId="77777777" w:rsidR="00FD6F91" w:rsidRPr="00847FAE" w:rsidRDefault="00FD6F91" w:rsidP="00FD6F91">
            <w:pPr>
              <w:jc w:val="center"/>
              <w:rPr>
                <w:rFonts w:cs="Calibri"/>
                <w:color w:val="000000"/>
                <w:sz w:val="18"/>
                <w:szCs w:val="18"/>
              </w:rPr>
            </w:pPr>
            <w:r w:rsidRPr="00847FAE">
              <w:rPr>
                <w:rFonts w:cs="Calibri"/>
                <w:color w:val="000000"/>
                <w:sz w:val="18"/>
                <w:szCs w:val="18"/>
              </w:rPr>
              <w:t>31.9</w:t>
            </w:r>
          </w:p>
        </w:tc>
        <w:tc>
          <w:tcPr>
            <w:tcW w:w="992" w:type="dxa"/>
            <w:noWrap/>
            <w:vAlign w:val="center"/>
          </w:tcPr>
          <w:p w14:paraId="0662BE9E" w14:textId="07159731" w:rsidR="00FD6F91" w:rsidRPr="00D83DA4" w:rsidRDefault="00FD6F91" w:rsidP="00FD6F91">
            <w:pPr>
              <w:jc w:val="center"/>
              <w:rPr>
                <w:rFonts w:cs="Calibri"/>
                <w:color w:val="000000"/>
                <w:sz w:val="18"/>
                <w:szCs w:val="18"/>
              </w:rPr>
            </w:pPr>
            <w:r w:rsidRPr="00D83DA4">
              <w:rPr>
                <w:rFonts w:cs="Calibri"/>
                <w:color w:val="000000"/>
                <w:sz w:val="18"/>
                <w:szCs w:val="18"/>
              </w:rPr>
              <w:t>3</w:t>
            </w:r>
            <w:r w:rsidR="00D83DA4" w:rsidRPr="00D83DA4">
              <w:rPr>
                <w:rFonts w:cs="Calibri"/>
                <w:color w:val="000000"/>
                <w:sz w:val="18"/>
                <w:szCs w:val="18"/>
              </w:rPr>
              <w:t>9</w:t>
            </w:r>
            <w:r w:rsidRPr="00D83DA4">
              <w:rPr>
                <w:rFonts w:cs="Calibri"/>
                <w:color w:val="000000"/>
                <w:sz w:val="18"/>
                <w:szCs w:val="18"/>
              </w:rPr>
              <w:t>.4</w:t>
            </w:r>
          </w:p>
        </w:tc>
        <w:tc>
          <w:tcPr>
            <w:tcW w:w="992" w:type="dxa"/>
            <w:noWrap/>
            <w:vAlign w:val="center"/>
          </w:tcPr>
          <w:p w14:paraId="15375651" w14:textId="77777777" w:rsidR="00FD6F91" w:rsidRPr="00847FAE" w:rsidRDefault="00FD6F91" w:rsidP="00FD6F91">
            <w:pPr>
              <w:jc w:val="center"/>
              <w:rPr>
                <w:rFonts w:cs="Calibri"/>
                <w:color w:val="000000"/>
                <w:sz w:val="18"/>
                <w:szCs w:val="18"/>
              </w:rPr>
            </w:pPr>
            <w:r w:rsidRPr="00847FAE">
              <w:rPr>
                <w:rFonts w:cs="Calibri"/>
                <w:color w:val="000000"/>
                <w:sz w:val="18"/>
                <w:szCs w:val="18"/>
              </w:rPr>
              <w:t>40.9</w:t>
            </w:r>
          </w:p>
        </w:tc>
        <w:tc>
          <w:tcPr>
            <w:tcW w:w="1134" w:type="dxa"/>
            <w:noWrap/>
            <w:vAlign w:val="center"/>
          </w:tcPr>
          <w:p w14:paraId="06F72DA2" w14:textId="7641A7F5" w:rsidR="00FD6F91" w:rsidRPr="00847FAE" w:rsidRDefault="00FD6F91" w:rsidP="00D83DA4">
            <w:pPr>
              <w:jc w:val="center"/>
              <w:rPr>
                <w:rFonts w:cs="Calibri"/>
                <w:color w:val="000000"/>
                <w:sz w:val="18"/>
                <w:szCs w:val="18"/>
              </w:rPr>
            </w:pPr>
            <w:r w:rsidRPr="00847FAE">
              <w:rPr>
                <w:rFonts w:cs="Calibri"/>
                <w:color w:val="000000"/>
                <w:sz w:val="18"/>
                <w:szCs w:val="18"/>
              </w:rPr>
              <w:t>1.5 pp</w:t>
            </w:r>
          </w:p>
        </w:tc>
      </w:tr>
      <w:tr w:rsidR="00FD6F91" w:rsidRPr="00847FAE" w14:paraId="0A5AD678" w14:textId="77777777" w:rsidTr="001F1F60">
        <w:trPr>
          <w:cantSplit/>
          <w:trHeight w:val="255"/>
        </w:trPr>
        <w:tc>
          <w:tcPr>
            <w:tcW w:w="2972" w:type="dxa"/>
            <w:gridSpan w:val="4"/>
            <w:tcBorders>
              <w:bottom w:val="single" w:sz="4" w:space="0" w:color="auto"/>
            </w:tcBorders>
            <w:noWrap/>
            <w:vAlign w:val="center"/>
          </w:tcPr>
          <w:p w14:paraId="7A600129"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24 months </w:t>
            </w:r>
          </w:p>
        </w:tc>
        <w:tc>
          <w:tcPr>
            <w:tcW w:w="992" w:type="dxa"/>
            <w:tcBorders>
              <w:bottom w:val="single" w:sz="4" w:space="0" w:color="auto"/>
            </w:tcBorders>
            <w:noWrap/>
            <w:vAlign w:val="center"/>
          </w:tcPr>
          <w:p w14:paraId="50197F06" w14:textId="77777777" w:rsidR="00FD6F91" w:rsidRPr="00847FAE" w:rsidRDefault="00FD6F91" w:rsidP="00FD6F91">
            <w:pPr>
              <w:jc w:val="center"/>
              <w:rPr>
                <w:rFonts w:cs="Calibri"/>
                <w:color w:val="000000"/>
                <w:sz w:val="18"/>
                <w:szCs w:val="18"/>
              </w:rPr>
            </w:pPr>
            <w:r w:rsidRPr="00847FAE">
              <w:rPr>
                <w:rFonts w:cs="Calibri"/>
                <w:color w:val="000000"/>
                <w:sz w:val="18"/>
                <w:szCs w:val="18"/>
              </w:rPr>
              <w:t>12.9</w:t>
            </w:r>
          </w:p>
        </w:tc>
        <w:tc>
          <w:tcPr>
            <w:tcW w:w="993" w:type="dxa"/>
            <w:tcBorders>
              <w:bottom w:val="single" w:sz="4" w:space="0" w:color="auto"/>
            </w:tcBorders>
            <w:noWrap/>
            <w:vAlign w:val="center"/>
          </w:tcPr>
          <w:p w14:paraId="7D2AF034" w14:textId="77777777" w:rsidR="00FD6F91" w:rsidRPr="00847FAE" w:rsidRDefault="00FD6F91" w:rsidP="00FD6F91">
            <w:pPr>
              <w:jc w:val="center"/>
              <w:rPr>
                <w:rFonts w:cs="Calibri"/>
                <w:color w:val="000000"/>
                <w:sz w:val="18"/>
                <w:szCs w:val="18"/>
              </w:rPr>
            </w:pPr>
            <w:r w:rsidRPr="00847FAE">
              <w:rPr>
                <w:rFonts w:cs="Calibri"/>
                <w:color w:val="000000"/>
                <w:sz w:val="18"/>
                <w:szCs w:val="18"/>
              </w:rPr>
              <w:t>12.5</w:t>
            </w:r>
          </w:p>
        </w:tc>
        <w:tc>
          <w:tcPr>
            <w:tcW w:w="992" w:type="dxa"/>
            <w:tcBorders>
              <w:bottom w:val="single" w:sz="4" w:space="0" w:color="auto"/>
            </w:tcBorders>
            <w:noWrap/>
            <w:vAlign w:val="center"/>
          </w:tcPr>
          <w:p w14:paraId="734DF1B9" w14:textId="77777777" w:rsidR="00FD6F91" w:rsidRPr="00847FAE" w:rsidRDefault="00FD6F91" w:rsidP="00FD6F91">
            <w:pPr>
              <w:jc w:val="center"/>
              <w:rPr>
                <w:rFonts w:cs="Calibri"/>
                <w:color w:val="000000"/>
                <w:sz w:val="18"/>
                <w:szCs w:val="18"/>
              </w:rPr>
            </w:pPr>
            <w:r w:rsidRPr="00847FAE">
              <w:rPr>
                <w:rFonts w:cs="Calibri"/>
                <w:color w:val="000000"/>
                <w:sz w:val="18"/>
                <w:szCs w:val="18"/>
              </w:rPr>
              <w:t>8.1</w:t>
            </w:r>
          </w:p>
        </w:tc>
        <w:tc>
          <w:tcPr>
            <w:tcW w:w="992" w:type="dxa"/>
            <w:tcBorders>
              <w:bottom w:val="single" w:sz="4" w:space="0" w:color="auto"/>
            </w:tcBorders>
            <w:noWrap/>
            <w:vAlign w:val="center"/>
          </w:tcPr>
          <w:p w14:paraId="103F49B6" w14:textId="77777777" w:rsidR="00FD6F91" w:rsidRPr="00D83DA4" w:rsidRDefault="00FD6F91" w:rsidP="00FD6F91">
            <w:pPr>
              <w:jc w:val="center"/>
              <w:rPr>
                <w:rFonts w:cs="Calibri"/>
                <w:color w:val="000000"/>
                <w:sz w:val="18"/>
                <w:szCs w:val="18"/>
              </w:rPr>
            </w:pPr>
            <w:r w:rsidRPr="00D83DA4">
              <w:rPr>
                <w:rFonts w:cs="Calibri"/>
                <w:color w:val="000000"/>
                <w:sz w:val="18"/>
                <w:szCs w:val="18"/>
              </w:rPr>
              <w:t>16.3</w:t>
            </w:r>
          </w:p>
        </w:tc>
        <w:tc>
          <w:tcPr>
            <w:tcW w:w="992" w:type="dxa"/>
            <w:tcBorders>
              <w:bottom w:val="single" w:sz="4" w:space="0" w:color="auto"/>
            </w:tcBorders>
            <w:noWrap/>
            <w:vAlign w:val="center"/>
          </w:tcPr>
          <w:p w14:paraId="66FB7633" w14:textId="77777777" w:rsidR="00FD6F91" w:rsidRPr="00847FAE" w:rsidRDefault="00FD6F91" w:rsidP="00FD6F91">
            <w:pPr>
              <w:jc w:val="center"/>
              <w:rPr>
                <w:rFonts w:cs="Calibri"/>
                <w:color w:val="000000"/>
                <w:sz w:val="18"/>
                <w:szCs w:val="18"/>
              </w:rPr>
            </w:pPr>
            <w:r w:rsidRPr="00847FAE">
              <w:rPr>
                <w:rFonts w:cs="Calibri"/>
                <w:color w:val="000000"/>
                <w:sz w:val="18"/>
                <w:szCs w:val="18"/>
              </w:rPr>
              <w:t>14.6</w:t>
            </w:r>
          </w:p>
        </w:tc>
        <w:tc>
          <w:tcPr>
            <w:tcW w:w="1134" w:type="dxa"/>
            <w:tcBorders>
              <w:bottom w:val="single" w:sz="4" w:space="0" w:color="auto"/>
            </w:tcBorders>
            <w:noWrap/>
            <w:vAlign w:val="center"/>
          </w:tcPr>
          <w:p w14:paraId="57F26D60" w14:textId="77777777" w:rsidR="00FD6F91" w:rsidRPr="00847FAE" w:rsidRDefault="00FD6F91" w:rsidP="00FD6F91">
            <w:pPr>
              <w:jc w:val="center"/>
              <w:rPr>
                <w:rFonts w:cs="Calibri"/>
                <w:color w:val="000000"/>
                <w:sz w:val="18"/>
                <w:szCs w:val="18"/>
              </w:rPr>
            </w:pPr>
            <w:r w:rsidRPr="00847FAE">
              <w:rPr>
                <w:rFonts w:cs="Calibri"/>
                <w:color w:val="000000"/>
                <w:sz w:val="18"/>
                <w:szCs w:val="18"/>
              </w:rPr>
              <w:t>-1.7 pp</w:t>
            </w:r>
          </w:p>
        </w:tc>
      </w:tr>
      <w:tr w:rsidR="00FD6F91" w:rsidRPr="00847FAE" w14:paraId="35C6D07D" w14:textId="77777777" w:rsidTr="001F1F60">
        <w:trPr>
          <w:cantSplit/>
          <w:trHeight w:val="20"/>
        </w:trPr>
        <w:tc>
          <w:tcPr>
            <w:tcW w:w="9067" w:type="dxa"/>
            <w:gridSpan w:val="10"/>
            <w:tcBorders>
              <w:top w:val="single" w:sz="4" w:space="0" w:color="auto"/>
            </w:tcBorders>
            <w:noWrap/>
            <w:vAlign w:val="center"/>
          </w:tcPr>
          <w:p w14:paraId="59E25DDC" w14:textId="77777777" w:rsidR="00FD6F91" w:rsidRPr="00847FAE" w:rsidRDefault="00FD6F91" w:rsidP="00FD6F91">
            <w:pPr>
              <w:shd w:val="clear" w:color="auto" w:fill="FFFFFF" w:themeFill="background1"/>
              <w:rPr>
                <w:sz w:val="15"/>
                <w:szCs w:val="15"/>
              </w:rPr>
            </w:pPr>
            <w:r w:rsidRPr="00847FAE">
              <w:rPr>
                <w:b/>
                <w:sz w:val="15"/>
                <w:szCs w:val="15"/>
              </w:rPr>
              <w:t xml:space="preserve">pp </w:t>
            </w:r>
            <w:r w:rsidRPr="00847FAE">
              <w:rPr>
                <w:sz w:val="15"/>
                <w:szCs w:val="15"/>
              </w:rPr>
              <w:t>refers to percentage points</w:t>
            </w:r>
          </w:p>
          <w:p w14:paraId="5C379776" w14:textId="58C6CEF7" w:rsidR="00FD6F91" w:rsidRDefault="00FD6F91" w:rsidP="00FD6F91">
            <w:pPr>
              <w:shd w:val="clear" w:color="auto" w:fill="FFFFFF" w:themeFill="background1"/>
              <w:rPr>
                <w:rFonts w:cs="Calibri"/>
                <w:color w:val="000000"/>
                <w:sz w:val="15"/>
                <w:szCs w:val="15"/>
              </w:rPr>
            </w:pPr>
            <w:r w:rsidRPr="00847FAE">
              <w:rPr>
                <w:rFonts w:cs="Calibri"/>
                <w:color w:val="000000"/>
                <w:sz w:val="15"/>
                <w:szCs w:val="15"/>
                <w:vertAlign w:val="superscript"/>
              </w:rPr>
              <w:t xml:space="preserve">1 </w:t>
            </w:r>
            <w:r w:rsidRPr="00847FAE">
              <w:rPr>
                <w:rFonts w:cs="Calibri"/>
                <w:color w:val="000000"/>
                <w:sz w:val="15"/>
                <w:szCs w:val="15"/>
              </w:rPr>
              <w:t>In accordance with the Report on Government Services (RoGS) statistics, the pending caseload for civil claims, family violence and intervention orders, and care and protection orders counts only originating matters (e.g. application for an order) and not secondary processes (e.g. application to vary an order).</w:t>
            </w:r>
          </w:p>
          <w:p w14:paraId="5DFECDF1" w14:textId="134705FA" w:rsidR="0009776C" w:rsidRPr="00847FAE" w:rsidRDefault="0009776C" w:rsidP="00FD6F91">
            <w:pPr>
              <w:shd w:val="clear" w:color="auto" w:fill="FFFFFF" w:themeFill="background1"/>
              <w:rPr>
                <w:rFonts w:cs="Calibri"/>
                <w:color w:val="000000"/>
                <w:sz w:val="15"/>
                <w:szCs w:val="15"/>
              </w:rPr>
            </w:pPr>
            <w:r w:rsidRPr="0009776C">
              <w:rPr>
                <w:rFonts w:cs="Calibri"/>
                <w:color w:val="000000"/>
                <w:sz w:val="15"/>
                <w:szCs w:val="15"/>
                <w:vertAlign w:val="superscript"/>
              </w:rPr>
              <w:t xml:space="preserve">2 </w:t>
            </w:r>
            <w:r w:rsidRPr="0009776C">
              <w:rPr>
                <w:rFonts w:cs="Calibri"/>
                <w:color w:val="000000"/>
                <w:sz w:val="15"/>
                <w:szCs w:val="15"/>
              </w:rPr>
              <w:t>In 2015-16 and 2016-17, this figures was incorrectly published as 1,104</w:t>
            </w:r>
          </w:p>
          <w:p w14:paraId="5BBA8233" w14:textId="77777777" w:rsidR="00FD6F91" w:rsidRPr="00847FAE" w:rsidRDefault="00FD6F91" w:rsidP="00FD6F91">
            <w:pPr>
              <w:shd w:val="clear" w:color="auto" w:fill="FFFFFF" w:themeFill="background1"/>
              <w:rPr>
                <w:rFonts w:cs="Calibri"/>
                <w:color w:val="000000"/>
                <w:sz w:val="15"/>
                <w:szCs w:val="15"/>
              </w:rPr>
            </w:pPr>
            <w:r w:rsidRPr="00847FAE">
              <w:rPr>
                <w:rFonts w:cs="Calibri"/>
                <w:i/>
                <w:color w:val="000000"/>
                <w:sz w:val="15"/>
                <w:szCs w:val="15"/>
              </w:rPr>
              <w:t>Source: CRIMESStats database, Civil Registry Management System (CRMS).</w:t>
            </w:r>
          </w:p>
          <w:p w14:paraId="1D21D3CB" w14:textId="77777777" w:rsidR="00FD6F91" w:rsidRPr="00847FAE" w:rsidRDefault="00FD6F91" w:rsidP="00FD6F91">
            <w:pPr>
              <w:shd w:val="clear" w:color="auto" w:fill="FFFFFF" w:themeFill="background1"/>
              <w:rPr>
                <w:sz w:val="15"/>
                <w:szCs w:val="15"/>
              </w:rPr>
            </w:pPr>
          </w:p>
        </w:tc>
      </w:tr>
    </w:tbl>
    <w:p w14:paraId="5601EACE" w14:textId="3076C97D" w:rsidR="002267ED" w:rsidRPr="005B312D" w:rsidRDefault="002267ED" w:rsidP="00E5311F">
      <w:pPr>
        <w:pStyle w:val="Heading2"/>
      </w:pPr>
      <w:bookmarkStart w:id="394" w:name="_Toc529272654"/>
      <w:bookmarkStart w:id="395" w:name="_Toc1041199"/>
      <w:r w:rsidRPr="005B312D">
        <w:t>Clearance Rate</w:t>
      </w:r>
      <w:bookmarkEnd w:id="394"/>
      <w:bookmarkEnd w:id="395"/>
    </w:p>
    <w:p w14:paraId="2299D101" w14:textId="455D8E59" w:rsidR="002267ED" w:rsidRPr="00847FAE" w:rsidRDefault="002267ED" w:rsidP="002267ED">
      <w:pPr>
        <w:spacing w:before="240" w:after="240" w:line="300" w:lineRule="exact"/>
      </w:pPr>
      <w:r w:rsidRPr="00847FAE">
        <w:t>The clearance rate is an indicator of efficiency in processing the inflow of cases through the Court and has been agreed nationally as a measure of whether a court is keeping up with its workload.  The Court’s performance against this measure is set out in Table</w:t>
      </w:r>
      <w:r w:rsidR="00A2195A">
        <w:t xml:space="preserve"> 19</w:t>
      </w:r>
      <w:r w:rsidRPr="00847FAE">
        <w:t>.</w:t>
      </w:r>
    </w:p>
    <w:p w14:paraId="01F3E9FC" w14:textId="77777777" w:rsidR="002267ED" w:rsidRPr="00847FAE" w:rsidRDefault="002267ED" w:rsidP="002267ED">
      <w:pPr>
        <w:spacing w:before="240" w:after="240" w:line="300" w:lineRule="exact"/>
      </w:pPr>
      <w:r w:rsidRPr="00847FAE">
        <w:t>The clearance rate is the number of finalisations in the reporting period divided by the number of lodgements in the same period (multiplied by 100 to convert to a percentage).  The following should assist in understanding the clearance rate:</w:t>
      </w:r>
    </w:p>
    <w:p w14:paraId="05641B21" w14:textId="77777777" w:rsidR="002267ED" w:rsidRPr="00847FAE" w:rsidRDefault="002267ED" w:rsidP="002267ED">
      <w:pPr>
        <w:pStyle w:val="NormalDot1"/>
        <w:keepLines w:val="0"/>
        <w:contextualSpacing/>
      </w:pPr>
      <w:r w:rsidRPr="00847FAE">
        <w:lastRenderedPageBreak/>
        <w:t>A figure of 100 per cent indicates that, during the reporting period, the Court finalised as many cases as were lodged</w:t>
      </w:r>
    </w:p>
    <w:p w14:paraId="6C716567" w14:textId="77777777" w:rsidR="002267ED" w:rsidRPr="00847FAE" w:rsidRDefault="002267ED" w:rsidP="002267ED">
      <w:pPr>
        <w:pStyle w:val="NormalDot1"/>
        <w:keepLines w:val="0"/>
        <w:contextualSpacing/>
      </w:pPr>
      <w:r w:rsidRPr="00847FAE">
        <w:t>A figure greater than 100 per cent means that the pending caseload of the Court is decreasing</w:t>
      </w:r>
    </w:p>
    <w:p w14:paraId="554C1BE4" w14:textId="77777777" w:rsidR="002267ED" w:rsidRPr="00847FAE" w:rsidRDefault="002267ED" w:rsidP="002267ED">
      <w:pPr>
        <w:pStyle w:val="NormalDot1"/>
        <w:keepLines w:val="0"/>
        <w:contextualSpacing/>
      </w:pPr>
      <w:r w:rsidRPr="00847FAE">
        <w:t>A figure less than 100 per cent means that the pending caseload of the Court is increasing</w:t>
      </w:r>
    </w:p>
    <w:p w14:paraId="63D6D1B8" w14:textId="77777777" w:rsidR="002267ED" w:rsidRPr="00847FAE" w:rsidRDefault="002267ED" w:rsidP="002267ED">
      <w:pPr>
        <w:spacing w:before="240" w:after="240" w:line="300" w:lineRule="exact"/>
      </w:pPr>
      <w:r w:rsidRPr="00847FAE">
        <w:t>It should be noted that the clearance rate can be affected by external factors, such as the readiness of parties, changes in legislation, and the Court’s case management practices.</w:t>
      </w:r>
    </w:p>
    <w:p w14:paraId="273918AA" w14:textId="77777777" w:rsidR="00FD6F91" w:rsidRPr="00847FAE" w:rsidRDefault="00FD6F91" w:rsidP="00FD6F91">
      <w:pPr>
        <w:rPr>
          <w:rFonts w:eastAsiaTheme="minorHAnsi"/>
          <w:lang w:eastAsia="en-US"/>
        </w:rPr>
      </w:pPr>
    </w:p>
    <w:p w14:paraId="5473EFA6" w14:textId="06DD2751" w:rsidR="00FD6F91" w:rsidRPr="00847FAE" w:rsidRDefault="00A64135" w:rsidP="00FD6F91">
      <w:pPr>
        <w:keepNext/>
        <w:keepLines/>
        <w:spacing w:before="40"/>
        <w:outlineLvl w:val="2"/>
        <w:rPr>
          <w:rFonts w:eastAsiaTheme="majorEastAsia" w:cstheme="majorBidi"/>
          <w:lang w:eastAsia="en-US"/>
        </w:rPr>
      </w:pPr>
      <w:bookmarkStart w:id="396" w:name="_Toc1041200"/>
      <w:r w:rsidRPr="00847FAE">
        <w:rPr>
          <w:rFonts w:eastAsiaTheme="majorEastAsia" w:cstheme="majorBidi"/>
          <w:lang w:eastAsia="en-US"/>
        </w:rPr>
        <w:t>Table 1</w:t>
      </w:r>
      <w:r w:rsidR="0037416A">
        <w:rPr>
          <w:rFonts w:eastAsiaTheme="majorEastAsia" w:cstheme="majorBidi"/>
          <w:lang w:eastAsia="en-US"/>
        </w:rPr>
        <w:t>7</w:t>
      </w:r>
      <w:r w:rsidR="00FD6F91" w:rsidRPr="00847FAE">
        <w:rPr>
          <w:rFonts w:eastAsiaTheme="majorEastAsia" w:cstheme="majorBidi"/>
          <w:lang w:eastAsia="en-US"/>
        </w:rPr>
        <w:t>: Criminal Disposals by Court Level, 2013-14 to 2017-18</w:t>
      </w:r>
      <w:r w:rsidR="00FD6F91" w:rsidRPr="00847FAE">
        <w:rPr>
          <w:rFonts w:eastAsiaTheme="majorEastAsia" w:cstheme="majorBidi"/>
          <w:b/>
          <w:sz w:val="20"/>
          <w:vertAlign w:val="superscript"/>
          <w:lang w:eastAsia="en-US"/>
        </w:rPr>
        <w:t>1</w:t>
      </w:r>
      <w:bookmarkEnd w:id="396"/>
    </w:p>
    <w:tbl>
      <w:tblPr>
        <w:tblStyle w:val="TableGrid1"/>
        <w:tblW w:w="9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17CriminalDisposalsbyCourtLevel2013_14to2017_18"/>
        <w:tblDescription w:val="TabledescribingCriminalDisposalsbyCourtLevel2013_14to2017_18"/>
      </w:tblPr>
      <w:tblGrid>
        <w:gridCol w:w="460"/>
        <w:gridCol w:w="856"/>
        <w:gridCol w:w="1378"/>
        <w:gridCol w:w="567"/>
        <w:gridCol w:w="944"/>
        <w:gridCol w:w="945"/>
        <w:gridCol w:w="944"/>
        <w:gridCol w:w="945"/>
        <w:gridCol w:w="945"/>
        <w:gridCol w:w="1134"/>
      </w:tblGrid>
      <w:tr w:rsidR="00FD6F91" w:rsidRPr="00847FAE" w14:paraId="3C74BE5F" w14:textId="77777777" w:rsidTr="004E3DB0">
        <w:trPr>
          <w:cantSplit/>
          <w:trHeight w:val="20"/>
          <w:tblHeader/>
        </w:trPr>
        <w:tc>
          <w:tcPr>
            <w:tcW w:w="460" w:type="dxa"/>
            <w:tcBorders>
              <w:top w:val="single" w:sz="4" w:space="0" w:color="auto"/>
              <w:bottom w:val="single" w:sz="4" w:space="0" w:color="auto"/>
            </w:tcBorders>
            <w:noWrap/>
            <w:hideMark/>
          </w:tcPr>
          <w:p w14:paraId="7EBD8E7D"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856" w:type="dxa"/>
            <w:tcBorders>
              <w:top w:val="single" w:sz="4" w:space="0" w:color="auto"/>
              <w:bottom w:val="single" w:sz="4" w:space="0" w:color="auto"/>
            </w:tcBorders>
            <w:noWrap/>
            <w:hideMark/>
          </w:tcPr>
          <w:p w14:paraId="491053C9"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378" w:type="dxa"/>
            <w:tcBorders>
              <w:top w:val="single" w:sz="4" w:space="0" w:color="auto"/>
              <w:bottom w:val="single" w:sz="4" w:space="0" w:color="auto"/>
            </w:tcBorders>
            <w:noWrap/>
            <w:hideMark/>
          </w:tcPr>
          <w:p w14:paraId="126B21F6"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567" w:type="dxa"/>
            <w:tcBorders>
              <w:top w:val="single" w:sz="4" w:space="0" w:color="auto"/>
              <w:bottom w:val="single" w:sz="4" w:space="0" w:color="auto"/>
            </w:tcBorders>
            <w:noWrap/>
            <w:hideMark/>
          </w:tcPr>
          <w:p w14:paraId="330288F9"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4" w:type="dxa"/>
            <w:tcBorders>
              <w:top w:val="single" w:sz="4" w:space="0" w:color="auto"/>
              <w:bottom w:val="single" w:sz="4" w:space="0" w:color="auto"/>
            </w:tcBorders>
            <w:noWrap/>
            <w:vAlign w:val="bottom"/>
            <w:hideMark/>
          </w:tcPr>
          <w:p w14:paraId="034D918D"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2013-14</w:t>
            </w:r>
          </w:p>
        </w:tc>
        <w:tc>
          <w:tcPr>
            <w:tcW w:w="945" w:type="dxa"/>
            <w:tcBorders>
              <w:top w:val="single" w:sz="4" w:space="0" w:color="auto"/>
              <w:bottom w:val="single" w:sz="4" w:space="0" w:color="auto"/>
            </w:tcBorders>
            <w:noWrap/>
            <w:vAlign w:val="bottom"/>
            <w:hideMark/>
          </w:tcPr>
          <w:p w14:paraId="51D58093"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2014-15</w:t>
            </w:r>
          </w:p>
        </w:tc>
        <w:tc>
          <w:tcPr>
            <w:tcW w:w="944" w:type="dxa"/>
            <w:tcBorders>
              <w:top w:val="single" w:sz="4" w:space="0" w:color="auto"/>
              <w:bottom w:val="single" w:sz="4" w:space="0" w:color="auto"/>
            </w:tcBorders>
            <w:noWrap/>
            <w:vAlign w:val="bottom"/>
            <w:hideMark/>
          </w:tcPr>
          <w:p w14:paraId="06B263A5"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2015-16</w:t>
            </w:r>
          </w:p>
        </w:tc>
        <w:tc>
          <w:tcPr>
            <w:tcW w:w="945" w:type="dxa"/>
            <w:tcBorders>
              <w:top w:val="single" w:sz="4" w:space="0" w:color="auto"/>
              <w:bottom w:val="single" w:sz="4" w:space="0" w:color="auto"/>
            </w:tcBorders>
            <w:noWrap/>
            <w:vAlign w:val="bottom"/>
            <w:hideMark/>
          </w:tcPr>
          <w:p w14:paraId="04A56C10"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2016-17</w:t>
            </w:r>
          </w:p>
        </w:tc>
        <w:tc>
          <w:tcPr>
            <w:tcW w:w="945" w:type="dxa"/>
            <w:tcBorders>
              <w:top w:val="single" w:sz="4" w:space="0" w:color="auto"/>
              <w:bottom w:val="single" w:sz="4" w:space="0" w:color="auto"/>
            </w:tcBorders>
            <w:noWrap/>
            <w:vAlign w:val="bottom"/>
            <w:hideMark/>
          </w:tcPr>
          <w:p w14:paraId="592F615A"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bottom w:val="single" w:sz="4" w:space="0" w:color="auto"/>
            </w:tcBorders>
            <w:vAlign w:val="bottom"/>
            <w:hideMark/>
          </w:tcPr>
          <w:p w14:paraId="09B694BD"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0BECEBA6" w14:textId="77777777" w:rsidTr="001F1F60">
        <w:trPr>
          <w:cantSplit/>
          <w:trHeight w:val="255"/>
        </w:trPr>
        <w:tc>
          <w:tcPr>
            <w:tcW w:w="2694" w:type="dxa"/>
            <w:gridSpan w:val="3"/>
            <w:tcBorders>
              <w:top w:val="single" w:sz="4" w:space="0" w:color="auto"/>
              <w:bottom w:val="single" w:sz="4" w:space="0" w:color="auto"/>
            </w:tcBorders>
            <w:noWrap/>
            <w:vAlign w:val="center"/>
            <w:hideMark/>
          </w:tcPr>
          <w:p w14:paraId="65B826B0" w14:textId="77777777" w:rsidR="00FD6F91" w:rsidRPr="00847FAE" w:rsidRDefault="00FD6F91" w:rsidP="00FD6F91">
            <w:pPr>
              <w:keepNext/>
              <w:rPr>
                <w:rFonts w:cs="Calibri"/>
                <w:color w:val="000000"/>
                <w:sz w:val="18"/>
                <w:szCs w:val="18"/>
              </w:rPr>
            </w:pPr>
            <w:r w:rsidRPr="00847FAE">
              <w:rPr>
                <w:rFonts w:cs="Calibri"/>
                <w:color w:val="000000"/>
                <w:sz w:val="18"/>
                <w:szCs w:val="18"/>
              </w:rPr>
              <w:t>MAGISTRATES COURT</w:t>
            </w:r>
          </w:p>
        </w:tc>
        <w:tc>
          <w:tcPr>
            <w:tcW w:w="567" w:type="dxa"/>
            <w:tcBorders>
              <w:top w:val="single" w:sz="4" w:space="0" w:color="auto"/>
              <w:bottom w:val="single" w:sz="4" w:space="0" w:color="auto"/>
            </w:tcBorders>
            <w:noWrap/>
            <w:vAlign w:val="center"/>
            <w:hideMark/>
          </w:tcPr>
          <w:p w14:paraId="64B12885"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4" w:type="dxa"/>
            <w:tcBorders>
              <w:top w:val="single" w:sz="4" w:space="0" w:color="auto"/>
              <w:bottom w:val="single" w:sz="4" w:space="0" w:color="auto"/>
            </w:tcBorders>
            <w:noWrap/>
            <w:vAlign w:val="center"/>
            <w:hideMark/>
          </w:tcPr>
          <w:p w14:paraId="7B6C5672"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hideMark/>
          </w:tcPr>
          <w:p w14:paraId="063D5558"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4" w:type="dxa"/>
            <w:tcBorders>
              <w:top w:val="single" w:sz="4" w:space="0" w:color="auto"/>
              <w:bottom w:val="single" w:sz="4" w:space="0" w:color="auto"/>
            </w:tcBorders>
            <w:noWrap/>
            <w:vAlign w:val="center"/>
            <w:hideMark/>
          </w:tcPr>
          <w:p w14:paraId="79FFC33E"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hideMark/>
          </w:tcPr>
          <w:p w14:paraId="63F21D27"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hideMark/>
          </w:tcPr>
          <w:p w14:paraId="5A555648"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134" w:type="dxa"/>
            <w:tcBorders>
              <w:top w:val="single" w:sz="4" w:space="0" w:color="auto"/>
              <w:bottom w:val="single" w:sz="4" w:space="0" w:color="auto"/>
            </w:tcBorders>
            <w:noWrap/>
            <w:vAlign w:val="center"/>
            <w:hideMark/>
          </w:tcPr>
          <w:p w14:paraId="16DBDE54"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r>
      <w:tr w:rsidR="00FD6F91" w:rsidRPr="00847FAE" w14:paraId="04CDF2E5" w14:textId="77777777" w:rsidTr="001F1F60">
        <w:trPr>
          <w:cantSplit/>
          <w:trHeight w:val="255"/>
        </w:trPr>
        <w:tc>
          <w:tcPr>
            <w:tcW w:w="3261" w:type="dxa"/>
            <w:gridSpan w:val="4"/>
            <w:tcBorders>
              <w:top w:val="single" w:sz="4" w:space="0" w:color="auto"/>
            </w:tcBorders>
            <w:shd w:val="clear" w:color="auto" w:fill="D9D9D9" w:themeFill="background1" w:themeFillShade="D9"/>
            <w:noWrap/>
            <w:vAlign w:val="bottom"/>
          </w:tcPr>
          <w:p w14:paraId="1B18FC73"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Total finalised cases</w:t>
            </w:r>
          </w:p>
        </w:tc>
        <w:tc>
          <w:tcPr>
            <w:tcW w:w="944" w:type="dxa"/>
            <w:tcBorders>
              <w:top w:val="single" w:sz="4" w:space="0" w:color="auto"/>
            </w:tcBorders>
            <w:shd w:val="clear" w:color="auto" w:fill="D9D9D9" w:themeFill="background1" w:themeFillShade="D9"/>
            <w:noWrap/>
            <w:vAlign w:val="center"/>
            <w:hideMark/>
          </w:tcPr>
          <w:p w14:paraId="289983A6" w14:textId="77777777" w:rsidR="00FD6F91" w:rsidRPr="00847FAE" w:rsidRDefault="00FD6F91" w:rsidP="00FD6F91">
            <w:pPr>
              <w:jc w:val="center"/>
              <w:rPr>
                <w:rFonts w:cs="Calibri"/>
                <w:color w:val="000000"/>
                <w:sz w:val="18"/>
                <w:szCs w:val="18"/>
              </w:rPr>
            </w:pPr>
            <w:r w:rsidRPr="00847FAE">
              <w:rPr>
                <w:rFonts w:cs="Calibri"/>
                <w:color w:val="000000"/>
                <w:sz w:val="18"/>
                <w:szCs w:val="18"/>
              </w:rPr>
              <w:t>14,505</w:t>
            </w:r>
          </w:p>
        </w:tc>
        <w:tc>
          <w:tcPr>
            <w:tcW w:w="945" w:type="dxa"/>
            <w:tcBorders>
              <w:top w:val="single" w:sz="4" w:space="0" w:color="auto"/>
            </w:tcBorders>
            <w:shd w:val="clear" w:color="auto" w:fill="D9D9D9" w:themeFill="background1" w:themeFillShade="D9"/>
            <w:noWrap/>
            <w:vAlign w:val="center"/>
            <w:hideMark/>
          </w:tcPr>
          <w:p w14:paraId="245C2FCD" w14:textId="77777777" w:rsidR="00FD6F91" w:rsidRPr="00847FAE" w:rsidRDefault="00FD6F91" w:rsidP="00FD6F91">
            <w:pPr>
              <w:jc w:val="center"/>
              <w:rPr>
                <w:rFonts w:cs="Calibri"/>
                <w:color w:val="000000"/>
                <w:sz w:val="18"/>
                <w:szCs w:val="18"/>
              </w:rPr>
            </w:pPr>
            <w:r w:rsidRPr="00847FAE">
              <w:rPr>
                <w:rFonts w:cs="Calibri"/>
                <w:color w:val="000000"/>
                <w:sz w:val="18"/>
                <w:szCs w:val="18"/>
              </w:rPr>
              <w:t>15,390</w:t>
            </w:r>
          </w:p>
        </w:tc>
        <w:tc>
          <w:tcPr>
            <w:tcW w:w="944" w:type="dxa"/>
            <w:tcBorders>
              <w:top w:val="single" w:sz="4" w:space="0" w:color="auto"/>
            </w:tcBorders>
            <w:shd w:val="clear" w:color="auto" w:fill="D9D9D9" w:themeFill="background1" w:themeFillShade="D9"/>
            <w:noWrap/>
            <w:vAlign w:val="center"/>
            <w:hideMark/>
          </w:tcPr>
          <w:p w14:paraId="7FA2A3A9" w14:textId="77777777" w:rsidR="00FD6F91" w:rsidRPr="00847FAE" w:rsidRDefault="00FD6F91" w:rsidP="00FD6F91">
            <w:pPr>
              <w:jc w:val="center"/>
              <w:rPr>
                <w:rFonts w:cs="Calibri"/>
                <w:color w:val="000000"/>
                <w:sz w:val="18"/>
                <w:szCs w:val="18"/>
              </w:rPr>
            </w:pPr>
            <w:r w:rsidRPr="00847FAE">
              <w:rPr>
                <w:rFonts w:cs="Calibri"/>
                <w:color w:val="000000"/>
                <w:sz w:val="18"/>
                <w:szCs w:val="18"/>
              </w:rPr>
              <w:t>16,653</w:t>
            </w:r>
          </w:p>
        </w:tc>
        <w:tc>
          <w:tcPr>
            <w:tcW w:w="945" w:type="dxa"/>
            <w:tcBorders>
              <w:top w:val="single" w:sz="4" w:space="0" w:color="auto"/>
            </w:tcBorders>
            <w:shd w:val="clear" w:color="auto" w:fill="D9D9D9" w:themeFill="background1" w:themeFillShade="D9"/>
            <w:noWrap/>
            <w:vAlign w:val="center"/>
            <w:hideMark/>
          </w:tcPr>
          <w:p w14:paraId="1D6D8295" w14:textId="77777777" w:rsidR="00FD6F91" w:rsidRPr="00847FAE" w:rsidRDefault="00FD6F91" w:rsidP="00FD6F91">
            <w:pPr>
              <w:jc w:val="center"/>
              <w:rPr>
                <w:rFonts w:cs="Calibri"/>
                <w:color w:val="000000"/>
                <w:sz w:val="18"/>
                <w:szCs w:val="18"/>
              </w:rPr>
            </w:pPr>
            <w:r w:rsidRPr="00847FAE">
              <w:rPr>
                <w:rFonts w:cs="Calibri"/>
                <w:color w:val="000000"/>
                <w:sz w:val="18"/>
                <w:szCs w:val="18"/>
              </w:rPr>
              <w:t>16,415</w:t>
            </w:r>
          </w:p>
        </w:tc>
        <w:tc>
          <w:tcPr>
            <w:tcW w:w="945" w:type="dxa"/>
            <w:tcBorders>
              <w:top w:val="single" w:sz="4" w:space="0" w:color="auto"/>
            </w:tcBorders>
            <w:shd w:val="clear" w:color="auto" w:fill="D9D9D9" w:themeFill="background1" w:themeFillShade="D9"/>
            <w:noWrap/>
            <w:vAlign w:val="center"/>
            <w:hideMark/>
          </w:tcPr>
          <w:p w14:paraId="0D374F18" w14:textId="77777777" w:rsidR="00FD6F91" w:rsidRPr="00847FAE" w:rsidRDefault="00FD6F91" w:rsidP="00FD6F91">
            <w:pPr>
              <w:jc w:val="center"/>
              <w:rPr>
                <w:rFonts w:cs="Calibri"/>
                <w:color w:val="000000"/>
                <w:sz w:val="18"/>
                <w:szCs w:val="18"/>
              </w:rPr>
            </w:pPr>
            <w:r w:rsidRPr="00847FAE">
              <w:rPr>
                <w:rFonts w:cs="Calibri"/>
                <w:color w:val="000000"/>
                <w:sz w:val="18"/>
                <w:szCs w:val="18"/>
              </w:rPr>
              <w:t>18,047</w:t>
            </w:r>
          </w:p>
        </w:tc>
        <w:tc>
          <w:tcPr>
            <w:tcW w:w="1134" w:type="dxa"/>
            <w:tcBorders>
              <w:top w:val="single" w:sz="4" w:space="0" w:color="auto"/>
            </w:tcBorders>
            <w:shd w:val="clear" w:color="auto" w:fill="D9D9D9" w:themeFill="background1" w:themeFillShade="D9"/>
            <w:noWrap/>
            <w:vAlign w:val="center"/>
            <w:hideMark/>
          </w:tcPr>
          <w:p w14:paraId="1DE211B4" w14:textId="77777777" w:rsidR="00FD6F91" w:rsidRPr="00847FAE" w:rsidRDefault="00FD6F91" w:rsidP="00FD6F91">
            <w:pPr>
              <w:jc w:val="center"/>
              <w:rPr>
                <w:rFonts w:cs="Calibri"/>
                <w:color w:val="000000"/>
                <w:sz w:val="18"/>
                <w:szCs w:val="18"/>
              </w:rPr>
            </w:pPr>
            <w:r w:rsidRPr="00847FAE">
              <w:rPr>
                <w:rFonts w:cs="Calibri"/>
                <w:color w:val="000000"/>
                <w:sz w:val="18"/>
                <w:szCs w:val="18"/>
              </w:rPr>
              <w:t>9.9%</w:t>
            </w:r>
          </w:p>
        </w:tc>
      </w:tr>
      <w:tr w:rsidR="00FD6F91" w:rsidRPr="00847FAE" w14:paraId="43629650" w14:textId="77777777" w:rsidTr="001F1F60">
        <w:trPr>
          <w:cantSplit/>
          <w:trHeight w:val="255"/>
        </w:trPr>
        <w:tc>
          <w:tcPr>
            <w:tcW w:w="3261" w:type="dxa"/>
            <w:gridSpan w:val="4"/>
            <w:noWrap/>
            <w:vAlign w:val="bottom"/>
            <w:hideMark/>
          </w:tcPr>
          <w:p w14:paraId="6BEC0020"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Cases finalised in 6 to 12 months</w:t>
            </w:r>
          </w:p>
        </w:tc>
        <w:tc>
          <w:tcPr>
            <w:tcW w:w="944" w:type="dxa"/>
            <w:noWrap/>
            <w:vAlign w:val="center"/>
          </w:tcPr>
          <w:p w14:paraId="57CDA9A9" w14:textId="77777777" w:rsidR="00FD6F91" w:rsidRPr="00847FAE" w:rsidRDefault="00FD6F91" w:rsidP="00FD6F91">
            <w:pPr>
              <w:jc w:val="center"/>
              <w:rPr>
                <w:rFonts w:cs="Calibri"/>
                <w:color w:val="000000"/>
                <w:sz w:val="18"/>
                <w:szCs w:val="18"/>
              </w:rPr>
            </w:pPr>
            <w:r w:rsidRPr="00847FAE">
              <w:rPr>
                <w:rFonts w:cs="Calibri"/>
                <w:color w:val="000000"/>
                <w:sz w:val="18"/>
                <w:szCs w:val="18"/>
              </w:rPr>
              <w:t>2,702</w:t>
            </w:r>
          </w:p>
        </w:tc>
        <w:tc>
          <w:tcPr>
            <w:tcW w:w="945" w:type="dxa"/>
            <w:noWrap/>
            <w:vAlign w:val="center"/>
          </w:tcPr>
          <w:p w14:paraId="07F290BD" w14:textId="77777777" w:rsidR="00FD6F91" w:rsidRPr="00847FAE" w:rsidRDefault="00FD6F91" w:rsidP="00FD6F91">
            <w:pPr>
              <w:jc w:val="center"/>
              <w:rPr>
                <w:rFonts w:cs="Calibri"/>
                <w:color w:val="000000"/>
                <w:sz w:val="18"/>
                <w:szCs w:val="18"/>
              </w:rPr>
            </w:pPr>
            <w:r w:rsidRPr="00847FAE">
              <w:rPr>
                <w:rFonts w:cs="Calibri"/>
                <w:color w:val="000000"/>
                <w:sz w:val="18"/>
                <w:szCs w:val="18"/>
              </w:rPr>
              <w:t>3,196</w:t>
            </w:r>
          </w:p>
        </w:tc>
        <w:tc>
          <w:tcPr>
            <w:tcW w:w="944" w:type="dxa"/>
            <w:noWrap/>
            <w:vAlign w:val="center"/>
          </w:tcPr>
          <w:p w14:paraId="7FA75C0D" w14:textId="77777777" w:rsidR="00FD6F91" w:rsidRPr="00847FAE" w:rsidRDefault="00FD6F91" w:rsidP="00FD6F91">
            <w:pPr>
              <w:jc w:val="center"/>
              <w:rPr>
                <w:rFonts w:cs="Calibri"/>
                <w:color w:val="000000"/>
                <w:sz w:val="18"/>
                <w:szCs w:val="18"/>
              </w:rPr>
            </w:pPr>
            <w:r w:rsidRPr="00847FAE">
              <w:rPr>
                <w:rFonts w:cs="Calibri"/>
                <w:color w:val="000000"/>
                <w:sz w:val="18"/>
                <w:szCs w:val="18"/>
              </w:rPr>
              <w:t>3,926</w:t>
            </w:r>
          </w:p>
        </w:tc>
        <w:tc>
          <w:tcPr>
            <w:tcW w:w="945" w:type="dxa"/>
            <w:noWrap/>
            <w:vAlign w:val="center"/>
          </w:tcPr>
          <w:p w14:paraId="5283642B" w14:textId="77777777" w:rsidR="00FD6F91" w:rsidRPr="00847FAE" w:rsidRDefault="00FD6F91" w:rsidP="00FD6F91">
            <w:pPr>
              <w:jc w:val="center"/>
              <w:rPr>
                <w:rFonts w:cs="Calibri"/>
                <w:color w:val="000000"/>
                <w:sz w:val="18"/>
                <w:szCs w:val="18"/>
              </w:rPr>
            </w:pPr>
            <w:r w:rsidRPr="00847FAE">
              <w:rPr>
                <w:rFonts w:cs="Calibri"/>
                <w:color w:val="000000"/>
                <w:sz w:val="18"/>
                <w:szCs w:val="18"/>
              </w:rPr>
              <w:t>4,197</w:t>
            </w:r>
          </w:p>
        </w:tc>
        <w:tc>
          <w:tcPr>
            <w:tcW w:w="945" w:type="dxa"/>
            <w:noWrap/>
            <w:vAlign w:val="center"/>
          </w:tcPr>
          <w:p w14:paraId="15A6B2CB" w14:textId="77777777" w:rsidR="00FD6F91" w:rsidRPr="00847FAE" w:rsidRDefault="00FD6F91" w:rsidP="00FD6F91">
            <w:pPr>
              <w:jc w:val="center"/>
              <w:rPr>
                <w:rFonts w:cs="Calibri"/>
                <w:color w:val="000000"/>
                <w:sz w:val="18"/>
                <w:szCs w:val="18"/>
              </w:rPr>
            </w:pPr>
            <w:r w:rsidRPr="00847FAE">
              <w:rPr>
                <w:rFonts w:cs="Calibri"/>
                <w:color w:val="000000"/>
                <w:sz w:val="18"/>
                <w:szCs w:val="18"/>
              </w:rPr>
              <w:t>4,566</w:t>
            </w:r>
          </w:p>
        </w:tc>
        <w:tc>
          <w:tcPr>
            <w:tcW w:w="1134" w:type="dxa"/>
            <w:noWrap/>
            <w:vAlign w:val="center"/>
          </w:tcPr>
          <w:p w14:paraId="3725E22C" w14:textId="77777777" w:rsidR="00FD6F91" w:rsidRPr="00847FAE" w:rsidRDefault="00FD6F91" w:rsidP="00FD6F91">
            <w:pPr>
              <w:jc w:val="center"/>
              <w:rPr>
                <w:rFonts w:cs="Calibri"/>
                <w:color w:val="000000"/>
                <w:sz w:val="18"/>
                <w:szCs w:val="18"/>
              </w:rPr>
            </w:pPr>
            <w:r w:rsidRPr="00847FAE">
              <w:rPr>
                <w:rFonts w:cs="Calibri"/>
                <w:color w:val="000000"/>
                <w:sz w:val="18"/>
                <w:szCs w:val="18"/>
              </w:rPr>
              <w:t>8.8%</w:t>
            </w:r>
          </w:p>
        </w:tc>
      </w:tr>
      <w:tr w:rsidR="00FD6F91" w:rsidRPr="00847FAE" w14:paraId="712767D1" w14:textId="77777777" w:rsidTr="001F1F60">
        <w:trPr>
          <w:cantSplit/>
          <w:trHeight w:val="255"/>
        </w:trPr>
        <w:tc>
          <w:tcPr>
            <w:tcW w:w="3261" w:type="dxa"/>
            <w:gridSpan w:val="4"/>
            <w:noWrap/>
            <w:vAlign w:val="bottom"/>
          </w:tcPr>
          <w:p w14:paraId="382D5D38" w14:textId="77777777" w:rsidR="00FD6F91" w:rsidRPr="00847FAE" w:rsidRDefault="00FD6F91" w:rsidP="00FD6F91">
            <w:pPr>
              <w:keepNext/>
              <w:rPr>
                <w:rFonts w:cs="Calibri"/>
                <w:bCs/>
                <w:color w:val="000000"/>
                <w:sz w:val="18"/>
                <w:szCs w:val="18"/>
              </w:rPr>
            </w:pPr>
            <w:r w:rsidRPr="00847FAE">
              <w:rPr>
                <w:rFonts w:cs="Calibri"/>
                <w:color w:val="000000"/>
                <w:sz w:val="18"/>
                <w:szCs w:val="18"/>
              </w:rPr>
              <w:t xml:space="preserve">  Cases finalised after 12 months </w:t>
            </w:r>
          </w:p>
        </w:tc>
        <w:tc>
          <w:tcPr>
            <w:tcW w:w="944" w:type="dxa"/>
            <w:noWrap/>
            <w:vAlign w:val="center"/>
          </w:tcPr>
          <w:p w14:paraId="3F5E053C" w14:textId="77777777" w:rsidR="00FD6F91" w:rsidRPr="00847FAE" w:rsidRDefault="00FD6F91" w:rsidP="00FD6F91">
            <w:pPr>
              <w:jc w:val="center"/>
              <w:rPr>
                <w:rFonts w:cs="Calibri"/>
                <w:color w:val="000000"/>
                <w:sz w:val="18"/>
                <w:szCs w:val="18"/>
              </w:rPr>
            </w:pPr>
            <w:r w:rsidRPr="00847FAE">
              <w:rPr>
                <w:rFonts w:cs="Calibri"/>
                <w:color w:val="000000"/>
                <w:sz w:val="18"/>
                <w:szCs w:val="18"/>
              </w:rPr>
              <w:t>1,843</w:t>
            </w:r>
          </w:p>
        </w:tc>
        <w:tc>
          <w:tcPr>
            <w:tcW w:w="945" w:type="dxa"/>
            <w:noWrap/>
            <w:vAlign w:val="center"/>
          </w:tcPr>
          <w:p w14:paraId="14FBAB1D" w14:textId="77777777" w:rsidR="00FD6F91" w:rsidRPr="00847FAE" w:rsidRDefault="00FD6F91" w:rsidP="00FD6F91">
            <w:pPr>
              <w:jc w:val="center"/>
              <w:rPr>
                <w:rFonts w:cs="Calibri"/>
                <w:color w:val="000000"/>
                <w:sz w:val="18"/>
                <w:szCs w:val="18"/>
              </w:rPr>
            </w:pPr>
            <w:r w:rsidRPr="00847FAE">
              <w:rPr>
                <w:rFonts w:cs="Calibri"/>
                <w:color w:val="000000"/>
                <w:sz w:val="18"/>
                <w:szCs w:val="18"/>
              </w:rPr>
              <w:t>2,394</w:t>
            </w:r>
          </w:p>
        </w:tc>
        <w:tc>
          <w:tcPr>
            <w:tcW w:w="944" w:type="dxa"/>
            <w:noWrap/>
            <w:vAlign w:val="center"/>
          </w:tcPr>
          <w:p w14:paraId="15E0229F" w14:textId="77777777" w:rsidR="00FD6F91" w:rsidRPr="00847FAE" w:rsidRDefault="00FD6F91" w:rsidP="00FD6F91">
            <w:pPr>
              <w:jc w:val="center"/>
              <w:rPr>
                <w:rFonts w:cs="Calibri"/>
                <w:color w:val="000000"/>
                <w:sz w:val="18"/>
                <w:szCs w:val="18"/>
              </w:rPr>
            </w:pPr>
            <w:r w:rsidRPr="00847FAE">
              <w:rPr>
                <w:rFonts w:cs="Calibri"/>
                <w:color w:val="000000"/>
                <w:sz w:val="18"/>
                <w:szCs w:val="18"/>
              </w:rPr>
              <w:t>2,592</w:t>
            </w:r>
          </w:p>
        </w:tc>
        <w:tc>
          <w:tcPr>
            <w:tcW w:w="945" w:type="dxa"/>
            <w:noWrap/>
            <w:vAlign w:val="center"/>
          </w:tcPr>
          <w:p w14:paraId="529CF23F" w14:textId="77777777" w:rsidR="00FD6F91" w:rsidRPr="00847FAE" w:rsidRDefault="00FD6F91" w:rsidP="00FD6F91">
            <w:pPr>
              <w:jc w:val="center"/>
              <w:rPr>
                <w:rFonts w:cs="Calibri"/>
                <w:color w:val="000000"/>
                <w:sz w:val="18"/>
                <w:szCs w:val="18"/>
              </w:rPr>
            </w:pPr>
            <w:r w:rsidRPr="00847FAE">
              <w:rPr>
                <w:rFonts w:cs="Calibri"/>
                <w:color w:val="000000"/>
                <w:sz w:val="18"/>
                <w:szCs w:val="18"/>
              </w:rPr>
              <w:t>2,495</w:t>
            </w:r>
          </w:p>
        </w:tc>
        <w:tc>
          <w:tcPr>
            <w:tcW w:w="945" w:type="dxa"/>
            <w:noWrap/>
            <w:vAlign w:val="center"/>
          </w:tcPr>
          <w:p w14:paraId="6A063579" w14:textId="77777777" w:rsidR="00FD6F91" w:rsidRPr="00847FAE" w:rsidRDefault="00FD6F91" w:rsidP="00FD6F91">
            <w:pPr>
              <w:jc w:val="center"/>
              <w:rPr>
                <w:rFonts w:cs="Calibri"/>
                <w:color w:val="000000"/>
                <w:sz w:val="18"/>
                <w:szCs w:val="18"/>
              </w:rPr>
            </w:pPr>
            <w:r w:rsidRPr="00847FAE">
              <w:rPr>
                <w:rFonts w:cs="Calibri"/>
                <w:color w:val="000000"/>
                <w:sz w:val="18"/>
                <w:szCs w:val="18"/>
              </w:rPr>
              <w:t>3,632</w:t>
            </w:r>
          </w:p>
        </w:tc>
        <w:tc>
          <w:tcPr>
            <w:tcW w:w="1134" w:type="dxa"/>
            <w:noWrap/>
            <w:vAlign w:val="center"/>
          </w:tcPr>
          <w:p w14:paraId="0B3E53F4" w14:textId="77777777" w:rsidR="00FD6F91" w:rsidRPr="00847FAE" w:rsidRDefault="00FD6F91" w:rsidP="00FD6F91">
            <w:pPr>
              <w:jc w:val="center"/>
              <w:rPr>
                <w:rFonts w:cs="Calibri"/>
                <w:color w:val="000000"/>
                <w:sz w:val="18"/>
                <w:szCs w:val="18"/>
              </w:rPr>
            </w:pPr>
            <w:r w:rsidRPr="00847FAE">
              <w:rPr>
                <w:rFonts w:cs="Calibri"/>
                <w:color w:val="000000"/>
                <w:sz w:val="18"/>
                <w:szCs w:val="18"/>
              </w:rPr>
              <w:t>45.6%</w:t>
            </w:r>
          </w:p>
        </w:tc>
      </w:tr>
      <w:tr w:rsidR="00FD6F91" w:rsidRPr="00847FAE" w14:paraId="0322C3B4" w14:textId="77777777" w:rsidTr="001F1F60">
        <w:trPr>
          <w:cantSplit/>
          <w:trHeight w:val="255"/>
        </w:trPr>
        <w:tc>
          <w:tcPr>
            <w:tcW w:w="3261" w:type="dxa"/>
            <w:gridSpan w:val="4"/>
            <w:shd w:val="clear" w:color="auto" w:fill="D9D9D9" w:themeFill="background1" w:themeFillShade="D9"/>
            <w:noWrap/>
            <w:vAlign w:val="bottom"/>
          </w:tcPr>
          <w:p w14:paraId="0FC6B544"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Disposal Indicator</w:t>
            </w:r>
          </w:p>
        </w:tc>
        <w:tc>
          <w:tcPr>
            <w:tcW w:w="944" w:type="dxa"/>
            <w:shd w:val="clear" w:color="auto" w:fill="D9D9D9" w:themeFill="background1" w:themeFillShade="D9"/>
            <w:noWrap/>
            <w:vAlign w:val="center"/>
          </w:tcPr>
          <w:p w14:paraId="55249A63"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7843BA01"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4" w:type="dxa"/>
            <w:shd w:val="clear" w:color="auto" w:fill="D9D9D9" w:themeFill="background1" w:themeFillShade="D9"/>
            <w:noWrap/>
            <w:vAlign w:val="center"/>
          </w:tcPr>
          <w:p w14:paraId="5943A3BC"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12ED4861"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33FE65FD"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1134" w:type="dxa"/>
            <w:shd w:val="clear" w:color="auto" w:fill="D9D9D9" w:themeFill="background1" w:themeFillShade="D9"/>
            <w:noWrap/>
            <w:vAlign w:val="center"/>
          </w:tcPr>
          <w:p w14:paraId="419B6FF4"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r>
      <w:tr w:rsidR="00FD6F91" w:rsidRPr="00847FAE" w14:paraId="41892304" w14:textId="77777777" w:rsidTr="001F1F60">
        <w:trPr>
          <w:cantSplit/>
          <w:trHeight w:val="255"/>
        </w:trPr>
        <w:tc>
          <w:tcPr>
            <w:tcW w:w="3261" w:type="dxa"/>
            <w:gridSpan w:val="4"/>
            <w:noWrap/>
            <w:vAlign w:val="center"/>
          </w:tcPr>
          <w:p w14:paraId="67BA7E9F"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44" w:type="dxa"/>
            <w:noWrap/>
            <w:vAlign w:val="center"/>
          </w:tcPr>
          <w:p w14:paraId="7898765F" w14:textId="77777777" w:rsidR="00FD6F91" w:rsidRPr="00847FAE" w:rsidRDefault="00FD6F91" w:rsidP="00FD6F91">
            <w:pPr>
              <w:jc w:val="center"/>
              <w:rPr>
                <w:rFonts w:cs="Calibri"/>
                <w:color w:val="000000"/>
                <w:sz w:val="18"/>
                <w:szCs w:val="18"/>
              </w:rPr>
            </w:pPr>
            <w:r w:rsidRPr="00847FAE">
              <w:rPr>
                <w:rFonts w:cs="Calibri"/>
                <w:color w:val="000000"/>
                <w:sz w:val="18"/>
                <w:szCs w:val="18"/>
              </w:rPr>
              <w:t>31.3</w:t>
            </w:r>
          </w:p>
        </w:tc>
        <w:tc>
          <w:tcPr>
            <w:tcW w:w="945" w:type="dxa"/>
            <w:noWrap/>
            <w:vAlign w:val="center"/>
          </w:tcPr>
          <w:p w14:paraId="0C021ED7" w14:textId="77777777" w:rsidR="00FD6F91" w:rsidRPr="00847FAE" w:rsidRDefault="00FD6F91" w:rsidP="00FD6F91">
            <w:pPr>
              <w:jc w:val="center"/>
              <w:rPr>
                <w:rFonts w:cs="Calibri"/>
                <w:color w:val="000000"/>
                <w:sz w:val="18"/>
                <w:szCs w:val="18"/>
              </w:rPr>
            </w:pPr>
            <w:r w:rsidRPr="00847FAE">
              <w:rPr>
                <w:rFonts w:cs="Calibri"/>
                <w:color w:val="000000"/>
                <w:sz w:val="18"/>
                <w:szCs w:val="18"/>
              </w:rPr>
              <w:t>36.3</w:t>
            </w:r>
          </w:p>
        </w:tc>
        <w:tc>
          <w:tcPr>
            <w:tcW w:w="944" w:type="dxa"/>
            <w:noWrap/>
            <w:vAlign w:val="center"/>
          </w:tcPr>
          <w:p w14:paraId="4865C930" w14:textId="77777777" w:rsidR="00FD6F91" w:rsidRPr="00847FAE" w:rsidRDefault="00FD6F91" w:rsidP="00FD6F91">
            <w:pPr>
              <w:jc w:val="center"/>
              <w:rPr>
                <w:rFonts w:cs="Calibri"/>
                <w:color w:val="000000"/>
                <w:sz w:val="18"/>
                <w:szCs w:val="18"/>
              </w:rPr>
            </w:pPr>
            <w:r w:rsidRPr="00847FAE">
              <w:rPr>
                <w:rFonts w:cs="Calibri"/>
                <w:color w:val="000000"/>
                <w:sz w:val="18"/>
                <w:szCs w:val="18"/>
              </w:rPr>
              <w:t>39.1</w:t>
            </w:r>
          </w:p>
        </w:tc>
        <w:tc>
          <w:tcPr>
            <w:tcW w:w="945" w:type="dxa"/>
            <w:noWrap/>
            <w:vAlign w:val="center"/>
          </w:tcPr>
          <w:p w14:paraId="03E4214A" w14:textId="77777777" w:rsidR="00FD6F91" w:rsidRPr="00847FAE" w:rsidRDefault="00FD6F91" w:rsidP="00FD6F91">
            <w:pPr>
              <w:jc w:val="center"/>
              <w:rPr>
                <w:rFonts w:cs="Calibri"/>
                <w:color w:val="000000"/>
                <w:sz w:val="18"/>
                <w:szCs w:val="18"/>
              </w:rPr>
            </w:pPr>
            <w:r w:rsidRPr="00847FAE">
              <w:rPr>
                <w:rFonts w:cs="Calibri"/>
                <w:color w:val="000000"/>
                <w:sz w:val="18"/>
                <w:szCs w:val="18"/>
              </w:rPr>
              <w:t>40.8</w:t>
            </w:r>
          </w:p>
        </w:tc>
        <w:tc>
          <w:tcPr>
            <w:tcW w:w="945" w:type="dxa"/>
            <w:noWrap/>
            <w:vAlign w:val="center"/>
          </w:tcPr>
          <w:p w14:paraId="61DDC81B" w14:textId="77777777" w:rsidR="00FD6F91" w:rsidRPr="00847FAE" w:rsidRDefault="00FD6F91" w:rsidP="00FD6F91">
            <w:pPr>
              <w:jc w:val="center"/>
              <w:rPr>
                <w:rFonts w:cs="Calibri"/>
                <w:color w:val="000000"/>
                <w:sz w:val="18"/>
                <w:szCs w:val="18"/>
              </w:rPr>
            </w:pPr>
            <w:r w:rsidRPr="00847FAE">
              <w:rPr>
                <w:rFonts w:cs="Calibri"/>
                <w:color w:val="000000"/>
                <w:sz w:val="18"/>
                <w:szCs w:val="18"/>
              </w:rPr>
              <w:t>45.4</w:t>
            </w:r>
          </w:p>
        </w:tc>
        <w:tc>
          <w:tcPr>
            <w:tcW w:w="1134" w:type="dxa"/>
            <w:noWrap/>
            <w:vAlign w:val="center"/>
          </w:tcPr>
          <w:p w14:paraId="1452A4CE" w14:textId="77777777" w:rsidR="00FD6F91" w:rsidRPr="00847FAE" w:rsidRDefault="00FD6F91" w:rsidP="00FD6F91">
            <w:pPr>
              <w:jc w:val="center"/>
              <w:rPr>
                <w:rFonts w:cs="Calibri"/>
                <w:color w:val="000000"/>
                <w:sz w:val="18"/>
                <w:szCs w:val="18"/>
              </w:rPr>
            </w:pPr>
            <w:r w:rsidRPr="00847FAE">
              <w:rPr>
                <w:rFonts w:cs="Calibri"/>
                <w:color w:val="000000"/>
                <w:sz w:val="18"/>
                <w:szCs w:val="18"/>
              </w:rPr>
              <w:t>4.6 pp</w:t>
            </w:r>
          </w:p>
        </w:tc>
      </w:tr>
      <w:tr w:rsidR="00FD6F91" w:rsidRPr="00847FAE" w14:paraId="2F77DDA3" w14:textId="77777777" w:rsidTr="001F1F60">
        <w:trPr>
          <w:cantSplit/>
          <w:trHeight w:val="255"/>
        </w:trPr>
        <w:tc>
          <w:tcPr>
            <w:tcW w:w="3261" w:type="dxa"/>
            <w:gridSpan w:val="4"/>
            <w:tcBorders>
              <w:bottom w:val="single" w:sz="4" w:space="0" w:color="auto"/>
            </w:tcBorders>
            <w:noWrap/>
            <w:vAlign w:val="center"/>
          </w:tcPr>
          <w:p w14:paraId="4511226D"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44" w:type="dxa"/>
            <w:tcBorders>
              <w:bottom w:val="single" w:sz="4" w:space="0" w:color="auto"/>
            </w:tcBorders>
            <w:noWrap/>
            <w:vAlign w:val="center"/>
          </w:tcPr>
          <w:p w14:paraId="3D627E7F" w14:textId="77777777" w:rsidR="00FD6F91" w:rsidRPr="00847FAE" w:rsidRDefault="00FD6F91" w:rsidP="00FD6F91">
            <w:pPr>
              <w:jc w:val="center"/>
              <w:rPr>
                <w:rFonts w:cs="Calibri"/>
                <w:color w:val="000000"/>
                <w:sz w:val="18"/>
                <w:szCs w:val="18"/>
              </w:rPr>
            </w:pPr>
            <w:r w:rsidRPr="00847FAE">
              <w:rPr>
                <w:rFonts w:cs="Calibri"/>
                <w:color w:val="000000"/>
                <w:sz w:val="18"/>
                <w:szCs w:val="18"/>
              </w:rPr>
              <w:t>12.7</w:t>
            </w:r>
          </w:p>
        </w:tc>
        <w:tc>
          <w:tcPr>
            <w:tcW w:w="945" w:type="dxa"/>
            <w:tcBorders>
              <w:bottom w:val="single" w:sz="4" w:space="0" w:color="auto"/>
            </w:tcBorders>
            <w:noWrap/>
            <w:vAlign w:val="center"/>
          </w:tcPr>
          <w:p w14:paraId="069BB23F" w14:textId="77777777" w:rsidR="00FD6F91" w:rsidRPr="00847FAE" w:rsidRDefault="00FD6F91" w:rsidP="00FD6F91">
            <w:pPr>
              <w:jc w:val="center"/>
              <w:rPr>
                <w:rFonts w:cs="Calibri"/>
                <w:color w:val="000000"/>
                <w:sz w:val="18"/>
                <w:szCs w:val="18"/>
              </w:rPr>
            </w:pPr>
            <w:r w:rsidRPr="00847FAE">
              <w:rPr>
                <w:rFonts w:cs="Calibri"/>
                <w:color w:val="000000"/>
                <w:sz w:val="18"/>
                <w:szCs w:val="18"/>
              </w:rPr>
              <w:t>15.6</w:t>
            </w:r>
          </w:p>
        </w:tc>
        <w:tc>
          <w:tcPr>
            <w:tcW w:w="944" w:type="dxa"/>
            <w:tcBorders>
              <w:bottom w:val="single" w:sz="4" w:space="0" w:color="auto"/>
            </w:tcBorders>
            <w:noWrap/>
            <w:vAlign w:val="center"/>
          </w:tcPr>
          <w:p w14:paraId="1E11C1C7" w14:textId="77777777" w:rsidR="00FD6F91" w:rsidRPr="00847FAE" w:rsidRDefault="00FD6F91" w:rsidP="00FD6F91">
            <w:pPr>
              <w:jc w:val="center"/>
              <w:rPr>
                <w:rFonts w:cs="Calibri"/>
                <w:color w:val="000000"/>
                <w:sz w:val="18"/>
                <w:szCs w:val="18"/>
              </w:rPr>
            </w:pPr>
            <w:r w:rsidRPr="00847FAE">
              <w:rPr>
                <w:rFonts w:cs="Calibri"/>
                <w:color w:val="000000"/>
                <w:sz w:val="18"/>
                <w:szCs w:val="18"/>
              </w:rPr>
              <w:t>15.6</w:t>
            </w:r>
          </w:p>
        </w:tc>
        <w:tc>
          <w:tcPr>
            <w:tcW w:w="945" w:type="dxa"/>
            <w:tcBorders>
              <w:bottom w:val="single" w:sz="4" w:space="0" w:color="auto"/>
            </w:tcBorders>
            <w:noWrap/>
            <w:vAlign w:val="center"/>
          </w:tcPr>
          <w:p w14:paraId="2A43AD2F" w14:textId="77777777" w:rsidR="00FD6F91" w:rsidRPr="00847FAE" w:rsidRDefault="00FD6F91" w:rsidP="00FD6F91">
            <w:pPr>
              <w:jc w:val="center"/>
              <w:rPr>
                <w:rFonts w:cs="Calibri"/>
                <w:color w:val="000000"/>
                <w:sz w:val="18"/>
                <w:szCs w:val="18"/>
              </w:rPr>
            </w:pPr>
            <w:r w:rsidRPr="00847FAE">
              <w:rPr>
                <w:rFonts w:cs="Calibri"/>
                <w:color w:val="000000"/>
                <w:sz w:val="18"/>
                <w:szCs w:val="18"/>
              </w:rPr>
              <w:t>15.2</w:t>
            </w:r>
          </w:p>
        </w:tc>
        <w:tc>
          <w:tcPr>
            <w:tcW w:w="945" w:type="dxa"/>
            <w:tcBorders>
              <w:bottom w:val="single" w:sz="4" w:space="0" w:color="auto"/>
            </w:tcBorders>
            <w:noWrap/>
            <w:vAlign w:val="center"/>
          </w:tcPr>
          <w:p w14:paraId="0157BF44" w14:textId="77777777" w:rsidR="00FD6F91" w:rsidRPr="00847FAE" w:rsidRDefault="00FD6F91" w:rsidP="00FD6F91">
            <w:pPr>
              <w:jc w:val="center"/>
              <w:rPr>
                <w:rFonts w:cs="Calibri"/>
                <w:color w:val="000000"/>
                <w:sz w:val="18"/>
                <w:szCs w:val="18"/>
              </w:rPr>
            </w:pPr>
            <w:r w:rsidRPr="00847FAE">
              <w:rPr>
                <w:rFonts w:cs="Calibri"/>
                <w:color w:val="000000"/>
                <w:sz w:val="18"/>
                <w:szCs w:val="18"/>
              </w:rPr>
              <w:t>20.1</w:t>
            </w:r>
          </w:p>
        </w:tc>
        <w:tc>
          <w:tcPr>
            <w:tcW w:w="1134" w:type="dxa"/>
            <w:tcBorders>
              <w:bottom w:val="single" w:sz="4" w:space="0" w:color="auto"/>
            </w:tcBorders>
            <w:noWrap/>
            <w:vAlign w:val="center"/>
          </w:tcPr>
          <w:p w14:paraId="1E51495B" w14:textId="77777777" w:rsidR="00FD6F91" w:rsidRPr="00847FAE" w:rsidRDefault="00FD6F91" w:rsidP="00FD6F91">
            <w:pPr>
              <w:jc w:val="center"/>
              <w:rPr>
                <w:rFonts w:cs="Calibri"/>
                <w:color w:val="000000"/>
                <w:sz w:val="18"/>
                <w:szCs w:val="18"/>
              </w:rPr>
            </w:pPr>
            <w:r w:rsidRPr="00847FAE">
              <w:rPr>
                <w:rFonts w:cs="Calibri"/>
                <w:color w:val="000000"/>
                <w:sz w:val="18"/>
                <w:szCs w:val="18"/>
              </w:rPr>
              <w:t>4.9 pp</w:t>
            </w:r>
          </w:p>
        </w:tc>
      </w:tr>
      <w:tr w:rsidR="00FD6F91" w:rsidRPr="00847FAE" w14:paraId="00FDE7BA" w14:textId="77777777" w:rsidTr="001F1F60">
        <w:trPr>
          <w:cantSplit/>
          <w:trHeight w:val="255"/>
        </w:trPr>
        <w:tc>
          <w:tcPr>
            <w:tcW w:w="3261" w:type="dxa"/>
            <w:gridSpan w:val="4"/>
            <w:tcBorders>
              <w:top w:val="single" w:sz="4" w:space="0" w:color="auto"/>
              <w:bottom w:val="single" w:sz="4" w:space="0" w:color="auto"/>
            </w:tcBorders>
            <w:noWrap/>
            <w:vAlign w:val="center"/>
            <w:hideMark/>
          </w:tcPr>
          <w:p w14:paraId="247E7053" w14:textId="77777777" w:rsidR="00FD6F91" w:rsidRPr="00847FAE" w:rsidRDefault="00FD6F91" w:rsidP="00FD6F91">
            <w:pPr>
              <w:keepNext/>
              <w:rPr>
                <w:rFonts w:cs="Calibri"/>
                <w:color w:val="000000"/>
                <w:sz w:val="18"/>
                <w:szCs w:val="18"/>
              </w:rPr>
            </w:pPr>
            <w:r w:rsidRPr="00847FAE">
              <w:rPr>
                <w:rFonts w:cs="Calibri"/>
                <w:color w:val="000000"/>
                <w:sz w:val="18"/>
                <w:szCs w:val="18"/>
              </w:rPr>
              <w:t>YOUTH JUSTICE COURT</w:t>
            </w:r>
          </w:p>
        </w:tc>
        <w:tc>
          <w:tcPr>
            <w:tcW w:w="944" w:type="dxa"/>
            <w:tcBorders>
              <w:top w:val="single" w:sz="4" w:space="0" w:color="auto"/>
              <w:bottom w:val="single" w:sz="4" w:space="0" w:color="auto"/>
            </w:tcBorders>
            <w:noWrap/>
            <w:vAlign w:val="center"/>
          </w:tcPr>
          <w:p w14:paraId="21A7E188"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tcPr>
          <w:p w14:paraId="4083D12C"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4" w:type="dxa"/>
            <w:tcBorders>
              <w:top w:val="single" w:sz="4" w:space="0" w:color="auto"/>
              <w:bottom w:val="single" w:sz="4" w:space="0" w:color="auto"/>
            </w:tcBorders>
            <w:noWrap/>
            <w:vAlign w:val="center"/>
          </w:tcPr>
          <w:p w14:paraId="1BFC4E01"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tcPr>
          <w:p w14:paraId="39494365"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tcPr>
          <w:p w14:paraId="4AAB5B06"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1134" w:type="dxa"/>
            <w:tcBorders>
              <w:top w:val="single" w:sz="4" w:space="0" w:color="auto"/>
              <w:bottom w:val="single" w:sz="4" w:space="0" w:color="auto"/>
            </w:tcBorders>
            <w:noWrap/>
            <w:vAlign w:val="center"/>
          </w:tcPr>
          <w:p w14:paraId="2ACFCD26"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r>
      <w:tr w:rsidR="00FD6F91" w:rsidRPr="00847FAE" w14:paraId="68F8B078" w14:textId="77777777" w:rsidTr="001F1F60">
        <w:trPr>
          <w:cantSplit/>
          <w:trHeight w:val="255"/>
        </w:trPr>
        <w:tc>
          <w:tcPr>
            <w:tcW w:w="3261" w:type="dxa"/>
            <w:gridSpan w:val="4"/>
            <w:tcBorders>
              <w:top w:val="single" w:sz="4" w:space="0" w:color="auto"/>
            </w:tcBorders>
            <w:shd w:val="clear" w:color="auto" w:fill="D9D9D9" w:themeFill="background1" w:themeFillShade="D9"/>
            <w:noWrap/>
            <w:vAlign w:val="bottom"/>
            <w:hideMark/>
          </w:tcPr>
          <w:p w14:paraId="27AF7189"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Total finalised cases</w:t>
            </w:r>
          </w:p>
        </w:tc>
        <w:tc>
          <w:tcPr>
            <w:tcW w:w="944" w:type="dxa"/>
            <w:tcBorders>
              <w:top w:val="single" w:sz="4" w:space="0" w:color="auto"/>
            </w:tcBorders>
            <w:shd w:val="clear" w:color="auto" w:fill="D9D9D9" w:themeFill="background1" w:themeFillShade="D9"/>
            <w:noWrap/>
            <w:vAlign w:val="center"/>
          </w:tcPr>
          <w:p w14:paraId="10A359A2" w14:textId="77777777" w:rsidR="00FD6F91" w:rsidRPr="00847FAE" w:rsidRDefault="00FD6F91" w:rsidP="00FD6F91">
            <w:pPr>
              <w:jc w:val="center"/>
              <w:rPr>
                <w:rFonts w:cs="Calibri"/>
                <w:color w:val="000000"/>
                <w:sz w:val="18"/>
                <w:szCs w:val="18"/>
              </w:rPr>
            </w:pPr>
            <w:r w:rsidRPr="00847FAE">
              <w:rPr>
                <w:rFonts w:cs="Calibri"/>
                <w:color w:val="000000"/>
                <w:sz w:val="18"/>
                <w:szCs w:val="18"/>
              </w:rPr>
              <w:t>1,321</w:t>
            </w:r>
          </w:p>
        </w:tc>
        <w:tc>
          <w:tcPr>
            <w:tcW w:w="945" w:type="dxa"/>
            <w:tcBorders>
              <w:top w:val="single" w:sz="4" w:space="0" w:color="auto"/>
            </w:tcBorders>
            <w:shd w:val="clear" w:color="auto" w:fill="D9D9D9" w:themeFill="background1" w:themeFillShade="D9"/>
            <w:noWrap/>
            <w:vAlign w:val="center"/>
          </w:tcPr>
          <w:p w14:paraId="65B2580E" w14:textId="77777777" w:rsidR="00FD6F91" w:rsidRPr="00847FAE" w:rsidRDefault="00FD6F91" w:rsidP="00FD6F91">
            <w:pPr>
              <w:jc w:val="center"/>
              <w:rPr>
                <w:rFonts w:cs="Calibri"/>
                <w:color w:val="000000"/>
                <w:sz w:val="18"/>
                <w:szCs w:val="18"/>
              </w:rPr>
            </w:pPr>
            <w:r w:rsidRPr="00847FAE">
              <w:rPr>
                <w:rFonts w:cs="Calibri"/>
                <w:color w:val="000000"/>
                <w:sz w:val="18"/>
                <w:szCs w:val="18"/>
              </w:rPr>
              <w:t>1,217</w:t>
            </w:r>
          </w:p>
        </w:tc>
        <w:tc>
          <w:tcPr>
            <w:tcW w:w="944" w:type="dxa"/>
            <w:tcBorders>
              <w:top w:val="single" w:sz="4" w:space="0" w:color="auto"/>
            </w:tcBorders>
            <w:shd w:val="clear" w:color="auto" w:fill="D9D9D9" w:themeFill="background1" w:themeFillShade="D9"/>
            <w:noWrap/>
            <w:vAlign w:val="center"/>
          </w:tcPr>
          <w:p w14:paraId="05E8FC20" w14:textId="77777777" w:rsidR="00FD6F91" w:rsidRPr="00847FAE" w:rsidRDefault="00FD6F91" w:rsidP="00FD6F91">
            <w:pPr>
              <w:jc w:val="center"/>
              <w:rPr>
                <w:rFonts w:cs="Calibri"/>
                <w:color w:val="000000"/>
                <w:sz w:val="18"/>
                <w:szCs w:val="18"/>
              </w:rPr>
            </w:pPr>
            <w:r w:rsidRPr="00847FAE">
              <w:rPr>
                <w:rFonts w:cs="Calibri"/>
                <w:color w:val="000000"/>
                <w:sz w:val="18"/>
                <w:szCs w:val="18"/>
              </w:rPr>
              <w:t>1,150</w:t>
            </w:r>
          </w:p>
        </w:tc>
        <w:tc>
          <w:tcPr>
            <w:tcW w:w="945" w:type="dxa"/>
            <w:tcBorders>
              <w:top w:val="single" w:sz="4" w:space="0" w:color="auto"/>
            </w:tcBorders>
            <w:shd w:val="clear" w:color="auto" w:fill="D9D9D9" w:themeFill="background1" w:themeFillShade="D9"/>
            <w:noWrap/>
            <w:vAlign w:val="center"/>
          </w:tcPr>
          <w:p w14:paraId="561D0A20" w14:textId="77777777" w:rsidR="00FD6F91" w:rsidRPr="00847FAE" w:rsidRDefault="00FD6F91" w:rsidP="00FD6F91">
            <w:pPr>
              <w:jc w:val="center"/>
              <w:rPr>
                <w:rFonts w:cs="Calibri"/>
                <w:color w:val="000000"/>
                <w:sz w:val="18"/>
                <w:szCs w:val="18"/>
              </w:rPr>
            </w:pPr>
            <w:r w:rsidRPr="00847FAE">
              <w:rPr>
                <w:rFonts w:cs="Calibri"/>
                <w:color w:val="000000"/>
                <w:sz w:val="18"/>
                <w:szCs w:val="18"/>
              </w:rPr>
              <w:t>1,110</w:t>
            </w:r>
          </w:p>
        </w:tc>
        <w:tc>
          <w:tcPr>
            <w:tcW w:w="945" w:type="dxa"/>
            <w:tcBorders>
              <w:top w:val="single" w:sz="4" w:space="0" w:color="auto"/>
            </w:tcBorders>
            <w:shd w:val="clear" w:color="auto" w:fill="D9D9D9" w:themeFill="background1" w:themeFillShade="D9"/>
            <w:noWrap/>
            <w:vAlign w:val="center"/>
          </w:tcPr>
          <w:p w14:paraId="331A57CD" w14:textId="77777777" w:rsidR="00FD6F91" w:rsidRPr="00847FAE" w:rsidRDefault="00FD6F91" w:rsidP="00FD6F91">
            <w:pPr>
              <w:jc w:val="center"/>
              <w:rPr>
                <w:rFonts w:cs="Calibri"/>
                <w:color w:val="000000"/>
                <w:sz w:val="18"/>
                <w:szCs w:val="18"/>
              </w:rPr>
            </w:pPr>
            <w:r w:rsidRPr="00847FAE">
              <w:rPr>
                <w:rFonts w:cs="Calibri"/>
                <w:color w:val="000000"/>
                <w:sz w:val="18"/>
                <w:szCs w:val="18"/>
              </w:rPr>
              <w:t>1,347</w:t>
            </w:r>
          </w:p>
        </w:tc>
        <w:tc>
          <w:tcPr>
            <w:tcW w:w="1134" w:type="dxa"/>
            <w:tcBorders>
              <w:top w:val="single" w:sz="4" w:space="0" w:color="auto"/>
            </w:tcBorders>
            <w:shd w:val="clear" w:color="auto" w:fill="D9D9D9" w:themeFill="background1" w:themeFillShade="D9"/>
            <w:noWrap/>
            <w:vAlign w:val="center"/>
          </w:tcPr>
          <w:p w14:paraId="14A715B6" w14:textId="77777777" w:rsidR="00FD6F91" w:rsidRPr="00847FAE" w:rsidRDefault="00FD6F91" w:rsidP="00FD6F91">
            <w:pPr>
              <w:jc w:val="center"/>
              <w:rPr>
                <w:rFonts w:cs="Calibri"/>
                <w:color w:val="000000"/>
                <w:sz w:val="18"/>
                <w:szCs w:val="18"/>
              </w:rPr>
            </w:pPr>
            <w:r w:rsidRPr="00847FAE">
              <w:rPr>
                <w:rFonts w:cs="Calibri"/>
                <w:color w:val="000000"/>
                <w:sz w:val="18"/>
                <w:szCs w:val="18"/>
              </w:rPr>
              <w:t>21.4%</w:t>
            </w:r>
          </w:p>
        </w:tc>
      </w:tr>
      <w:tr w:rsidR="00FD6F91" w:rsidRPr="00847FAE" w14:paraId="25A25AFC" w14:textId="77777777" w:rsidTr="001F1F60">
        <w:trPr>
          <w:cantSplit/>
          <w:trHeight w:val="255"/>
        </w:trPr>
        <w:tc>
          <w:tcPr>
            <w:tcW w:w="3261" w:type="dxa"/>
            <w:gridSpan w:val="4"/>
            <w:noWrap/>
            <w:vAlign w:val="bottom"/>
            <w:hideMark/>
          </w:tcPr>
          <w:p w14:paraId="2796E521"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Cases finalised in 6 to 12</w:t>
            </w:r>
            <w:r w:rsidRPr="00847FAE">
              <w:rPr>
                <w:rFonts w:cs="Calibri"/>
                <w:color w:val="FFFFFF" w:themeColor="background1"/>
                <w:sz w:val="18"/>
                <w:szCs w:val="18"/>
              </w:rPr>
              <w:t xml:space="preserve"> </w:t>
            </w:r>
            <w:r w:rsidRPr="00847FAE">
              <w:rPr>
                <w:rFonts w:cs="Calibri"/>
                <w:color w:val="000000"/>
                <w:sz w:val="18"/>
                <w:szCs w:val="18"/>
              </w:rPr>
              <w:t>months</w:t>
            </w:r>
          </w:p>
        </w:tc>
        <w:tc>
          <w:tcPr>
            <w:tcW w:w="944" w:type="dxa"/>
            <w:noWrap/>
            <w:vAlign w:val="center"/>
          </w:tcPr>
          <w:p w14:paraId="62E0EE4A" w14:textId="77777777" w:rsidR="00FD6F91" w:rsidRPr="00847FAE" w:rsidRDefault="00FD6F91" w:rsidP="00FD6F91">
            <w:pPr>
              <w:jc w:val="center"/>
              <w:rPr>
                <w:rFonts w:cs="Calibri"/>
                <w:color w:val="000000"/>
                <w:sz w:val="18"/>
                <w:szCs w:val="18"/>
              </w:rPr>
            </w:pPr>
            <w:r w:rsidRPr="00847FAE">
              <w:rPr>
                <w:rFonts w:cs="Calibri"/>
                <w:color w:val="000000"/>
                <w:sz w:val="18"/>
                <w:szCs w:val="18"/>
              </w:rPr>
              <w:t>314</w:t>
            </w:r>
          </w:p>
        </w:tc>
        <w:tc>
          <w:tcPr>
            <w:tcW w:w="945" w:type="dxa"/>
            <w:noWrap/>
            <w:vAlign w:val="center"/>
          </w:tcPr>
          <w:p w14:paraId="6A227BC6" w14:textId="77777777" w:rsidR="00FD6F91" w:rsidRPr="00847FAE" w:rsidRDefault="00FD6F91" w:rsidP="00FD6F91">
            <w:pPr>
              <w:jc w:val="center"/>
              <w:rPr>
                <w:rFonts w:cs="Calibri"/>
                <w:color w:val="000000"/>
                <w:sz w:val="18"/>
                <w:szCs w:val="18"/>
              </w:rPr>
            </w:pPr>
            <w:r w:rsidRPr="00847FAE">
              <w:rPr>
                <w:rFonts w:cs="Calibri"/>
                <w:color w:val="000000"/>
                <w:sz w:val="18"/>
                <w:szCs w:val="18"/>
              </w:rPr>
              <w:t>224</w:t>
            </w:r>
          </w:p>
        </w:tc>
        <w:tc>
          <w:tcPr>
            <w:tcW w:w="944" w:type="dxa"/>
            <w:noWrap/>
            <w:vAlign w:val="center"/>
          </w:tcPr>
          <w:p w14:paraId="47F3548A" w14:textId="77777777" w:rsidR="00FD6F91" w:rsidRPr="00847FAE" w:rsidRDefault="00FD6F91" w:rsidP="00FD6F91">
            <w:pPr>
              <w:jc w:val="center"/>
              <w:rPr>
                <w:rFonts w:cs="Calibri"/>
                <w:color w:val="000000"/>
                <w:sz w:val="18"/>
                <w:szCs w:val="18"/>
              </w:rPr>
            </w:pPr>
            <w:r w:rsidRPr="00847FAE">
              <w:rPr>
                <w:rFonts w:cs="Calibri"/>
                <w:color w:val="000000"/>
                <w:sz w:val="18"/>
                <w:szCs w:val="18"/>
              </w:rPr>
              <w:t>229</w:t>
            </w:r>
          </w:p>
        </w:tc>
        <w:tc>
          <w:tcPr>
            <w:tcW w:w="945" w:type="dxa"/>
            <w:noWrap/>
            <w:vAlign w:val="center"/>
          </w:tcPr>
          <w:p w14:paraId="5CFF0467" w14:textId="77777777" w:rsidR="00FD6F91" w:rsidRPr="00847FAE" w:rsidRDefault="00FD6F91" w:rsidP="00FD6F91">
            <w:pPr>
              <w:jc w:val="center"/>
              <w:rPr>
                <w:rFonts w:cs="Calibri"/>
                <w:color w:val="000000"/>
                <w:sz w:val="18"/>
                <w:szCs w:val="18"/>
              </w:rPr>
            </w:pPr>
            <w:r w:rsidRPr="00847FAE">
              <w:rPr>
                <w:rFonts w:cs="Calibri"/>
                <w:color w:val="000000"/>
                <w:sz w:val="18"/>
                <w:szCs w:val="18"/>
              </w:rPr>
              <w:t>202</w:t>
            </w:r>
          </w:p>
        </w:tc>
        <w:tc>
          <w:tcPr>
            <w:tcW w:w="945" w:type="dxa"/>
            <w:noWrap/>
            <w:vAlign w:val="center"/>
          </w:tcPr>
          <w:p w14:paraId="3E58CE31" w14:textId="77777777" w:rsidR="00FD6F91" w:rsidRPr="00847FAE" w:rsidRDefault="00FD6F91" w:rsidP="00FD6F91">
            <w:pPr>
              <w:jc w:val="center"/>
              <w:rPr>
                <w:rFonts w:cs="Calibri"/>
                <w:color w:val="000000"/>
                <w:sz w:val="18"/>
                <w:szCs w:val="18"/>
              </w:rPr>
            </w:pPr>
            <w:r w:rsidRPr="00847FAE">
              <w:rPr>
                <w:rFonts w:cs="Calibri"/>
                <w:color w:val="000000"/>
                <w:sz w:val="18"/>
                <w:szCs w:val="18"/>
              </w:rPr>
              <w:t>300</w:t>
            </w:r>
          </w:p>
        </w:tc>
        <w:tc>
          <w:tcPr>
            <w:tcW w:w="1134" w:type="dxa"/>
            <w:noWrap/>
            <w:vAlign w:val="center"/>
          </w:tcPr>
          <w:p w14:paraId="6FEB016B" w14:textId="77777777" w:rsidR="00FD6F91" w:rsidRPr="00847FAE" w:rsidRDefault="00FD6F91" w:rsidP="00FD6F91">
            <w:pPr>
              <w:jc w:val="center"/>
              <w:rPr>
                <w:rFonts w:cs="Calibri"/>
                <w:color w:val="000000"/>
                <w:sz w:val="18"/>
                <w:szCs w:val="18"/>
              </w:rPr>
            </w:pPr>
            <w:r w:rsidRPr="00847FAE">
              <w:rPr>
                <w:rFonts w:cs="Calibri"/>
                <w:color w:val="000000"/>
                <w:sz w:val="18"/>
                <w:szCs w:val="18"/>
              </w:rPr>
              <w:t>48.5%</w:t>
            </w:r>
          </w:p>
        </w:tc>
      </w:tr>
      <w:tr w:rsidR="00FD6F91" w:rsidRPr="00847FAE" w14:paraId="0C893B1D" w14:textId="77777777" w:rsidTr="001F1F60">
        <w:trPr>
          <w:cantSplit/>
          <w:trHeight w:val="255"/>
        </w:trPr>
        <w:tc>
          <w:tcPr>
            <w:tcW w:w="3261" w:type="dxa"/>
            <w:gridSpan w:val="4"/>
            <w:noWrap/>
            <w:vAlign w:val="bottom"/>
            <w:hideMark/>
          </w:tcPr>
          <w:p w14:paraId="60894BCA"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Cases finalised after 12 months </w:t>
            </w:r>
          </w:p>
        </w:tc>
        <w:tc>
          <w:tcPr>
            <w:tcW w:w="944" w:type="dxa"/>
            <w:noWrap/>
            <w:vAlign w:val="center"/>
          </w:tcPr>
          <w:p w14:paraId="0E2D60D9" w14:textId="77777777" w:rsidR="00FD6F91" w:rsidRPr="00847FAE" w:rsidRDefault="00FD6F91" w:rsidP="00FD6F91">
            <w:pPr>
              <w:jc w:val="center"/>
              <w:rPr>
                <w:rFonts w:cs="Calibri"/>
                <w:color w:val="000000"/>
                <w:sz w:val="18"/>
                <w:szCs w:val="18"/>
              </w:rPr>
            </w:pPr>
            <w:r w:rsidRPr="00847FAE">
              <w:rPr>
                <w:rFonts w:cs="Calibri"/>
                <w:color w:val="000000"/>
                <w:sz w:val="18"/>
                <w:szCs w:val="18"/>
              </w:rPr>
              <w:t>147</w:t>
            </w:r>
          </w:p>
        </w:tc>
        <w:tc>
          <w:tcPr>
            <w:tcW w:w="945" w:type="dxa"/>
            <w:noWrap/>
            <w:vAlign w:val="center"/>
          </w:tcPr>
          <w:p w14:paraId="7DE91DD9" w14:textId="77777777" w:rsidR="00FD6F91" w:rsidRPr="00847FAE" w:rsidRDefault="00FD6F91" w:rsidP="00FD6F91">
            <w:pPr>
              <w:jc w:val="center"/>
              <w:rPr>
                <w:rFonts w:cs="Calibri"/>
                <w:color w:val="000000"/>
                <w:sz w:val="18"/>
                <w:szCs w:val="18"/>
              </w:rPr>
            </w:pPr>
            <w:r w:rsidRPr="00847FAE">
              <w:rPr>
                <w:rFonts w:cs="Calibri"/>
                <w:color w:val="000000"/>
                <w:sz w:val="18"/>
                <w:szCs w:val="18"/>
              </w:rPr>
              <w:t>155</w:t>
            </w:r>
          </w:p>
        </w:tc>
        <w:tc>
          <w:tcPr>
            <w:tcW w:w="944" w:type="dxa"/>
            <w:noWrap/>
            <w:vAlign w:val="center"/>
          </w:tcPr>
          <w:p w14:paraId="732B16CC" w14:textId="77777777" w:rsidR="00FD6F91" w:rsidRPr="00847FAE" w:rsidRDefault="00FD6F91" w:rsidP="00FD6F91">
            <w:pPr>
              <w:jc w:val="center"/>
              <w:rPr>
                <w:rFonts w:cs="Calibri"/>
                <w:color w:val="000000"/>
                <w:sz w:val="18"/>
                <w:szCs w:val="18"/>
              </w:rPr>
            </w:pPr>
            <w:r w:rsidRPr="00847FAE">
              <w:rPr>
                <w:rFonts w:cs="Calibri"/>
                <w:color w:val="000000"/>
                <w:sz w:val="18"/>
                <w:szCs w:val="18"/>
              </w:rPr>
              <w:t>141</w:t>
            </w:r>
          </w:p>
        </w:tc>
        <w:tc>
          <w:tcPr>
            <w:tcW w:w="945" w:type="dxa"/>
            <w:noWrap/>
            <w:vAlign w:val="center"/>
          </w:tcPr>
          <w:p w14:paraId="571691CF" w14:textId="77777777" w:rsidR="00FD6F91" w:rsidRPr="00847FAE" w:rsidRDefault="00FD6F91" w:rsidP="00FD6F91">
            <w:pPr>
              <w:jc w:val="center"/>
              <w:rPr>
                <w:rFonts w:cs="Calibri"/>
                <w:color w:val="000000"/>
                <w:sz w:val="18"/>
                <w:szCs w:val="18"/>
              </w:rPr>
            </w:pPr>
            <w:r w:rsidRPr="00847FAE">
              <w:rPr>
                <w:rFonts w:cs="Calibri"/>
                <w:color w:val="000000"/>
                <w:sz w:val="18"/>
                <w:szCs w:val="18"/>
              </w:rPr>
              <w:t>94</w:t>
            </w:r>
          </w:p>
        </w:tc>
        <w:tc>
          <w:tcPr>
            <w:tcW w:w="945" w:type="dxa"/>
            <w:noWrap/>
            <w:vAlign w:val="center"/>
          </w:tcPr>
          <w:p w14:paraId="17E49C3A" w14:textId="77777777" w:rsidR="00FD6F91" w:rsidRPr="00847FAE" w:rsidRDefault="00FD6F91" w:rsidP="00FD6F91">
            <w:pPr>
              <w:jc w:val="center"/>
              <w:rPr>
                <w:rFonts w:cs="Calibri"/>
                <w:color w:val="000000"/>
                <w:sz w:val="18"/>
                <w:szCs w:val="18"/>
              </w:rPr>
            </w:pPr>
            <w:r w:rsidRPr="00847FAE">
              <w:rPr>
                <w:rFonts w:cs="Calibri"/>
                <w:color w:val="000000"/>
                <w:sz w:val="18"/>
                <w:szCs w:val="18"/>
              </w:rPr>
              <w:t>130</w:t>
            </w:r>
          </w:p>
        </w:tc>
        <w:tc>
          <w:tcPr>
            <w:tcW w:w="1134" w:type="dxa"/>
            <w:noWrap/>
            <w:vAlign w:val="center"/>
          </w:tcPr>
          <w:p w14:paraId="384A115F" w14:textId="77777777" w:rsidR="00FD6F91" w:rsidRPr="00847FAE" w:rsidRDefault="00FD6F91" w:rsidP="00FD6F91">
            <w:pPr>
              <w:jc w:val="center"/>
              <w:rPr>
                <w:rFonts w:cs="Calibri"/>
                <w:color w:val="000000"/>
                <w:sz w:val="18"/>
                <w:szCs w:val="18"/>
              </w:rPr>
            </w:pPr>
            <w:r w:rsidRPr="00847FAE">
              <w:rPr>
                <w:rFonts w:cs="Calibri"/>
                <w:color w:val="000000"/>
                <w:sz w:val="18"/>
                <w:szCs w:val="18"/>
              </w:rPr>
              <w:t>38.3%</w:t>
            </w:r>
          </w:p>
        </w:tc>
      </w:tr>
      <w:tr w:rsidR="00FD6F91" w:rsidRPr="00847FAE" w14:paraId="79915243" w14:textId="77777777" w:rsidTr="001F1F60">
        <w:trPr>
          <w:cantSplit/>
          <w:trHeight w:val="255"/>
        </w:trPr>
        <w:tc>
          <w:tcPr>
            <w:tcW w:w="3261" w:type="dxa"/>
            <w:gridSpan w:val="4"/>
            <w:shd w:val="clear" w:color="auto" w:fill="D9D9D9" w:themeFill="background1" w:themeFillShade="D9"/>
            <w:noWrap/>
            <w:vAlign w:val="bottom"/>
          </w:tcPr>
          <w:p w14:paraId="07AD7399"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Disposal Indicator</w:t>
            </w:r>
          </w:p>
        </w:tc>
        <w:tc>
          <w:tcPr>
            <w:tcW w:w="944" w:type="dxa"/>
            <w:shd w:val="clear" w:color="auto" w:fill="D9D9D9" w:themeFill="background1" w:themeFillShade="D9"/>
            <w:noWrap/>
            <w:vAlign w:val="center"/>
          </w:tcPr>
          <w:p w14:paraId="24386091"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21DD660E"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4" w:type="dxa"/>
            <w:shd w:val="clear" w:color="auto" w:fill="D9D9D9" w:themeFill="background1" w:themeFillShade="D9"/>
            <w:noWrap/>
            <w:vAlign w:val="center"/>
          </w:tcPr>
          <w:p w14:paraId="45A0F696"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4B20A79E"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3ECB2B0B"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1134" w:type="dxa"/>
            <w:shd w:val="clear" w:color="auto" w:fill="D9D9D9" w:themeFill="background1" w:themeFillShade="D9"/>
            <w:noWrap/>
            <w:vAlign w:val="center"/>
          </w:tcPr>
          <w:p w14:paraId="133F2C40"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r>
      <w:tr w:rsidR="00FD6F91" w:rsidRPr="00847FAE" w14:paraId="3AA44C23" w14:textId="77777777" w:rsidTr="001F1F60">
        <w:trPr>
          <w:cantSplit/>
          <w:trHeight w:val="255"/>
        </w:trPr>
        <w:tc>
          <w:tcPr>
            <w:tcW w:w="3261" w:type="dxa"/>
            <w:gridSpan w:val="4"/>
            <w:noWrap/>
            <w:vAlign w:val="center"/>
          </w:tcPr>
          <w:p w14:paraId="570DCB53"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44" w:type="dxa"/>
            <w:noWrap/>
            <w:vAlign w:val="center"/>
          </w:tcPr>
          <w:p w14:paraId="473E1A13" w14:textId="77777777" w:rsidR="00FD6F91" w:rsidRPr="00847FAE" w:rsidRDefault="00FD6F91" w:rsidP="00FD6F91">
            <w:pPr>
              <w:jc w:val="center"/>
              <w:rPr>
                <w:rFonts w:cs="Calibri"/>
                <w:color w:val="000000"/>
                <w:sz w:val="18"/>
                <w:szCs w:val="18"/>
              </w:rPr>
            </w:pPr>
            <w:r w:rsidRPr="00847FAE">
              <w:rPr>
                <w:rFonts w:cs="Calibri"/>
                <w:color w:val="000000"/>
                <w:sz w:val="18"/>
                <w:szCs w:val="18"/>
              </w:rPr>
              <w:t>34.9</w:t>
            </w:r>
          </w:p>
        </w:tc>
        <w:tc>
          <w:tcPr>
            <w:tcW w:w="945" w:type="dxa"/>
            <w:noWrap/>
            <w:vAlign w:val="center"/>
          </w:tcPr>
          <w:p w14:paraId="347B2C76" w14:textId="77777777" w:rsidR="00FD6F91" w:rsidRPr="00847FAE" w:rsidRDefault="00FD6F91" w:rsidP="00FD6F91">
            <w:pPr>
              <w:jc w:val="center"/>
              <w:rPr>
                <w:rFonts w:cs="Calibri"/>
                <w:color w:val="000000"/>
                <w:sz w:val="18"/>
                <w:szCs w:val="18"/>
              </w:rPr>
            </w:pPr>
            <w:r w:rsidRPr="00847FAE">
              <w:rPr>
                <w:rFonts w:cs="Calibri"/>
                <w:color w:val="000000"/>
                <w:sz w:val="18"/>
                <w:szCs w:val="18"/>
              </w:rPr>
              <w:t>31.1</w:t>
            </w:r>
          </w:p>
        </w:tc>
        <w:tc>
          <w:tcPr>
            <w:tcW w:w="944" w:type="dxa"/>
            <w:noWrap/>
            <w:vAlign w:val="center"/>
          </w:tcPr>
          <w:p w14:paraId="7465715F" w14:textId="77777777" w:rsidR="00FD6F91" w:rsidRPr="00847FAE" w:rsidRDefault="00FD6F91" w:rsidP="00FD6F91">
            <w:pPr>
              <w:jc w:val="center"/>
              <w:rPr>
                <w:rFonts w:cs="Calibri"/>
                <w:color w:val="000000"/>
                <w:sz w:val="18"/>
                <w:szCs w:val="18"/>
              </w:rPr>
            </w:pPr>
            <w:r w:rsidRPr="00847FAE">
              <w:rPr>
                <w:rFonts w:cs="Calibri"/>
                <w:color w:val="000000"/>
                <w:sz w:val="18"/>
                <w:szCs w:val="18"/>
              </w:rPr>
              <w:t>32.2</w:t>
            </w:r>
          </w:p>
        </w:tc>
        <w:tc>
          <w:tcPr>
            <w:tcW w:w="945" w:type="dxa"/>
            <w:noWrap/>
            <w:vAlign w:val="center"/>
          </w:tcPr>
          <w:p w14:paraId="72BB46CA" w14:textId="77777777" w:rsidR="00FD6F91" w:rsidRPr="00847FAE" w:rsidRDefault="00FD6F91" w:rsidP="00FD6F91">
            <w:pPr>
              <w:jc w:val="center"/>
              <w:rPr>
                <w:rFonts w:cs="Calibri"/>
                <w:color w:val="000000"/>
                <w:sz w:val="18"/>
                <w:szCs w:val="18"/>
              </w:rPr>
            </w:pPr>
            <w:r w:rsidRPr="00847FAE">
              <w:rPr>
                <w:rFonts w:cs="Calibri"/>
                <w:color w:val="000000"/>
                <w:sz w:val="18"/>
                <w:szCs w:val="18"/>
              </w:rPr>
              <w:t>26.7</w:t>
            </w:r>
          </w:p>
        </w:tc>
        <w:tc>
          <w:tcPr>
            <w:tcW w:w="945" w:type="dxa"/>
            <w:noWrap/>
            <w:vAlign w:val="center"/>
          </w:tcPr>
          <w:p w14:paraId="1597A833" w14:textId="77777777" w:rsidR="00FD6F91" w:rsidRPr="00847FAE" w:rsidRDefault="00FD6F91" w:rsidP="00FD6F91">
            <w:pPr>
              <w:jc w:val="center"/>
              <w:rPr>
                <w:rFonts w:cs="Calibri"/>
                <w:color w:val="000000"/>
                <w:sz w:val="18"/>
                <w:szCs w:val="18"/>
              </w:rPr>
            </w:pPr>
            <w:r w:rsidRPr="00847FAE">
              <w:rPr>
                <w:rFonts w:cs="Calibri"/>
                <w:color w:val="000000"/>
                <w:sz w:val="18"/>
                <w:szCs w:val="18"/>
              </w:rPr>
              <w:t>31.9</w:t>
            </w:r>
          </w:p>
        </w:tc>
        <w:tc>
          <w:tcPr>
            <w:tcW w:w="1134" w:type="dxa"/>
            <w:noWrap/>
            <w:vAlign w:val="center"/>
          </w:tcPr>
          <w:p w14:paraId="761C66E5" w14:textId="77777777" w:rsidR="00FD6F91" w:rsidRPr="00847FAE" w:rsidRDefault="00FD6F91" w:rsidP="00FD6F91">
            <w:pPr>
              <w:jc w:val="center"/>
              <w:rPr>
                <w:rFonts w:cs="Calibri"/>
                <w:color w:val="000000"/>
                <w:sz w:val="18"/>
                <w:szCs w:val="18"/>
              </w:rPr>
            </w:pPr>
            <w:r w:rsidRPr="00847FAE">
              <w:rPr>
                <w:rFonts w:cs="Calibri"/>
                <w:color w:val="000000"/>
                <w:sz w:val="18"/>
                <w:szCs w:val="18"/>
              </w:rPr>
              <w:t>5.2 pp</w:t>
            </w:r>
          </w:p>
        </w:tc>
      </w:tr>
      <w:tr w:rsidR="00FD6F91" w:rsidRPr="00847FAE" w14:paraId="05E1A2D4" w14:textId="77777777" w:rsidTr="001F1F60">
        <w:trPr>
          <w:cantSplit/>
          <w:trHeight w:val="255"/>
        </w:trPr>
        <w:tc>
          <w:tcPr>
            <w:tcW w:w="3261" w:type="dxa"/>
            <w:gridSpan w:val="4"/>
            <w:tcBorders>
              <w:bottom w:val="single" w:sz="4" w:space="0" w:color="auto"/>
            </w:tcBorders>
            <w:noWrap/>
            <w:vAlign w:val="center"/>
          </w:tcPr>
          <w:p w14:paraId="4C09B8C0"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44" w:type="dxa"/>
            <w:tcBorders>
              <w:bottom w:val="single" w:sz="4" w:space="0" w:color="auto"/>
            </w:tcBorders>
            <w:noWrap/>
            <w:vAlign w:val="center"/>
          </w:tcPr>
          <w:p w14:paraId="2C017604" w14:textId="77777777" w:rsidR="00FD6F91" w:rsidRPr="00847FAE" w:rsidRDefault="00FD6F91" w:rsidP="00FD6F91">
            <w:pPr>
              <w:jc w:val="center"/>
              <w:rPr>
                <w:rFonts w:cs="Calibri"/>
                <w:color w:val="000000"/>
                <w:sz w:val="18"/>
                <w:szCs w:val="18"/>
              </w:rPr>
            </w:pPr>
            <w:r w:rsidRPr="00847FAE">
              <w:rPr>
                <w:rFonts w:cs="Calibri"/>
                <w:color w:val="000000"/>
                <w:sz w:val="18"/>
                <w:szCs w:val="18"/>
              </w:rPr>
              <w:t>11.1</w:t>
            </w:r>
          </w:p>
        </w:tc>
        <w:tc>
          <w:tcPr>
            <w:tcW w:w="945" w:type="dxa"/>
            <w:tcBorders>
              <w:bottom w:val="single" w:sz="4" w:space="0" w:color="auto"/>
            </w:tcBorders>
            <w:noWrap/>
            <w:vAlign w:val="center"/>
          </w:tcPr>
          <w:p w14:paraId="4F19503E" w14:textId="77777777" w:rsidR="00FD6F91" w:rsidRPr="00847FAE" w:rsidRDefault="00FD6F91" w:rsidP="00FD6F91">
            <w:pPr>
              <w:jc w:val="center"/>
              <w:rPr>
                <w:rFonts w:cs="Calibri"/>
                <w:color w:val="000000"/>
                <w:sz w:val="18"/>
                <w:szCs w:val="18"/>
              </w:rPr>
            </w:pPr>
            <w:r w:rsidRPr="00847FAE">
              <w:rPr>
                <w:rFonts w:cs="Calibri"/>
                <w:color w:val="000000"/>
                <w:sz w:val="18"/>
                <w:szCs w:val="18"/>
              </w:rPr>
              <w:t>12.7</w:t>
            </w:r>
          </w:p>
        </w:tc>
        <w:tc>
          <w:tcPr>
            <w:tcW w:w="944" w:type="dxa"/>
            <w:tcBorders>
              <w:bottom w:val="single" w:sz="4" w:space="0" w:color="auto"/>
            </w:tcBorders>
            <w:noWrap/>
            <w:vAlign w:val="center"/>
          </w:tcPr>
          <w:p w14:paraId="19283DBB" w14:textId="77777777" w:rsidR="00FD6F91" w:rsidRPr="00847FAE" w:rsidRDefault="00FD6F91" w:rsidP="00FD6F91">
            <w:pPr>
              <w:jc w:val="center"/>
              <w:rPr>
                <w:rFonts w:cs="Calibri"/>
                <w:color w:val="000000"/>
                <w:sz w:val="18"/>
                <w:szCs w:val="18"/>
              </w:rPr>
            </w:pPr>
            <w:r w:rsidRPr="00847FAE">
              <w:rPr>
                <w:rFonts w:cs="Calibri"/>
                <w:color w:val="000000"/>
                <w:sz w:val="18"/>
                <w:szCs w:val="18"/>
              </w:rPr>
              <w:t>12.3</w:t>
            </w:r>
          </w:p>
        </w:tc>
        <w:tc>
          <w:tcPr>
            <w:tcW w:w="945" w:type="dxa"/>
            <w:tcBorders>
              <w:bottom w:val="single" w:sz="4" w:space="0" w:color="auto"/>
            </w:tcBorders>
            <w:noWrap/>
            <w:vAlign w:val="center"/>
          </w:tcPr>
          <w:p w14:paraId="37D4F54B" w14:textId="77777777" w:rsidR="00FD6F91" w:rsidRPr="00847FAE" w:rsidRDefault="00FD6F91" w:rsidP="00FD6F91">
            <w:pPr>
              <w:jc w:val="center"/>
              <w:rPr>
                <w:rFonts w:cs="Calibri"/>
                <w:color w:val="000000"/>
                <w:sz w:val="18"/>
                <w:szCs w:val="18"/>
              </w:rPr>
            </w:pPr>
            <w:r w:rsidRPr="00847FAE">
              <w:rPr>
                <w:rFonts w:cs="Calibri"/>
                <w:color w:val="000000"/>
                <w:sz w:val="18"/>
                <w:szCs w:val="18"/>
              </w:rPr>
              <w:t>8.5</w:t>
            </w:r>
          </w:p>
        </w:tc>
        <w:tc>
          <w:tcPr>
            <w:tcW w:w="945" w:type="dxa"/>
            <w:tcBorders>
              <w:bottom w:val="single" w:sz="4" w:space="0" w:color="auto"/>
            </w:tcBorders>
            <w:noWrap/>
            <w:vAlign w:val="center"/>
          </w:tcPr>
          <w:p w14:paraId="7FD30739" w14:textId="77777777" w:rsidR="00FD6F91" w:rsidRPr="00847FAE" w:rsidRDefault="00FD6F91" w:rsidP="00FD6F91">
            <w:pPr>
              <w:jc w:val="center"/>
              <w:rPr>
                <w:rFonts w:cs="Calibri"/>
                <w:color w:val="000000"/>
                <w:sz w:val="18"/>
                <w:szCs w:val="18"/>
              </w:rPr>
            </w:pPr>
            <w:r w:rsidRPr="00847FAE">
              <w:rPr>
                <w:rFonts w:cs="Calibri"/>
                <w:color w:val="000000"/>
                <w:sz w:val="18"/>
                <w:szCs w:val="18"/>
              </w:rPr>
              <w:t>9.7</w:t>
            </w:r>
          </w:p>
        </w:tc>
        <w:tc>
          <w:tcPr>
            <w:tcW w:w="1134" w:type="dxa"/>
            <w:tcBorders>
              <w:bottom w:val="single" w:sz="4" w:space="0" w:color="auto"/>
            </w:tcBorders>
            <w:noWrap/>
            <w:vAlign w:val="center"/>
          </w:tcPr>
          <w:p w14:paraId="5DC912C3" w14:textId="77777777" w:rsidR="00FD6F91" w:rsidRPr="00847FAE" w:rsidRDefault="00FD6F91" w:rsidP="00FD6F91">
            <w:pPr>
              <w:jc w:val="center"/>
              <w:rPr>
                <w:rFonts w:cs="Calibri"/>
                <w:color w:val="000000"/>
                <w:sz w:val="18"/>
                <w:szCs w:val="18"/>
              </w:rPr>
            </w:pPr>
            <w:r w:rsidRPr="00847FAE">
              <w:rPr>
                <w:rFonts w:cs="Calibri"/>
                <w:color w:val="000000"/>
                <w:sz w:val="18"/>
                <w:szCs w:val="18"/>
              </w:rPr>
              <w:t>1.2 pp</w:t>
            </w:r>
          </w:p>
        </w:tc>
      </w:tr>
      <w:tr w:rsidR="00FD6F91" w:rsidRPr="00847FAE" w14:paraId="0FD43703" w14:textId="77777777" w:rsidTr="001F1F60">
        <w:trPr>
          <w:cantSplit/>
          <w:trHeight w:val="255"/>
        </w:trPr>
        <w:tc>
          <w:tcPr>
            <w:tcW w:w="9118" w:type="dxa"/>
            <w:gridSpan w:val="10"/>
            <w:tcBorders>
              <w:top w:val="single" w:sz="4" w:space="0" w:color="auto"/>
            </w:tcBorders>
            <w:noWrap/>
            <w:vAlign w:val="center"/>
          </w:tcPr>
          <w:p w14:paraId="3C304647" w14:textId="77777777" w:rsidR="00FD6F91" w:rsidRPr="00847FAE" w:rsidRDefault="00FD6F91" w:rsidP="00FD6F91">
            <w:pPr>
              <w:shd w:val="clear" w:color="auto" w:fill="FFFFFF" w:themeFill="background1"/>
              <w:rPr>
                <w:sz w:val="15"/>
                <w:szCs w:val="15"/>
              </w:rPr>
            </w:pPr>
            <w:r w:rsidRPr="00847FAE">
              <w:rPr>
                <w:b/>
                <w:sz w:val="15"/>
                <w:szCs w:val="15"/>
              </w:rPr>
              <w:t xml:space="preserve">pp </w:t>
            </w:r>
            <w:r w:rsidRPr="00847FAE">
              <w:rPr>
                <w:sz w:val="15"/>
                <w:szCs w:val="15"/>
              </w:rPr>
              <w:t>refers to percentage points</w:t>
            </w:r>
          </w:p>
          <w:p w14:paraId="2304F287" w14:textId="77777777" w:rsidR="00FD6F91" w:rsidRPr="00847FAE" w:rsidRDefault="00FD6F91" w:rsidP="00FD6F91">
            <w:pPr>
              <w:shd w:val="clear" w:color="auto" w:fill="FFFFFF" w:themeFill="background1"/>
              <w:rPr>
                <w:rFonts w:cs="Calibri"/>
                <w:color w:val="000000"/>
                <w:sz w:val="15"/>
                <w:szCs w:val="15"/>
              </w:rPr>
            </w:pPr>
            <w:r w:rsidRPr="00847FAE">
              <w:rPr>
                <w:rFonts w:cs="Calibri"/>
                <w:color w:val="000000"/>
                <w:sz w:val="15"/>
                <w:szCs w:val="15"/>
                <w:vertAlign w:val="superscript"/>
              </w:rPr>
              <w:t xml:space="preserve">1 </w:t>
            </w:r>
            <w:r w:rsidRPr="00847FAE">
              <w:rPr>
                <w:rFonts w:cs="Calibri"/>
                <w:color w:val="000000"/>
                <w:sz w:val="15"/>
                <w:szCs w:val="15"/>
              </w:rPr>
              <w:t>In accordance with the Report on Government Services (RoGS) statistics manual, the counting unit adopted for criminal complaints is a defendant per case based unit. This figure includes family violence and intervention order criminal activity (such as the breach of a family violence or intervention order) and not the civil activity (the application of an order) which is set out separately under ‘civil’ in Table 15.</w:t>
            </w:r>
          </w:p>
          <w:p w14:paraId="0FD8EBA1" w14:textId="77777777" w:rsidR="00FD6F91" w:rsidRPr="00847FAE" w:rsidRDefault="00FD6F91" w:rsidP="00FD6F91">
            <w:pPr>
              <w:shd w:val="clear" w:color="auto" w:fill="FFFFFF" w:themeFill="background1"/>
              <w:rPr>
                <w:rFonts w:cs="Calibri"/>
                <w:color w:val="000000"/>
                <w:sz w:val="15"/>
                <w:szCs w:val="15"/>
              </w:rPr>
            </w:pPr>
            <w:r w:rsidRPr="00847FAE">
              <w:rPr>
                <w:rFonts w:cs="Calibri"/>
                <w:i/>
                <w:color w:val="000000"/>
                <w:sz w:val="15"/>
                <w:szCs w:val="15"/>
              </w:rPr>
              <w:t>Source: CRIMESStats database</w:t>
            </w:r>
          </w:p>
        </w:tc>
      </w:tr>
    </w:tbl>
    <w:p w14:paraId="5B4F386B" w14:textId="77777777" w:rsidR="00FD6F91" w:rsidRPr="00847FAE" w:rsidRDefault="00FD6F91" w:rsidP="00FD6F91">
      <w:pPr>
        <w:rPr>
          <w:rFonts w:eastAsiaTheme="minorHAnsi"/>
          <w:lang w:eastAsia="en-US"/>
        </w:rPr>
      </w:pPr>
    </w:p>
    <w:p w14:paraId="093441E8" w14:textId="1E3E2CDB" w:rsidR="00FD6F91" w:rsidRPr="00847FAE" w:rsidRDefault="00A64135" w:rsidP="00FD6F91">
      <w:pPr>
        <w:keepNext/>
        <w:keepLines/>
        <w:spacing w:before="40"/>
        <w:outlineLvl w:val="2"/>
        <w:rPr>
          <w:rFonts w:eastAsiaTheme="majorEastAsia" w:cstheme="majorBidi"/>
          <w:vertAlign w:val="superscript"/>
          <w:lang w:eastAsia="en-US"/>
        </w:rPr>
      </w:pPr>
      <w:bookmarkStart w:id="397" w:name="_Toc1041201"/>
      <w:r w:rsidRPr="00847FAE">
        <w:rPr>
          <w:rFonts w:eastAsiaTheme="majorEastAsia" w:cstheme="majorBidi"/>
          <w:lang w:eastAsia="en-US"/>
        </w:rPr>
        <w:lastRenderedPageBreak/>
        <w:t xml:space="preserve">Table </w:t>
      </w:r>
      <w:r w:rsidR="000D3B2B">
        <w:rPr>
          <w:rFonts w:eastAsiaTheme="majorEastAsia" w:cstheme="majorBidi"/>
          <w:lang w:eastAsia="en-US"/>
        </w:rPr>
        <w:t>1</w:t>
      </w:r>
      <w:r w:rsidR="0037416A">
        <w:rPr>
          <w:rFonts w:eastAsiaTheme="majorEastAsia" w:cstheme="majorBidi"/>
          <w:lang w:eastAsia="en-US"/>
        </w:rPr>
        <w:t>8</w:t>
      </w:r>
      <w:r w:rsidR="00FD6F91" w:rsidRPr="00847FAE">
        <w:rPr>
          <w:rFonts w:eastAsiaTheme="majorEastAsia" w:cstheme="majorBidi"/>
          <w:lang w:eastAsia="en-US"/>
        </w:rPr>
        <w:t>: Civil Disposals by Court Level, 2013-14 to 2017-18</w:t>
      </w:r>
      <w:r w:rsidR="00FD6F91" w:rsidRPr="00847FAE">
        <w:rPr>
          <w:rFonts w:eastAsiaTheme="majorEastAsia" w:cstheme="majorBidi"/>
          <w:b/>
          <w:sz w:val="20"/>
          <w:vertAlign w:val="superscript"/>
          <w:lang w:eastAsia="en-US"/>
        </w:rPr>
        <w:t>1,2</w:t>
      </w:r>
      <w:bookmarkEnd w:id="397"/>
    </w:p>
    <w:tbl>
      <w:tblPr>
        <w:tblStyle w:val="TableGrid1"/>
        <w:tblW w:w="9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18CivilDisposalsbyCourtLevel2013_14to2017_18"/>
        <w:tblDescription w:val="TabledescribingCivilDisposalsbyCourtLevel2013_14to2017_18"/>
      </w:tblPr>
      <w:tblGrid>
        <w:gridCol w:w="460"/>
        <w:gridCol w:w="856"/>
        <w:gridCol w:w="1378"/>
        <w:gridCol w:w="567"/>
        <w:gridCol w:w="944"/>
        <w:gridCol w:w="945"/>
        <w:gridCol w:w="944"/>
        <w:gridCol w:w="945"/>
        <w:gridCol w:w="945"/>
        <w:gridCol w:w="1134"/>
      </w:tblGrid>
      <w:tr w:rsidR="00FD6F91" w:rsidRPr="00847FAE" w14:paraId="09F2DE85" w14:textId="77777777" w:rsidTr="004E3DB0">
        <w:trPr>
          <w:cantSplit/>
          <w:trHeight w:val="20"/>
          <w:tblHeader/>
        </w:trPr>
        <w:tc>
          <w:tcPr>
            <w:tcW w:w="460" w:type="dxa"/>
            <w:tcBorders>
              <w:top w:val="single" w:sz="4" w:space="0" w:color="auto"/>
              <w:bottom w:val="single" w:sz="4" w:space="0" w:color="auto"/>
            </w:tcBorders>
            <w:noWrap/>
            <w:hideMark/>
          </w:tcPr>
          <w:p w14:paraId="34D11D60"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856" w:type="dxa"/>
            <w:tcBorders>
              <w:top w:val="single" w:sz="4" w:space="0" w:color="auto"/>
              <w:bottom w:val="single" w:sz="4" w:space="0" w:color="auto"/>
            </w:tcBorders>
            <w:noWrap/>
            <w:hideMark/>
          </w:tcPr>
          <w:p w14:paraId="5560B946"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378" w:type="dxa"/>
            <w:tcBorders>
              <w:top w:val="single" w:sz="4" w:space="0" w:color="auto"/>
              <w:bottom w:val="single" w:sz="4" w:space="0" w:color="auto"/>
            </w:tcBorders>
            <w:noWrap/>
            <w:hideMark/>
          </w:tcPr>
          <w:p w14:paraId="7AB0A49E"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567" w:type="dxa"/>
            <w:tcBorders>
              <w:top w:val="single" w:sz="4" w:space="0" w:color="auto"/>
              <w:bottom w:val="single" w:sz="4" w:space="0" w:color="auto"/>
            </w:tcBorders>
            <w:noWrap/>
            <w:hideMark/>
          </w:tcPr>
          <w:p w14:paraId="65A83AB5"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4" w:type="dxa"/>
            <w:tcBorders>
              <w:top w:val="single" w:sz="4" w:space="0" w:color="auto"/>
              <w:bottom w:val="single" w:sz="4" w:space="0" w:color="auto"/>
            </w:tcBorders>
            <w:noWrap/>
            <w:vAlign w:val="bottom"/>
            <w:hideMark/>
          </w:tcPr>
          <w:p w14:paraId="01E10E98"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2013-14</w:t>
            </w:r>
          </w:p>
        </w:tc>
        <w:tc>
          <w:tcPr>
            <w:tcW w:w="945" w:type="dxa"/>
            <w:tcBorders>
              <w:top w:val="single" w:sz="4" w:space="0" w:color="auto"/>
              <w:bottom w:val="single" w:sz="4" w:space="0" w:color="auto"/>
            </w:tcBorders>
            <w:noWrap/>
            <w:vAlign w:val="bottom"/>
            <w:hideMark/>
          </w:tcPr>
          <w:p w14:paraId="31F992B8"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2014-15</w:t>
            </w:r>
          </w:p>
        </w:tc>
        <w:tc>
          <w:tcPr>
            <w:tcW w:w="944" w:type="dxa"/>
            <w:tcBorders>
              <w:top w:val="single" w:sz="4" w:space="0" w:color="auto"/>
              <w:bottom w:val="single" w:sz="4" w:space="0" w:color="auto"/>
            </w:tcBorders>
            <w:noWrap/>
            <w:vAlign w:val="bottom"/>
            <w:hideMark/>
          </w:tcPr>
          <w:p w14:paraId="4E7E6AD9"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2015-16</w:t>
            </w:r>
          </w:p>
        </w:tc>
        <w:tc>
          <w:tcPr>
            <w:tcW w:w="945" w:type="dxa"/>
            <w:tcBorders>
              <w:top w:val="single" w:sz="4" w:space="0" w:color="auto"/>
              <w:bottom w:val="single" w:sz="4" w:space="0" w:color="auto"/>
            </w:tcBorders>
            <w:noWrap/>
            <w:vAlign w:val="bottom"/>
            <w:hideMark/>
          </w:tcPr>
          <w:p w14:paraId="62D5D4AE"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2016-17</w:t>
            </w:r>
          </w:p>
        </w:tc>
        <w:tc>
          <w:tcPr>
            <w:tcW w:w="945" w:type="dxa"/>
            <w:tcBorders>
              <w:top w:val="single" w:sz="4" w:space="0" w:color="auto"/>
              <w:bottom w:val="single" w:sz="4" w:space="0" w:color="auto"/>
            </w:tcBorders>
            <w:noWrap/>
            <w:vAlign w:val="bottom"/>
            <w:hideMark/>
          </w:tcPr>
          <w:p w14:paraId="404D0CD9"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bottom w:val="single" w:sz="4" w:space="0" w:color="auto"/>
            </w:tcBorders>
            <w:vAlign w:val="bottom"/>
            <w:hideMark/>
          </w:tcPr>
          <w:p w14:paraId="66F2C16A"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12E279E2" w14:textId="77777777" w:rsidTr="001F1F60">
        <w:trPr>
          <w:cantSplit/>
          <w:trHeight w:val="255"/>
        </w:trPr>
        <w:tc>
          <w:tcPr>
            <w:tcW w:w="2694" w:type="dxa"/>
            <w:gridSpan w:val="3"/>
            <w:tcBorders>
              <w:top w:val="single" w:sz="4" w:space="0" w:color="auto"/>
              <w:bottom w:val="single" w:sz="4" w:space="0" w:color="auto"/>
            </w:tcBorders>
            <w:noWrap/>
            <w:vAlign w:val="center"/>
            <w:hideMark/>
          </w:tcPr>
          <w:p w14:paraId="454F5415" w14:textId="77777777" w:rsidR="00FD6F91" w:rsidRPr="00847FAE" w:rsidRDefault="00FD6F91" w:rsidP="00FD6F91">
            <w:pPr>
              <w:keepNext/>
              <w:rPr>
                <w:rFonts w:cs="Calibri"/>
                <w:color w:val="000000"/>
                <w:sz w:val="18"/>
                <w:szCs w:val="18"/>
              </w:rPr>
            </w:pPr>
            <w:r w:rsidRPr="00847FAE">
              <w:rPr>
                <w:rFonts w:cs="Calibri"/>
                <w:color w:val="000000"/>
                <w:sz w:val="18"/>
                <w:szCs w:val="18"/>
              </w:rPr>
              <w:t>MAGISTRATES COURT</w:t>
            </w:r>
          </w:p>
        </w:tc>
        <w:tc>
          <w:tcPr>
            <w:tcW w:w="567" w:type="dxa"/>
            <w:tcBorders>
              <w:top w:val="single" w:sz="4" w:space="0" w:color="auto"/>
              <w:bottom w:val="single" w:sz="4" w:space="0" w:color="auto"/>
            </w:tcBorders>
            <w:noWrap/>
            <w:vAlign w:val="center"/>
            <w:hideMark/>
          </w:tcPr>
          <w:p w14:paraId="0F597336"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4" w:type="dxa"/>
            <w:tcBorders>
              <w:top w:val="single" w:sz="4" w:space="0" w:color="auto"/>
              <w:bottom w:val="single" w:sz="4" w:space="0" w:color="auto"/>
            </w:tcBorders>
            <w:noWrap/>
            <w:vAlign w:val="center"/>
            <w:hideMark/>
          </w:tcPr>
          <w:p w14:paraId="75A5A054"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hideMark/>
          </w:tcPr>
          <w:p w14:paraId="6E049BD1"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4" w:type="dxa"/>
            <w:tcBorders>
              <w:top w:val="single" w:sz="4" w:space="0" w:color="auto"/>
              <w:bottom w:val="single" w:sz="4" w:space="0" w:color="auto"/>
            </w:tcBorders>
            <w:noWrap/>
            <w:vAlign w:val="center"/>
            <w:hideMark/>
          </w:tcPr>
          <w:p w14:paraId="41DA90F2"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hideMark/>
          </w:tcPr>
          <w:p w14:paraId="78F75CAB"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45" w:type="dxa"/>
            <w:tcBorders>
              <w:top w:val="single" w:sz="4" w:space="0" w:color="auto"/>
              <w:bottom w:val="single" w:sz="4" w:space="0" w:color="auto"/>
            </w:tcBorders>
            <w:noWrap/>
            <w:vAlign w:val="center"/>
            <w:hideMark/>
          </w:tcPr>
          <w:p w14:paraId="44AAF445"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134" w:type="dxa"/>
            <w:tcBorders>
              <w:top w:val="single" w:sz="4" w:space="0" w:color="auto"/>
              <w:bottom w:val="single" w:sz="4" w:space="0" w:color="auto"/>
            </w:tcBorders>
            <w:noWrap/>
            <w:vAlign w:val="center"/>
            <w:hideMark/>
          </w:tcPr>
          <w:p w14:paraId="6D69E77C"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r>
      <w:tr w:rsidR="00FD6F91" w:rsidRPr="00847FAE" w14:paraId="403A79B5" w14:textId="77777777" w:rsidTr="001F1F60">
        <w:trPr>
          <w:cantSplit/>
          <w:trHeight w:val="255"/>
        </w:trPr>
        <w:tc>
          <w:tcPr>
            <w:tcW w:w="3261" w:type="dxa"/>
            <w:gridSpan w:val="4"/>
            <w:tcBorders>
              <w:top w:val="single" w:sz="4" w:space="0" w:color="auto"/>
            </w:tcBorders>
            <w:shd w:val="clear" w:color="auto" w:fill="D9D9D9" w:themeFill="background1" w:themeFillShade="D9"/>
            <w:noWrap/>
            <w:vAlign w:val="bottom"/>
          </w:tcPr>
          <w:p w14:paraId="156A9411"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Total finalised cases</w:t>
            </w:r>
          </w:p>
        </w:tc>
        <w:tc>
          <w:tcPr>
            <w:tcW w:w="944" w:type="dxa"/>
            <w:tcBorders>
              <w:top w:val="single" w:sz="4" w:space="0" w:color="auto"/>
            </w:tcBorders>
            <w:shd w:val="clear" w:color="auto" w:fill="D9D9D9" w:themeFill="background1" w:themeFillShade="D9"/>
            <w:noWrap/>
            <w:vAlign w:val="center"/>
          </w:tcPr>
          <w:p w14:paraId="34BF1629"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top w:val="single" w:sz="4" w:space="0" w:color="auto"/>
            </w:tcBorders>
            <w:shd w:val="clear" w:color="auto" w:fill="D9D9D9" w:themeFill="background1" w:themeFillShade="D9"/>
            <w:noWrap/>
            <w:vAlign w:val="center"/>
          </w:tcPr>
          <w:p w14:paraId="21C1EF66"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tcBorders>
              <w:top w:val="single" w:sz="4" w:space="0" w:color="auto"/>
            </w:tcBorders>
            <w:shd w:val="clear" w:color="auto" w:fill="D9D9D9" w:themeFill="background1" w:themeFillShade="D9"/>
            <w:noWrap/>
            <w:vAlign w:val="center"/>
          </w:tcPr>
          <w:p w14:paraId="2809E0FE"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top w:val="single" w:sz="4" w:space="0" w:color="auto"/>
            </w:tcBorders>
            <w:shd w:val="clear" w:color="auto" w:fill="D9D9D9" w:themeFill="background1" w:themeFillShade="D9"/>
            <w:noWrap/>
            <w:vAlign w:val="center"/>
            <w:hideMark/>
          </w:tcPr>
          <w:p w14:paraId="1E0927F3" w14:textId="77777777" w:rsidR="00FD6F91" w:rsidRPr="00847FAE" w:rsidRDefault="00FD6F91" w:rsidP="00FD6F91">
            <w:pPr>
              <w:jc w:val="center"/>
              <w:rPr>
                <w:rFonts w:cs="Calibri"/>
                <w:color w:val="000000"/>
                <w:sz w:val="18"/>
                <w:szCs w:val="18"/>
              </w:rPr>
            </w:pPr>
            <w:r w:rsidRPr="00847FAE">
              <w:rPr>
                <w:rFonts w:cs="Calibri"/>
                <w:color w:val="000000"/>
                <w:sz w:val="18"/>
                <w:szCs w:val="18"/>
              </w:rPr>
              <w:t>6,143</w:t>
            </w:r>
          </w:p>
        </w:tc>
        <w:tc>
          <w:tcPr>
            <w:tcW w:w="945" w:type="dxa"/>
            <w:tcBorders>
              <w:top w:val="single" w:sz="4" w:space="0" w:color="auto"/>
            </w:tcBorders>
            <w:shd w:val="clear" w:color="auto" w:fill="D9D9D9" w:themeFill="background1" w:themeFillShade="D9"/>
            <w:noWrap/>
            <w:vAlign w:val="center"/>
            <w:hideMark/>
          </w:tcPr>
          <w:p w14:paraId="604E472E" w14:textId="77777777" w:rsidR="00FD6F91" w:rsidRPr="00847FAE" w:rsidRDefault="00FD6F91" w:rsidP="00FD6F91">
            <w:pPr>
              <w:jc w:val="center"/>
              <w:rPr>
                <w:rFonts w:cs="Calibri"/>
                <w:color w:val="000000"/>
                <w:sz w:val="18"/>
                <w:szCs w:val="18"/>
              </w:rPr>
            </w:pPr>
            <w:r w:rsidRPr="00847FAE">
              <w:rPr>
                <w:rFonts w:cs="Calibri"/>
                <w:color w:val="000000"/>
                <w:sz w:val="18"/>
                <w:szCs w:val="18"/>
              </w:rPr>
              <w:t>5,760</w:t>
            </w:r>
          </w:p>
        </w:tc>
        <w:tc>
          <w:tcPr>
            <w:tcW w:w="1134" w:type="dxa"/>
            <w:tcBorders>
              <w:top w:val="single" w:sz="4" w:space="0" w:color="auto"/>
            </w:tcBorders>
            <w:shd w:val="clear" w:color="auto" w:fill="D9D9D9" w:themeFill="background1" w:themeFillShade="D9"/>
            <w:noWrap/>
            <w:vAlign w:val="center"/>
            <w:hideMark/>
          </w:tcPr>
          <w:p w14:paraId="360D8880" w14:textId="77777777" w:rsidR="00FD6F91" w:rsidRPr="00847FAE" w:rsidRDefault="00FD6F91" w:rsidP="00FD6F91">
            <w:pPr>
              <w:jc w:val="center"/>
              <w:rPr>
                <w:rFonts w:cs="Calibri"/>
                <w:color w:val="000000"/>
                <w:sz w:val="18"/>
                <w:szCs w:val="18"/>
              </w:rPr>
            </w:pPr>
            <w:r w:rsidRPr="00847FAE">
              <w:rPr>
                <w:rFonts w:cs="Calibri"/>
                <w:color w:val="000000"/>
                <w:sz w:val="18"/>
                <w:szCs w:val="18"/>
              </w:rPr>
              <w:t>-6.2%</w:t>
            </w:r>
          </w:p>
        </w:tc>
      </w:tr>
      <w:tr w:rsidR="00FD6F91" w:rsidRPr="00847FAE" w14:paraId="1E3007DF" w14:textId="77777777" w:rsidTr="001F1F60">
        <w:trPr>
          <w:cantSplit/>
          <w:trHeight w:val="255"/>
        </w:trPr>
        <w:tc>
          <w:tcPr>
            <w:tcW w:w="3261" w:type="dxa"/>
            <w:gridSpan w:val="4"/>
            <w:noWrap/>
            <w:vAlign w:val="bottom"/>
            <w:hideMark/>
          </w:tcPr>
          <w:p w14:paraId="1E5BDB1D"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Cases finalised in 6 to 12 months</w:t>
            </w:r>
          </w:p>
        </w:tc>
        <w:tc>
          <w:tcPr>
            <w:tcW w:w="944" w:type="dxa"/>
            <w:noWrap/>
            <w:vAlign w:val="center"/>
          </w:tcPr>
          <w:p w14:paraId="44F1B084"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070D8EA6"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2E262FDA"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0A0684DB" w14:textId="77777777" w:rsidR="00FD6F91" w:rsidRPr="00847FAE" w:rsidRDefault="00FD6F91" w:rsidP="00FD6F91">
            <w:pPr>
              <w:jc w:val="center"/>
              <w:rPr>
                <w:rFonts w:cs="Calibri"/>
                <w:color w:val="000000"/>
                <w:sz w:val="18"/>
                <w:szCs w:val="18"/>
              </w:rPr>
            </w:pPr>
            <w:r w:rsidRPr="00847FAE">
              <w:rPr>
                <w:rFonts w:cs="Calibri"/>
                <w:color w:val="000000"/>
                <w:sz w:val="18"/>
                <w:szCs w:val="18"/>
              </w:rPr>
              <w:t>2,071</w:t>
            </w:r>
          </w:p>
        </w:tc>
        <w:tc>
          <w:tcPr>
            <w:tcW w:w="945" w:type="dxa"/>
            <w:noWrap/>
            <w:vAlign w:val="center"/>
          </w:tcPr>
          <w:p w14:paraId="3723840D" w14:textId="77777777" w:rsidR="00FD6F91" w:rsidRPr="00847FAE" w:rsidRDefault="00FD6F91" w:rsidP="00FD6F91">
            <w:pPr>
              <w:jc w:val="center"/>
              <w:rPr>
                <w:rFonts w:cs="Calibri"/>
                <w:color w:val="000000"/>
                <w:sz w:val="18"/>
                <w:szCs w:val="18"/>
              </w:rPr>
            </w:pPr>
            <w:r w:rsidRPr="00847FAE">
              <w:rPr>
                <w:rFonts w:cs="Calibri"/>
                <w:color w:val="000000"/>
                <w:sz w:val="18"/>
                <w:szCs w:val="18"/>
              </w:rPr>
              <w:t>1,960</w:t>
            </w:r>
          </w:p>
        </w:tc>
        <w:tc>
          <w:tcPr>
            <w:tcW w:w="1134" w:type="dxa"/>
            <w:noWrap/>
            <w:vAlign w:val="center"/>
          </w:tcPr>
          <w:p w14:paraId="688DACEE" w14:textId="77777777" w:rsidR="00FD6F91" w:rsidRPr="00847FAE" w:rsidRDefault="00FD6F91" w:rsidP="00FD6F91">
            <w:pPr>
              <w:jc w:val="center"/>
              <w:rPr>
                <w:rFonts w:cs="Calibri"/>
                <w:color w:val="000000"/>
                <w:sz w:val="18"/>
                <w:szCs w:val="18"/>
              </w:rPr>
            </w:pPr>
            <w:r w:rsidRPr="00847FAE">
              <w:rPr>
                <w:rFonts w:cs="Calibri"/>
                <w:color w:val="000000"/>
                <w:sz w:val="18"/>
                <w:szCs w:val="18"/>
              </w:rPr>
              <w:t>-5.4%</w:t>
            </w:r>
          </w:p>
        </w:tc>
      </w:tr>
      <w:tr w:rsidR="00FD6F91" w:rsidRPr="00847FAE" w14:paraId="74E7966E" w14:textId="77777777" w:rsidTr="001F1F60">
        <w:trPr>
          <w:cantSplit/>
          <w:trHeight w:val="255"/>
        </w:trPr>
        <w:tc>
          <w:tcPr>
            <w:tcW w:w="3261" w:type="dxa"/>
            <w:gridSpan w:val="4"/>
            <w:noWrap/>
            <w:vAlign w:val="bottom"/>
          </w:tcPr>
          <w:p w14:paraId="33AAAE95" w14:textId="77777777" w:rsidR="00FD6F91" w:rsidRPr="00847FAE" w:rsidRDefault="00FD6F91" w:rsidP="00FD6F91">
            <w:pPr>
              <w:keepNext/>
              <w:rPr>
                <w:rFonts w:cs="Calibri"/>
                <w:bCs/>
                <w:color w:val="000000"/>
                <w:sz w:val="18"/>
                <w:szCs w:val="18"/>
              </w:rPr>
            </w:pPr>
            <w:r w:rsidRPr="00847FAE">
              <w:rPr>
                <w:rFonts w:cs="Calibri"/>
                <w:color w:val="000000"/>
                <w:sz w:val="18"/>
                <w:szCs w:val="18"/>
              </w:rPr>
              <w:t xml:space="preserve">  Cases finalised after 12 months </w:t>
            </w:r>
          </w:p>
        </w:tc>
        <w:tc>
          <w:tcPr>
            <w:tcW w:w="944" w:type="dxa"/>
            <w:noWrap/>
            <w:vAlign w:val="center"/>
          </w:tcPr>
          <w:p w14:paraId="35F8694A"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15EC0996"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1B3880D5"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61B32DD7" w14:textId="77777777" w:rsidR="00FD6F91" w:rsidRPr="00847FAE" w:rsidRDefault="00FD6F91" w:rsidP="00FD6F91">
            <w:pPr>
              <w:jc w:val="center"/>
              <w:rPr>
                <w:rFonts w:cs="Calibri"/>
                <w:color w:val="000000"/>
                <w:sz w:val="18"/>
                <w:szCs w:val="18"/>
              </w:rPr>
            </w:pPr>
            <w:r w:rsidRPr="00847FAE">
              <w:rPr>
                <w:rFonts w:cs="Calibri"/>
                <w:color w:val="000000"/>
                <w:sz w:val="18"/>
                <w:szCs w:val="18"/>
              </w:rPr>
              <w:t>798</w:t>
            </w:r>
          </w:p>
        </w:tc>
        <w:tc>
          <w:tcPr>
            <w:tcW w:w="945" w:type="dxa"/>
            <w:noWrap/>
            <w:vAlign w:val="center"/>
          </w:tcPr>
          <w:p w14:paraId="31F26F5E" w14:textId="77777777" w:rsidR="00FD6F91" w:rsidRPr="00847FAE" w:rsidRDefault="00FD6F91" w:rsidP="00FD6F91">
            <w:pPr>
              <w:jc w:val="center"/>
              <w:rPr>
                <w:rFonts w:cs="Calibri"/>
                <w:color w:val="000000"/>
                <w:sz w:val="18"/>
                <w:szCs w:val="18"/>
              </w:rPr>
            </w:pPr>
            <w:r w:rsidRPr="00847FAE">
              <w:rPr>
                <w:rFonts w:cs="Calibri"/>
                <w:color w:val="000000"/>
                <w:sz w:val="18"/>
                <w:szCs w:val="18"/>
              </w:rPr>
              <w:t>752</w:t>
            </w:r>
          </w:p>
        </w:tc>
        <w:tc>
          <w:tcPr>
            <w:tcW w:w="1134" w:type="dxa"/>
            <w:noWrap/>
            <w:vAlign w:val="center"/>
          </w:tcPr>
          <w:p w14:paraId="3CA72FF5" w14:textId="77777777" w:rsidR="00FD6F91" w:rsidRPr="00847FAE" w:rsidRDefault="00FD6F91" w:rsidP="00FD6F91">
            <w:pPr>
              <w:jc w:val="center"/>
              <w:rPr>
                <w:rFonts w:cs="Calibri"/>
                <w:color w:val="000000"/>
                <w:sz w:val="18"/>
                <w:szCs w:val="18"/>
              </w:rPr>
            </w:pPr>
            <w:r w:rsidRPr="00847FAE">
              <w:rPr>
                <w:rFonts w:cs="Calibri"/>
                <w:color w:val="000000"/>
                <w:sz w:val="18"/>
                <w:szCs w:val="18"/>
              </w:rPr>
              <w:t>-5.8%</w:t>
            </w:r>
          </w:p>
        </w:tc>
      </w:tr>
      <w:tr w:rsidR="00FD6F91" w:rsidRPr="00847FAE" w14:paraId="48828C2A" w14:textId="77777777" w:rsidTr="001F1F60">
        <w:trPr>
          <w:cantSplit/>
          <w:trHeight w:val="255"/>
        </w:trPr>
        <w:tc>
          <w:tcPr>
            <w:tcW w:w="3261" w:type="dxa"/>
            <w:gridSpan w:val="4"/>
            <w:shd w:val="clear" w:color="auto" w:fill="D9D9D9" w:themeFill="background1" w:themeFillShade="D9"/>
            <w:noWrap/>
            <w:vAlign w:val="bottom"/>
          </w:tcPr>
          <w:p w14:paraId="7382DE49"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Disposal Indicator</w:t>
            </w:r>
          </w:p>
        </w:tc>
        <w:tc>
          <w:tcPr>
            <w:tcW w:w="944" w:type="dxa"/>
            <w:shd w:val="clear" w:color="auto" w:fill="D9D9D9" w:themeFill="background1" w:themeFillShade="D9"/>
            <w:noWrap/>
            <w:vAlign w:val="center"/>
          </w:tcPr>
          <w:p w14:paraId="7E969F1C"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7362FA77"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4" w:type="dxa"/>
            <w:shd w:val="clear" w:color="auto" w:fill="D9D9D9" w:themeFill="background1" w:themeFillShade="D9"/>
            <w:noWrap/>
            <w:vAlign w:val="center"/>
          </w:tcPr>
          <w:p w14:paraId="372FACD4"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3B0615C3"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737D9E06"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1134" w:type="dxa"/>
            <w:shd w:val="clear" w:color="auto" w:fill="D9D9D9" w:themeFill="background1" w:themeFillShade="D9"/>
            <w:noWrap/>
            <w:vAlign w:val="center"/>
          </w:tcPr>
          <w:p w14:paraId="35243142"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r>
      <w:tr w:rsidR="00FD6F91" w:rsidRPr="00847FAE" w14:paraId="75759239" w14:textId="77777777" w:rsidTr="001F1F60">
        <w:trPr>
          <w:cantSplit/>
          <w:trHeight w:val="255"/>
        </w:trPr>
        <w:tc>
          <w:tcPr>
            <w:tcW w:w="3261" w:type="dxa"/>
            <w:gridSpan w:val="4"/>
            <w:noWrap/>
            <w:vAlign w:val="center"/>
          </w:tcPr>
          <w:p w14:paraId="53480345"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44" w:type="dxa"/>
            <w:noWrap/>
            <w:vAlign w:val="center"/>
          </w:tcPr>
          <w:p w14:paraId="0CB24A02"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2ECDDD55"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2AB0DEF8"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5E66A8CF" w14:textId="77777777" w:rsidR="00FD6F91" w:rsidRPr="00847FAE" w:rsidRDefault="00FD6F91" w:rsidP="00FD6F91">
            <w:pPr>
              <w:jc w:val="center"/>
              <w:rPr>
                <w:rFonts w:cs="Calibri"/>
                <w:color w:val="000000"/>
                <w:sz w:val="18"/>
                <w:szCs w:val="18"/>
              </w:rPr>
            </w:pPr>
            <w:r w:rsidRPr="00847FAE">
              <w:rPr>
                <w:rFonts w:cs="Calibri"/>
                <w:color w:val="000000"/>
                <w:sz w:val="18"/>
                <w:szCs w:val="18"/>
              </w:rPr>
              <w:t>46.7</w:t>
            </w:r>
          </w:p>
        </w:tc>
        <w:tc>
          <w:tcPr>
            <w:tcW w:w="945" w:type="dxa"/>
            <w:noWrap/>
            <w:vAlign w:val="center"/>
          </w:tcPr>
          <w:p w14:paraId="2366E970" w14:textId="77777777" w:rsidR="00FD6F91" w:rsidRPr="00847FAE" w:rsidRDefault="00FD6F91" w:rsidP="00FD6F91">
            <w:pPr>
              <w:jc w:val="center"/>
              <w:rPr>
                <w:rFonts w:cs="Calibri"/>
                <w:color w:val="000000"/>
                <w:sz w:val="18"/>
                <w:szCs w:val="18"/>
              </w:rPr>
            </w:pPr>
            <w:r w:rsidRPr="00847FAE">
              <w:rPr>
                <w:rFonts w:cs="Calibri"/>
                <w:color w:val="000000"/>
                <w:sz w:val="18"/>
                <w:szCs w:val="18"/>
              </w:rPr>
              <w:t>47.1</w:t>
            </w:r>
          </w:p>
        </w:tc>
        <w:tc>
          <w:tcPr>
            <w:tcW w:w="1134" w:type="dxa"/>
            <w:noWrap/>
            <w:vAlign w:val="center"/>
          </w:tcPr>
          <w:p w14:paraId="3E16382B" w14:textId="77777777" w:rsidR="00FD6F91" w:rsidRPr="00847FAE" w:rsidRDefault="00FD6F91" w:rsidP="00FD6F91">
            <w:pPr>
              <w:jc w:val="center"/>
              <w:rPr>
                <w:rFonts w:cs="Calibri"/>
                <w:color w:val="000000"/>
                <w:sz w:val="18"/>
                <w:szCs w:val="18"/>
              </w:rPr>
            </w:pPr>
            <w:r w:rsidRPr="00847FAE">
              <w:rPr>
                <w:rFonts w:cs="Calibri"/>
                <w:color w:val="000000"/>
                <w:sz w:val="18"/>
                <w:szCs w:val="18"/>
              </w:rPr>
              <w:t>0.4 pp</w:t>
            </w:r>
          </w:p>
        </w:tc>
      </w:tr>
      <w:tr w:rsidR="00FD6F91" w:rsidRPr="00847FAE" w14:paraId="4981AC22" w14:textId="77777777" w:rsidTr="001F1F60">
        <w:trPr>
          <w:cantSplit/>
          <w:trHeight w:val="255"/>
        </w:trPr>
        <w:tc>
          <w:tcPr>
            <w:tcW w:w="3261" w:type="dxa"/>
            <w:gridSpan w:val="4"/>
            <w:tcBorders>
              <w:bottom w:val="single" w:sz="4" w:space="0" w:color="auto"/>
            </w:tcBorders>
            <w:noWrap/>
            <w:vAlign w:val="center"/>
          </w:tcPr>
          <w:p w14:paraId="3A779549"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44" w:type="dxa"/>
            <w:tcBorders>
              <w:bottom w:val="single" w:sz="4" w:space="0" w:color="auto"/>
            </w:tcBorders>
            <w:noWrap/>
            <w:vAlign w:val="center"/>
          </w:tcPr>
          <w:p w14:paraId="18A6DFAC"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bottom w:val="single" w:sz="4" w:space="0" w:color="auto"/>
            </w:tcBorders>
            <w:noWrap/>
            <w:vAlign w:val="center"/>
          </w:tcPr>
          <w:p w14:paraId="54DF8E45"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tcBorders>
              <w:bottom w:val="single" w:sz="4" w:space="0" w:color="auto"/>
            </w:tcBorders>
            <w:noWrap/>
            <w:vAlign w:val="center"/>
          </w:tcPr>
          <w:p w14:paraId="1F61BD2B"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bottom w:val="single" w:sz="4" w:space="0" w:color="auto"/>
            </w:tcBorders>
            <w:noWrap/>
            <w:vAlign w:val="center"/>
          </w:tcPr>
          <w:p w14:paraId="03A2D4C5" w14:textId="77777777" w:rsidR="00FD6F91" w:rsidRPr="00847FAE" w:rsidRDefault="00FD6F91" w:rsidP="00FD6F91">
            <w:pPr>
              <w:jc w:val="center"/>
              <w:rPr>
                <w:rFonts w:cs="Calibri"/>
                <w:color w:val="000000"/>
                <w:sz w:val="18"/>
                <w:szCs w:val="18"/>
              </w:rPr>
            </w:pPr>
            <w:r w:rsidRPr="00847FAE">
              <w:rPr>
                <w:rFonts w:cs="Calibri"/>
                <w:color w:val="000000"/>
                <w:sz w:val="18"/>
                <w:szCs w:val="18"/>
              </w:rPr>
              <w:t>13</w:t>
            </w:r>
          </w:p>
        </w:tc>
        <w:tc>
          <w:tcPr>
            <w:tcW w:w="945" w:type="dxa"/>
            <w:tcBorders>
              <w:bottom w:val="single" w:sz="4" w:space="0" w:color="auto"/>
            </w:tcBorders>
            <w:noWrap/>
            <w:vAlign w:val="center"/>
          </w:tcPr>
          <w:p w14:paraId="18C93B3F" w14:textId="77777777" w:rsidR="00FD6F91" w:rsidRPr="00847FAE" w:rsidRDefault="00FD6F91" w:rsidP="00FD6F91">
            <w:pPr>
              <w:jc w:val="center"/>
              <w:rPr>
                <w:rFonts w:cs="Calibri"/>
                <w:color w:val="000000"/>
                <w:sz w:val="18"/>
                <w:szCs w:val="18"/>
              </w:rPr>
            </w:pPr>
            <w:r w:rsidRPr="00847FAE">
              <w:rPr>
                <w:rFonts w:cs="Calibri"/>
                <w:color w:val="000000"/>
                <w:sz w:val="18"/>
                <w:szCs w:val="18"/>
              </w:rPr>
              <w:t>13.1</w:t>
            </w:r>
          </w:p>
        </w:tc>
        <w:tc>
          <w:tcPr>
            <w:tcW w:w="1134" w:type="dxa"/>
            <w:tcBorders>
              <w:bottom w:val="single" w:sz="4" w:space="0" w:color="auto"/>
            </w:tcBorders>
            <w:noWrap/>
            <w:vAlign w:val="center"/>
          </w:tcPr>
          <w:p w14:paraId="7AF2A3C5" w14:textId="77777777" w:rsidR="00FD6F91" w:rsidRPr="00847FAE" w:rsidRDefault="00FD6F91" w:rsidP="00FD6F91">
            <w:pPr>
              <w:jc w:val="center"/>
              <w:rPr>
                <w:rFonts w:cs="Calibri"/>
                <w:color w:val="000000"/>
                <w:sz w:val="18"/>
                <w:szCs w:val="18"/>
              </w:rPr>
            </w:pPr>
            <w:r w:rsidRPr="00847FAE">
              <w:rPr>
                <w:rFonts w:cs="Calibri"/>
                <w:color w:val="000000"/>
                <w:sz w:val="18"/>
                <w:szCs w:val="18"/>
              </w:rPr>
              <w:t>0.1 pp</w:t>
            </w:r>
          </w:p>
        </w:tc>
      </w:tr>
      <w:tr w:rsidR="00FD6F91" w:rsidRPr="00847FAE" w14:paraId="45E61A20" w14:textId="77777777" w:rsidTr="001F1F60">
        <w:trPr>
          <w:cantSplit/>
          <w:trHeight w:val="255"/>
        </w:trPr>
        <w:tc>
          <w:tcPr>
            <w:tcW w:w="3261" w:type="dxa"/>
            <w:gridSpan w:val="4"/>
            <w:tcBorders>
              <w:top w:val="single" w:sz="4" w:space="0" w:color="auto"/>
              <w:bottom w:val="single" w:sz="4" w:space="0" w:color="auto"/>
            </w:tcBorders>
            <w:noWrap/>
            <w:vAlign w:val="center"/>
            <w:hideMark/>
          </w:tcPr>
          <w:p w14:paraId="0EB58007" w14:textId="03D1A9E0" w:rsidR="00FD6F91" w:rsidRPr="00847FAE" w:rsidRDefault="00FD6F91" w:rsidP="00FD6F91">
            <w:pPr>
              <w:keepNext/>
              <w:rPr>
                <w:rFonts w:cs="Calibri"/>
                <w:color w:val="000000"/>
                <w:sz w:val="18"/>
                <w:szCs w:val="18"/>
              </w:rPr>
            </w:pPr>
            <w:r w:rsidRPr="00847FAE">
              <w:rPr>
                <w:rFonts w:cs="Calibri"/>
                <w:color w:val="000000"/>
                <w:sz w:val="18"/>
                <w:szCs w:val="18"/>
              </w:rPr>
              <w:t>CHI</w:t>
            </w:r>
            <w:r w:rsidR="00A2195A">
              <w:rPr>
                <w:rFonts w:cs="Calibri"/>
                <w:color w:val="000000"/>
                <w:sz w:val="18"/>
                <w:szCs w:val="18"/>
              </w:rPr>
              <w:t>LDREN’S</w:t>
            </w:r>
            <w:r w:rsidRPr="00847FAE">
              <w:rPr>
                <w:rFonts w:cs="Calibri"/>
                <w:color w:val="000000"/>
                <w:sz w:val="18"/>
                <w:szCs w:val="18"/>
              </w:rPr>
              <w:t xml:space="preserve"> COURT</w:t>
            </w:r>
          </w:p>
        </w:tc>
        <w:tc>
          <w:tcPr>
            <w:tcW w:w="944" w:type="dxa"/>
            <w:tcBorders>
              <w:top w:val="single" w:sz="4" w:space="0" w:color="auto"/>
              <w:bottom w:val="single" w:sz="4" w:space="0" w:color="auto"/>
            </w:tcBorders>
            <w:noWrap/>
            <w:vAlign w:val="center"/>
          </w:tcPr>
          <w:p w14:paraId="63FD40B1" w14:textId="77777777" w:rsidR="00FD6F91" w:rsidRPr="00847FAE" w:rsidRDefault="00FD6F91" w:rsidP="00FD6F91">
            <w:pPr>
              <w:keepNext/>
              <w:jc w:val="right"/>
              <w:rPr>
                <w:rFonts w:cs="Calibri"/>
                <w:color w:val="000000"/>
                <w:sz w:val="18"/>
                <w:szCs w:val="18"/>
              </w:rPr>
            </w:pPr>
          </w:p>
        </w:tc>
        <w:tc>
          <w:tcPr>
            <w:tcW w:w="945" w:type="dxa"/>
            <w:tcBorders>
              <w:top w:val="single" w:sz="4" w:space="0" w:color="auto"/>
              <w:bottom w:val="single" w:sz="4" w:space="0" w:color="auto"/>
            </w:tcBorders>
            <w:noWrap/>
            <w:vAlign w:val="center"/>
          </w:tcPr>
          <w:p w14:paraId="05A7B054" w14:textId="77777777" w:rsidR="00FD6F91" w:rsidRPr="00847FAE" w:rsidRDefault="00FD6F91" w:rsidP="00FD6F91">
            <w:pPr>
              <w:keepNext/>
              <w:jc w:val="right"/>
              <w:rPr>
                <w:rFonts w:cs="Calibri"/>
                <w:color w:val="000000"/>
                <w:sz w:val="18"/>
                <w:szCs w:val="18"/>
              </w:rPr>
            </w:pPr>
          </w:p>
        </w:tc>
        <w:tc>
          <w:tcPr>
            <w:tcW w:w="944" w:type="dxa"/>
            <w:tcBorders>
              <w:top w:val="single" w:sz="4" w:space="0" w:color="auto"/>
              <w:bottom w:val="single" w:sz="4" w:space="0" w:color="auto"/>
            </w:tcBorders>
            <w:noWrap/>
            <w:vAlign w:val="center"/>
          </w:tcPr>
          <w:p w14:paraId="0D243AD2" w14:textId="77777777" w:rsidR="00FD6F91" w:rsidRPr="00847FAE" w:rsidRDefault="00FD6F91" w:rsidP="00FD6F91">
            <w:pPr>
              <w:keepNext/>
              <w:jc w:val="right"/>
              <w:rPr>
                <w:rFonts w:cs="Calibri"/>
                <w:color w:val="000000"/>
                <w:sz w:val="18"/>
                <w:szCs w:val="18"/>
              </w:rPr>
            </w:pPr>
          </w:p>
        </w:tc>
        <w:tc>
          <w:tcPr>
            <w:tcW w:w="945" w:type="dxa"/>
            <w:tcBorders>
              <w:top w:val="single" w:sz="4" w:space="0" w:color="auto"/>
              <w:bottom w:val="single" w:sz="4" w:space="0" w:color="auto"/>
            </w:tcBorders>
            <w:noWrap/>
            <w:vAlign w:val="center"/>
          </w:tcPr>
          <w:p w14:paraId="41F13586" w14:textId="77777777" w:rsidR="00FD6F91" w:rsidRPr="00847FAE" w:rsidRDefault="00FD6F91" w:rsidP="00FD6F91">
            <w:pPr>
              <w:keepNext/>
              <w:jc w:val="right"/>
              <w:rPr>
                <w:rFonts w:cs="Calibri"/>
                <w:color w:val="000000"/>
                <w:sz w:val="18"/>
                <w:szCs w:val="18"/>
              </w:rPr>
            </w:pPr>
          </w:p>
        </w:tc>
        <w:tc>
          <w:tcPr>
            <w:tcW w:w="945" w:type="dxa"/>
            <w:tcBorders>
              <w:top w:val="single" w:sz="4" w:space="0" w:color="auto"/>
              <w:bottom w:val="single" w:sz="4" w:space="0" w:color="auto"/>
            </w:tcBorders>
            <w:noWrap/>
            <w:vAlign w:val="center"/>
          </w:tcPr>
          <w:p w14:paraId="5D9F2819" w14:textId="77777777" w:rsidR="00FD6F91" w:rsidRPr="00847FAE" w:rsidRDefault="00FD6F91" w:rsidP="00FD6F91">
            <w:pPr>
              <w:keepNext/>
              <w:jc w:val="right"/>
              <w:rPr>
                <w:rFonts w:cs="Calibri"/>
                <w:color w:val="000000"/>
                <w:sz w:val="18"/>
                <w:szCs w:val="18"/>
              </w:rPr>
            </w:pPr>
          </w:p>
        </w:tc>
        <w:tc>
          <w:tcPr>
            <w:tcW w:w="1134" w:type="dxa"/>
            <w:tcBorders>
              <w:top w:val="single" w:sz="4" w:space="0" w:color="auto"/>
              <w:bottom w:val="single" w:sz="4" w:space="0" w:color="auto"/>
            </w:tcBorders>
            <w:noWrap/>
            <w:vAlign w:val="center"/>
          </w:tcPr>
          <w:p w14:paraId="3DD23FCB" w14:textId="77777777" w:rsidR="00FD6F91" w:rsidRPr="00847FAE" w:rsidRDefault="00FD6F91" w:rsidP="00FD6F91">
            <w:pPr>
              <w:keepNext/>
              <w:jc w:val="right"/>
              <w:rPr>
                <w:rFonts w:cs="Calibri"/>
                <w:iCs/>
                <w:color w:val="000000"/>
                <w:sz w:val="18"/>
                <w:szCs w:val="18"/>
              </w:rPr>
            </w:pPr>
          </w:p>
        </w:tc>
      </w:tr>
      <w:tr w:rsidR="00FD6F91" w:rsidRPr="00847FAE" w14:paraId="3C969837" w14:textId="77777777" w:rsidTr="001F1F60">
        <w:trPr>
          <w:cantSplit/>
          <w:trHeight w:val="255"/>
        </w:trPr>
        <w:tc>
          <w:tcPr>
            <w:tcW w:w="3261" w:type="dxa"/>
            <w:gridSpan w:val="4"/>
            <w:tcBorders>
              <w:top w:val="single" w:sz="4" w:space="0" w:color="auto"/>
            </w:tcBorders>
            <w:shd w:val="clear" w:color="auto" w:fill="D9D9D9" w:themeFill="background1" w:themeFillShade="D9"/>
            <w:noWrap/>
            <w:vAlign w:val="bottom"/>
            <w:hideMark/>
          </w:tcPr>
          <w:p w14:paraId="27850D20"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Total finalised cases</w:t>
            </w:r>
          </w:p>
        </w:tc>
        <w:tc>
          <w:tcPr>
            <w:tcW w:w="944" w:type="dxa"/>
            <w:tcBorders>
              <w:top w:val="single" w:sz="4" w:space="0" w:color="auto"/>
            </w:tcBorders>
            <w:shd w:val="clear" w:color="auto" w:fill="D9D9D9" w:themeFill="background1" w:themeFillShade="D9"/>
            <w:noWrap/>
            <w:vAlign w:val="center"/>
          </w:tcPr>
          <w:p w14:paraId="365553C0"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top w:val="single" w:sz="4" w:space="0" w:color="auto"/>
            </w:tcBorders>
            <w:shd w:val="clear" w:color="auto" w:fill="D9D9D9" w:themeFill="background1" w:themeFillShade="D9"/>
            <w:noWrap/>
            <w:vAlign w:val="center"/>
          </w:tcPr>
          <w:p w14:paraId="027ABF66"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tcBorders>
              <w:top w:val="single" w:sz="4" w:space="0" w:color="auto"/>
            </w:tcBorders>
            <w:shd w:val="clear" w:color="auto" w:fill="D9D9D9" w:themeFill="background1" w:themeFillShade="D9"/>
            <w:noWrap/>
            <w:vAlign w:val="center"/>
          </w:tcPr>
          <w:p w14:paraId="3A0D6CF1"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top w:val="single" w:sz="4" w:space="0" w:color="auto"/>
            </w:tcBorders>
            <w:shd w:val="clear" w:color="auto" w:fill="D9D9D9" w:themeFill="background1" w:themeFillShade="D9"/>
            <w:noWrap/>
            <w:vAlign w:val="center"/>
          </w:tcPr>
          <w:p w14:paraId="30193EEF" w14:textId="77777777" w:rsidR="00FD6F91" w:rsidRPr="00847FAE" w:rsidRDefault="00FD6F91" w:rsidP="00FD6F91">
            <w:pPr>
              <w:jc w:val="center"/>
              <w:rPr>
                <w:rFonts w:cs="Calibri"/>
                <w:color w:val="000000"/>
                <w:sz w:val="18"/>
                <w:szCs w:val="18"/>
              </w:rPr>
            </w:pPr>
            <w:r w:rsidRPr="00847FAE">
              <w:rPr>
                <w:rFonts w:cs="Calibri"/>
                <w:color w:val="000000"/>
                <w:sz w:val="18"/>
                <w:szCs w:val="18"/>
              </w:rPr>
              <w:t>327</w:t>
            </w:r>
          </w:p>
        </w:tc>
        <w:tc>
          <w:tcPr>
            <w:tcW w:w="945" w:type="dxa"/>
            <w:tcBorders>
              <w:top w:val="single" w:sz="4" w:space="0" w:color="auto"/>
            </w:tcBorders>
            <w:shd w:val="clear" w:color="auto" w:fill="D9D9D9" w:themeFill="background1" w:themeFillShade="D9"/>
            <w:noWrap/>
            <w:vAlign w:val="center"/>
          </w:tcPr>
          <w:p w14:paraId="53901816" w14:textId="77777777" w:rsidR="00FD6F91" w:rsidRPr="00847FAE" w:rsidRDefault="00FD6F91" w:rsidP="00FD6F91">
            <w:pPr>
              <w:jc w:val="center"/>
              <w:rPr>
                <w:rFonts w:cs="Calibri"/>
                <w:color w:val="000000"/>
                <w:sz w:val="18"/>
                <w:szCs w:val="18"/>
              </w:rPr>
            </w:pPr>
            <w:r w:rsidRPr="00847FAE">
              <w:rPr>
                <w:rFonts w:cs="Calibri"/>
                <w:color w:val="000000"/>
                <w:sz w:val="18"/>
                <w:szCs w:val="18"/>
              </w:rPr>
              <w:t>406</w:t>
            </w:r>
          </w:p>
        </w:tc>
        <w:tc>
          <w:tcPr>
            <w:tcW w:w="1134" w:type="dxa"/>
            <w:tcBorders>
              <w:top w:val="single" w:sz="4" w:space="0" w:color="auto"/>
            </w:tcBorders>
            <w:shd w:val="clear" w:color="auto" w:fill="D9D9D9" w:themeFill="background1" w:themeFillShade="D9"/>
            <w:noWrap/>
            <w:vAlign w:val="center"/>
          </w:tcPr>
          <w:p w14:paraId="59F8E5D9" w14:textId="77777777" w:rsidR="00FD6F91" w:rsidRPr="00847FAE" w:rsidRDefault="00FD6F91" w:rsidP="00FD6F91">
            <w:pPr>
              <w:jc w:val="center"/>
              <w:rPr>
                <w:rFonts w:cs="Calibri"/>
                <w:color w:val="000000"/>
                <w:sz w:val="18"/>
                <w:szCs w:val="18"/>
              </w:rPr>
            </w:pPr>
            <w:r w:rsidRPr="00847FAE">
              <w:rPr>
                <w:rFonts w:cs="Calibri"/>
                <w:color w:val="000000"/>
                <w:sz w:val="18"/>
                <w:szCs w:val="18"/>
              </w:rPr>
              <w:t>24.2%</w:t>
            </w:r>
          </w:p>
        </w:tc>
      </w:tr>
      <w:tr w:rsidR="00FD6F91" w:rsidRPr="00847FAE" w14:paraId="7A84D787" w14:textId="77777777" w:rsidTr="001F1F60">
        <w:trPr>
          <w:cantSplit/>
          <w:trHeight w:val="255"/>
        </w:trPr>
        <w:tc>
          <w:tcPr>
            <w:tcW w:w="3261" w:type="dxa"/>
            <w:gridSpan w:val="4"/>
            <w:noWrap/>
            <w:vAlign w:val="bottom"/>
            <w:hideMark/>
          </w:tcPr>
          <w:p w14:paraId="785A3C69"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Cases finalised in 6 to 12</w:t>
            </w:r>
            <w:r w:rsidRPr="00847FAE">
              <w:rPr>
                <w:rFonts w:cs="Calibri"/>
                <w:color w:val="FFFFFF" w:themeColor="background1"/>
                <w:sz w:val="18"/>
                <w:szCs w:val="18"/>
              </w:rPr>
              <w:t xml:space="preserve"> </w:t>
            </w:r>
            <w:r w:rsidRPr="00847FAE">
              <w:rPr>
                <w:rFonts w:cs="Calibri"/>
                <w:color w:val="000000"/>
                <w:sz w:val="18"/>
                <w:szCs w:val="18"/>
              </w:rPr>
              <w:t>months</w:t>
            </w:r>
          </w:p>
        </w:tc>
        <w:tc>
          <w:tcPr>
            <w:tcW w:w="944" w:type="dxa"/>
            <w:noWrap/>
            <w:vAlign w:val="center"/>
          </w:tcPr>
          <w:p w14:paraId="38CC7E75"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181C2127"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0A30960F"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04F97C78" w14:textId="77777777" w:rsidR="00FD6F91" w:rsidRPr="00847FAE" w:rsidRDefault="00FD6F91" w:rsidP="00FD6F91">
            <w:pPr>
              <w:jc w:val="center"/>
              <w:rPr>
                <w:rFonts w:cs="Calibri"/>
                <w:color w:val="000000"/>
                <w:sz w:val="18"/>
                <w:szCs w:val="18"/>
              </w:rPr>
            </w:pPr>
            <w:r w:rsidRPr="00847FAE">
              <w:rPr>
                <w:rFonts w:cs="Calibri"/>
                <w:color w:val="000000"/>
                <w:sz w:val="18"/>
                <w:szCs w:val="18"/>
              </w:rPr>
              <w:t>39</w:t>
            </w:r>
          </w:p>
        </w:tc>
        <w:tc>
          <w:tcPr>
            <w:tcW w:w="945" w:type="dxa"/>
            <w:noWrap/>
            <w:vAlign w:val="center"/>
          </w:tcPr>
          <w:p w14:paraId="7228B1DA" w14:textId="77777777" w:rsidR="00FD6F91" w:rsidRPr="00847FAE" w:rsidRDefault="00FD6F91" w:rsidP="00FD6F91">
            <w:pPr>
              <w:jc w:val="center"/>
              <w:rPr>
                <w:rFonts w:cs="Calibri"/>
                <w:color w:val="000000"/>
                <w:sz w:val="18"/>
                <w:szCs w:val="18"/>
              </w:rPr>
            </w:pPr>
            <w:r w:rsidRPr="00847FAE">
              <w:rPr>
                <w:rFonts w:cs="Calibri"/>
                <w:color w:val="000000"/>
                <w:sz w:val="18"/>
                <w:szCs w:val="18"/>
              </w:rPr>
              <w:t>34</w:t>
            </w:r>
          </w:p>
        </w:tc>
        <w:tc>
          <w:tcPr>
            <w:tcW w:w="1134" w:type="dxa"/>
            <w:noWrap/>
            <w:vAlign w:val="center"/>
          </w:tcPr>
          <w:p w14:paraId="1E3BE31F" w14:textId="77777777" w:rsidR="00FD6F91" w:rsidRPr="00847FAE" w:rsidRDefault="00FD6F91" w:rsidP="00FD6F91">
            <w:pPr>
              <w:jc w:val="center"/>
              <w:rPr>
                <w:rFonts w:cs="Calibri"/>
                <w:color w:val="000000"/>
                <w:sz w:val="18"/>
                <w:szCs w:val="18"/>
              </w:rPr>
            </w:pPr>
            <w:r w:rsidRPr="00847FAE">
              <w:rPr>
                <w:rFonts w:cs="Calibri"/>
                <w:color w:val="000000"/>
                <w:sz w:val="18"/>
                <w:szCs w:val="18"/>
              </w:rPr>
              <w:t>-12.8%</w:t>
            </w:r>
          </w:p>
        </w:tc>
      </w:tr>
      <w:tr w:rsidR="00FD6F91" w:rsidRPr="00847FAE" w14:paraId="02779D72" w14:textId="77777777" w:rsidTr="001F1F60">
        <w:trPr>
          <w:cantSplit/>
          <w:trHeight w:val="255"/>
        </w:trPr>
        <w:tc>
          <w:tcPr>
            <w:tcW w:w="3261" w:type="dxa"/>
            <w:gridSpan w:val="4"/>
            <w:noWrap/>
            <w:vAlign w:val="bottom"/>
            <w:hideMark/>
          </w:tcPr>
          <w:p w14:paraId="554D49E2"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Cases finalised after 12 months </w:t>
            </w:r>
          </w:p>
        </w:tc>
        <w:tc>
          <w:tcPr>
            <w:tcW w:w="944" w:type="dxa"/>
            <w:noWrap/>
            <w:vAlign w:val="center"/>
          </w:tcPr>
          <w:p w14:paraId="1118360D"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68DE471E"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325B4528"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7278E1A6" w14:textId="77777777" w:rsidR="00FD6F91" w:rsidRPr="00847FAE" w:rsidRDefault="00FD6F91" w:rsidP="00FD6F91">
            <w:pPr>
              <w:jc w:val="center"/>
              <w:rPr>
                <w:rFonts w:cs="Calibri"/>
                <w:color w:val="000000"/>
                <w:sz w:val="18"/>
                <w:szCs w:val="18"/>
              </w:rPr>
            </w:pPr>
            <w:r w:rsidRPr="00847FAE">
              <w:rPr>
                <w:rFonts w:cs="Calibri"/>
                <w:color w:val="000000"/>
                <w:sz w:val="18"/>
                <w:szCs w:val="18"/>
              </w:rPr>
              <w:t>11</w:t>
            </w:r>
          </w:p>
        </w:tc>
        <w:tc>
          <w:tcPr>
            <w:tcW w:w="945" w:type="dxa"/>
            <w:noWrap/>
            <w:vAlign w:val="center"/>
          </w:tcPr>
          <w:p w14:paraId="2275A082" w14:textId="77777777" w:rsidR="00FD6F91" w:rsidRPr="00847FAE" w:rsidRDefault="00FD6F91" w:rsidP="00FD6F91">
            <w:pPr>
              <w:jc w:val="center"/>
              <w:rPr>
                <w:rFonts w:cs="Calibri"/>
                <w:color w:val="000000"/>
                <w:sz w:val="18"/>
                <w:szCs w:val="18"/>
              </w:rPr>
            </w:pPr>
            <w:r w:rsidRPr="00847FAE">
              <w:rPr>
                <w:rFonts w:cs="Calibri"/>
                <w:color w:val="000000"/>
                <w:sz w:val="18"/>
                <w:szCs w:val="18"/>
              </w:rPr>
              <w:t>18</w:t>
            </w:r>
          </w:p>
        </w:tc>
        <w:tc>
          <w:tcPr>
            <w:tcW w:w="1134" w:type="dxa"/>
            <w:noWrap/>
            <w:vAlign w:val="center"/>
          </w:tcPr>
          <w:p w14:paraId="159B50CE" w14:textId="77777777" w:rsidR="00FD6F91" w:rsidRPr="00847FAE" w:rsidRDefault="00FD6F91" w:rsidP="00FD6F91">
            <w:pPr>
              <w:jc w:val="center"/>
              <w:rPr>
                <w:rFonts w:cs="Calibri"/>
                <w:color w:val="000000"/>
                <w:sz w:val="18"/>
                <w:szCs w:val="18"/>
              </w:rPr>
            </w:pPr>
            <w:r w:rsidRPr="00847FAE">
              <w:rPr>
                <w:rFonts w:cs="Calibri"/>
                <w:color w:val="000000"/>
                <w:sz w:val="18"/>
                <w:szCs w:val="18"/>
              </w:rPr>
              <w:t>63.6%</w:t>
            </w:r>
          </w:p>
        </w:tc>
      </w:tr>
      <w:tr w:rsidR="00FD6F91" w:rsidRPr="00847FAE" w14:paraId="2D174A8B" w14:textId="77777777" w:rsidTr="001F1F60">
        <w:trPr>
          <w:cantSplit/>
          <w:trHeight w:val="255"/>
        </w:trPr>
        <w:tc>
          <w:tcPr>
            <w:tcW w:w="3261" w:type="dxa"/>
            <w:gridSpan w:val="4"/>
            <w:shd w:val="clear" w:color="auto" w:fill="D9D9D9" w:themeFill="background1" w:themeFillShade="D9"/>
            <w:noWrap/>
            <w:vAlign w:val="bottom"/>
          </w:tcPr>
          <w:p w14:paraId="41DFD124"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Disposal Indicator</w:t>
            </w:r>
          </w:p>
        </w:tc>
        <w:tc>
          <w:tcPr>
            <w:tcW w:w="944" w:type="dxa"/>
            <w:shd w:val="clear" w:color="auto" w:fill="D9D9D9" w:themeFill="background1" w:themeFillShade="D9"/>
            <w:noWrap/>
            <w:vAlign w:val="center"/>
          </w:tcPr>
          <w:p w14:paraId="42672ACC"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0AE1A0FD"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4" w:type="dxa"/>
            <w:shd w:val="clear" w:color="auto" w:fill="D9D9D9" w:themeFill="background1" w:themeFillShade="D9"/>
            <w:noWrap/>
            <w:vAlign w:val="center"/>
          </w:tcPr>
          <w:p w14:paraId="0CE9CB53"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0029F896"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65324644"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1134" w:type="dxa"/>
            <w:shd w:val="clear" w:color="auto" w:fill="D9D9D9" w:themeFill="background1" w:themeFillShade="D9"/>
            <w:noWrap/>
            <w:vAlign w:val="center"/>
          </w:tcPr>
          <w:p w14:paraId="54BE8C40"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r>
      <w:tr w:rsidR="00FD6F91" w:rsidRPr="00847FAE" w14:paraId="14CC65AC" w14:textId="77777777" w:rsidTr="001F1F60">
        <w:trPr>
          <w:cantSplit/>
          <w:trHeight w:val="255"/>
        </w:trPr>
        <w:tc>
          <w:tcPr>
            <w:tcW w:w="3261" w:type="dxa"/>
            <w:gridSpan w:val="4"/>
            <w:noWrap/>
            <w:vAlign w:val="center"/>
          </w:tcPr>
          <w:p w14:paraId="7193816C"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44" w:type="dxa"/>
            <w:noWrap/>
            <w:vAlign w:val="center"/>
          </w:tcPr>
          <w:p w14:paraId="42D8FEA6"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19AE0E3C"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4564C4CD"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45DEBE5F" w14:textId="77777777" w:rsidR="00FD6F91" w:rsidRPr="00847FAE" w:rsidRDefault="00FD6F91" w:rsidP="00FD6F91">
            <w:pPr>
              <w:jc w:val="center"/>
              <w:rPr>
                <w:rFonts w:cs="Calibri"/>
                <w:color w:val="000000"/>
                <w:sz w:val="18"/>
                <w:szCs w:val="18"/>
              </w:rPr>
            </w:pPr>
            <w:r w:rsidRPr="00847FAE">
              <w:rPr>
                <w:rFonts w:cs="Calibri"/>
                <w:color w:val="000000"/>
                <w:sz w:val="18"/>
                <w:szCs w:val="18"/>
              </w:rPr>
              <w:t>15.3</w:t>
            </w:r>
          </w:p>
        </w:tc>
        <w:tc>
          <w:tcPr>
            <w:tcW w:w="945" w:type="dxa"/>
            <w:noWrap/>
            <w:vAlign w:val="center"/>
          </w:tcPr>
          <w:p w14:paraId="0D3A0A72" w14:textId="77777777" w:rsidR="00FD6F91" w:rsidRPr="00847FAE" w:rsidRDefault="00FD6F91" w:rsidP="00FD6F91">
            <w:pPr>
              <w:jc w:val="center"/>
              <w:rPr>
                <w:rFonts w:cs="Calibri"/>
                <w:color w:val="000000"/>
                <w:sz w:val="18"/>
                <w:szCs w:val="18"/>
              </w:rPr>
            </w:pPr>
            <w:r w:rsidRPr="00847FAE">
              <w:rPr>
                <w:rFonts w:cs="Calibri"/>
                <w:color w:val="000000"/>
                <w:sz w:val="18"/>
                <w:szCs w:val="18"/>
              </w:rPr>
              <w:t>12.8</w:t>
            </w:r>
          </w:p>
        </w:tc>
        <w:tc>
          <w:tcPr>
            <w:tcW w:w="1134" w:type="dxa"/>
            <w:noWrap/>
            <w:vAlign w:val="center"/>
          </w:tcPr>
          <w:p w14:paraId="06AF7948" w14:textId="77777777" w:rsidR="00FD6F91" w:rsidRPr="00847FAE" w:rsidRDefault="00FD6F91" w:rsidP="00FD6F91">
            <w:pPr>
              <w:jc w:val="center"/>
              <w:rPr>
                <w:rFonts w:cs="Calibri"/>
                <w:color w:val="000000"/>
                <w:sz w:val="18"/>
                <w:szCs w:val="18"/>
              </w:rPr>
            </w:pPr>
            <w:r w:rsidRPr="00847FAE">
              <w:rPr>
                <w:rFonts w:cs="Calibri"/>
                <w:color w:val="000000"/>
                <w:sz w:val="18"/>
                <w:szCs w:val="18"/>
              </w:rPr>
              <w:t>-2.5 pp</w:t>
            </w:r>
          </w:p>
        </w:tc>
      </w:tr>
      <w:tr w:rsidR="00FD6F91" w:rsidRPr="00847FAE" w14:paraId="7D83C834" w14:textId="77777777" w:rsidTr="001F1F60">
        <w:trPr>
          <w:cantSplit/>
          <w:trHeight w:val="255"/>
        </w:trPr>
        <w:tc>
          <w:tcPr>
            <w:tcW w:w="3261" w:type="dxa"/>
            <w:gridSpan w:val="4"/>
            <w:tcBorders>
              <w:bottom w:val="single" w:sz="4" w:space="0" w:color="auto"/>
            </w:tcBorders>
            <w:noWrap/>
            <w:vAlign w:val="center"/>
          </w:tcPr>
          <w:p w14:paraId="006538E7"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44" w:type="dxa"/>
            <w:tcBorders>
              <w:bottom w:val="single" w:sz="4" w:space="0" w:color="auto"/>
            </w:tcBorders>
            <w:noWrap/>
            <w:vAlign w:val="center"/>
          </w:tcPr>
          <w:p w14:paraId="464498FC"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bottom w:val="single" w:sz="4" w:space="0" w:color="auto"/>
            </w:tcBorders>
            <w:noWrap/>
            <w:vAlign w:val="center"/>
          </w:tcPr>
          <w:p w14:paraId="50ADD5B0"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tcBorders>
              <w:bottom w:val="single" w:sz="4" w:space="0" w:color="auto"/>
            </w:tcBorders>
            <w:noWrap/>
            <w:vAlign w:val="center"/>
          </w:tcPr>
          <w:p w14:paraId="37EB9682"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bottom w:val="single" w:sz="4" w:space="0" w:color="auto"/>
            </w:tcBorders>
            <w:noWrap/>
            <w:vAlign w:val="center"/>
          </w:tcPr>
          <w:p w14:paraId="63F9BD56" w14:textId="77777777" w:rsidR="00FD6F91" w:rsidRPr="00847FAE" w:rsidRDefault="00FD6F91" w:rsidP="00FD6F91">
            <w:pPr>
              <w:jc w:val="center"/>
              <w:rPr>
                <w:rFonts w:cs="Calibri"/>
                <w:color w:val="000000"/>
                <w:sz w:val="18"/>
                <w:szCs w:val="18"/>
              </w:rPr>
            </w:pPr>
            <w:r w:rsidRPr="00847FAE">
              <w:rPr>
                <w:rFonts w:cs="Calibri"/>
                <w:color w:val="000000"/>
                <w:sz w:val="18"/>
                <w:szCs w:val="18"/>
              </w:rPr>
              <w:t>3.4</w:t>
            </w:r>
          </w:p>
        </w:tc>
        <w:tc>
          <w:tcPr>
            <w:tcW w:w="945" w:type="dxa"/>
            <w:tcBorders>
              <w:bottom w:val="single" w:sz="4" w:space="0" w:color="auto"/>
            </w:tcBorders>
            <w:noWrap/>
            <w:vAlign w:val="center"/>
          </w:tcPr>
          <w:p w14:paraId="7EE16A59" w14:textId="77777777" w:rsidR="00FD6F91" w:rsidRPr="00847FAE" w:rsidRDefault="00FD6F91" w:rsidP="00FD6F91">
            <w:pPr>
              <w:jc w:val="center"/>
              <w:rPr>
                <w:rFonts w:cs="Calibri"/>
                <w:color w:val="000000"/>
                <w:sz w:val="18"/>
                <w:szCs w:val="18"/>
              </w:rPr>
            </w:pPr>
            <w:r w:rsidRPr="00847FAE">
              <w:rPr>
                <w:rFonts w:cs="Calibri"/>
                <w:color w:val="000000"/>
                <w:sz w:val="18"/>
                <w:szCs w:val="18"/>
              </w:rPr>
              <w:t>4.4</w:t>
            </w:r>
          </w:p>
        </w:tc>
        <w:tc>
          <w:tcPr>
            <w:tcW w:w="1134" w:type="dxa"/>
            <w:tcBorders>
              <w:bottom w:val="single" w:sz="4" w:space="0" w:color="auto"/>
            </w:tcBorders>
            <w:noWrap/>
            <w:vAlign w:val="center"/>
          </w:tcPr>
          <w:p w14:paraId="28B9DDEE" w14:textId="77777777" w:rsidR="00FD6F91" w:rsidRPr="00847FAE" w:rsidRDefault="00FD6F91" w:rsidP="00FD6F91">
            <w:pPr>
              <w:jc w:val="center"/>
              <w:rPr>
                <w:rFonts w:cs="Calibri"/>
                <w:color w:val="000000"/>
                <w:sz w:val="18"/>
                <w:szCs w:val="18"/>
              </w:rPr>
            </w:pPr>
            <w:r w:rsidRPr="00847FAE">
              <w:rPr>
                <w:rFonts w:cs="Calibri"/>
                <w:color w:val="000000"/>
                <w:sz w:val="18"/>
                <w:szCs w:val="18"/>
              </w:rPr>
              <w:t>1.0 pp</w:t>
            </w:r>
          </w:p>
        </w:tc>
      </w:tr>
      <w:tr w:rsidR="00FD6F91" w:rsidRPr="00847FAE" w14:paraId="43694FE8" w14:textId="77777777" w:rsidTr="001F1F60">
        <w:trPr>
          <w:cantSplit/>
          <w:trHeight w:val="255"/>
        </w:trPr>
        <w:tc>
          <w:tcPr>
            <w:tcW w:w="3261" w:type="dxa"/>
            <w:gridSpan w:val="4"/>
            <w:tcBorders>
              <w:top w:val="single" w:sz="4" w:space="0" w:color="auto"/>
              <w:bottom w:val="single" w:sz="4" w:space="0" w:color="auto"/>
            </w:tcBorders>
            <w:noWrap/>
            <w:vAlign w:val="center"/>
          </w:tcPr>
          <w:p w14:paraId="43A45D70"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CORONERS COURT</w:t>
            </w:r>
          </w:p>
        </w:tc>
        <w:tc>
          <w:tcPr>
            <w:tcW w:w="944" w:type="dxa"/>
            <w:tcBorders>
              <w:top w:val="single" w:sz="4" w:space="0" w:color="auto"/>
              <w:bottom w:val="single" w:sz="4" w:space="0" w:color="auto"/>
            </w:tcBorders>
            <w:noWrap/>
            <w:vAlign w:val="center"/>
          </w:tcPr>
          <w:p w14:paraId="13A176EB" w14:textId="77777777" w:rsidR="00FD6F91" w:rsidRPr="00847FAE" w:rsidRDefault="00FD6F91" w:rsidP="00FD6F91">
            <w:pPr>
              <w:keepNext/>
              <w:jc w:val="right"/>
              <w:rPr>
                <w:rFonts w:cs="Calibri"/>
                <w:i/>
                <w:iCs/>
                <w:color w:val="000000"/>
                <w:sz w:val="18"/>
                <w:szCs w:val="18"/>
              </w:rPr>
            </w:pPr>
          </w:p>
        </w:tc>
        <w:tc>
          <w:tcPr>
            <w:tcW w:w="945" w:type="dxa"/>
            <w:tcBorders>
              <w:top w:val="single" w:sz="4" w:space="0" w:color="auto"/>
              <w:bottom w:val="single" w:sz="4" w:space="0" w:color="auto"/>
            </w:tcBorders>
            <w:noWrap/>
            <w:vAlign w:val="center"/>
          </w:tcPr>
          <w:p w14:paraId="345BD80F" w14:textId="77777777" w:rsidR="00FD6F91" w:rsidRPr="00847FAE" w:rsidRDefault="00FD6F91" w:rsidP="00FD6F91">
            <w:pPr>
              <w:keepNext/>
              <w:jc w:val="right"/>
              <w:rPr>
                <w:rFonts w:cs="Calibri"/>
                <w:i/>
                <w:iCs/>
                <w:color w:val="000000"/>
                <w:sz w:val="18"/>
                <w:szCs w:val="18"/>
              </w:rPr>
            </w:pPr>
          </w:p>
        </w:tc>
        <w:tc>
          <w:tcPr>
            <w:tcW w:w="944" w:type="dxa"/>
            <w:tcBorders>
              <w:top w:val="single" w:sz="4" w:space="0" w:color="auto"/>
              <w:bottom w:val="single" w:sz="4" w:space="0" w:color="auto"/>
            </w:tcBorders>
            <w:noWrap/>
            <w:vAlign w:val="center"/>
          </w:tcPr>
          <w:p w14:paraId="427C8440" w14:textId="77777777" w:rsidR="00FD6F91" w:rsidRPr="00847FAE" w:rsidRDefault="00FD6F91" w:rsidP="00FD6F91">
            <w:pPr>
              <w:keepNext/>
              <w:jc w:val="right"/>
              <w:rPr>
                <w:rFonts w:cs="Calibri"/>
                <w:i/>
                <w:iCs/>
                <w:color w:val="000000"/>
                <w:sz w:val="18"/>
                <w:szCs w:val="18"/>
              </w:rPr>
            </w:pPr>
          </w:p>
        </w:tc>
        <w:tc>
          <w:tcPr>
            <w:tcW w:w="945" w:type="dxa"/>
            <w:tcBorders>
              <w:top w:val="single" w:sz="4" w:space="0" w:color="auto"/>
              <w:bottom w:val="single" w:sz="4" w:space="0" w:color="auto"/>
            </w:tcBorders>
            <w:noWrap/>
            <w:vAlign w:val="bottom"/>
          </w:tcPr>
          <w:p w14:paraId="3DEA6C0F" w14:textId="77777777" w:rsidR="00FD6F91" w:rsidRPr="00847FAE" w:rsidRDefault="00FD6F91" w:rsidP="00FD6F91">
            <w:pPr>
              <w:keepNext/>
              <w:jc w:val="right"/>
              <w:rPr>
                <w:rFonts w:cs="Calibri"/>
                <w:iCs/>
                <w:color w:val="000000"/>
                <w:sz w:val="18"/>
                <w:szCs w:val="18"/>
              </w:rPr>
            </w:pPr>
          </w:p>
        </w:tc>
        <w:tc>
          <w:tcPr>
            <w:tcW w:w="945" w:type="dxa"/>
            <w:tcBorders>
              <w:top w:val="single" w:sz="4" w:space="0" w:color="auto"/>
              <w:bottom w:val="single" w:sz="4" w:space="0" w:color="auto"/>
            </w:tcBorders>
            <w:noWrap/>
            <w:vAlign w:val="bottom"/>
          </w:tcPr>
          <w:p w14:paraId="65404900" w14:textId="77777777" w:rsidR="00FD6F91" w:rsidRPr="00847FAE" w:rsidRDefault="00FD6F91" w:rsidP="00FD6F91">
            <w:pPr>
              <w:keepNext/>
              <w:jc w:val="right"/>
              <w:rPr>
                <w:rFonts w:cs="Calibri"/>
                <w:iCs/>
                <w:color w:val="000000"/>
                <w:sz w:val="18"/>
                <w:szCs w:val="18"/>
              </w:rPr>
            </w:pPr>
          </w:p>
        </w:tc>
        <w:tc>
          <w:tcPr>
            <w:tcW w:w="1134" w:type="dxa"/>
            <w:tcBorders>
              <w:top w:val="single" w:sz="4" w:space="0" w:color="auto"/>
              <w:bottom w:val="single" w:sz="4" w:space="0" w:color="auto"/>
            </w:tcBorders>
            <w:noWrap/>
            <w:vAlign w:val="bottom"/>
          </w:tcPr>
          <w:p w14:paraId="6E3D5EC3" w14:textId="77777777" w:rsidR="00FD6F91" w:rsidRPr="00847FAE" w:rsidRDefault="00FD6F91" w:rsidP="00FD6F91">
            <w:pPr>
              <w:keepNext/>
              <w:jc w:val="center"/>
              <w:rPr>
                <w:rFonts w:cs="Calibri"/>
                <w:iCs/>
                <w:color w:val="000000"/>
                <w:sz w:val="18"/>
                <w:szCs w:val="18"/>
              </w:rPr>
            </w:pPr>
          </w:p>
        </w:tc>
      </w:tr>
      <w:tr w:rsidR="00FD6F91" w:rsidRPr="00847FAE" w14:paraId="2D162C1B" w14:textId="77777777" w:rsidTr="001F1F60">
        <w:trPr>
          <w:cantSplit/>
          <w:trHeight w:val="255"/>
        </w:trPr>
        <w:tc>
          <w:tcPr>
            <w:tcW w:w="3261" w:type="dxa"/>
            <w:gridSpan w:val="4"/>
            <w:tcBorders>
              <w:top w:val="single" w:sz="4" w:space="0" w:color="auto"/>
            </w:tcBorders>
            <w:shd w:val="clear" w:color="auto" w:fill="D9D9D9" w:themeFill="background1" w:themeFillShade="D9"/>
            <w:noWrap/>
            <w:vAlign w:val="bottom"/>
          </w:tcPr>
          <w:p w14:paraId="3A2B54DE"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Total finalised cases</w:t>
            </w:r>
          </w:p>
        </w:tc>
        <w:tc>
          <w:tcPr>
            <w:tcW w:w="944" w:type="dxa"/>
            <w:tcBorders>
              <w:top w:val="single" w:sz="4" w:space="0" w:color="auto"/>
            </w:tcBorders>
            <w:shd w:val="clear" w:color="auto" w:fill="D9D9D9" w:themeFill="background1" w:themeFillShade="D9"/>
            <w:noWrap/>
            <w:vAlign w:val="center"/>
          </w:tcPr>
          <w:p w14:paraId="2B639D78"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top w:val="single" w:sz="4" w:space="0" w:color="auto"/>
            </w:tcBorders>
            <w:shd w:val="clear" w:color="auto" w:fill="D9D9D9" w:themeFill="background1" w:themeFillShade="D9"/>
            <w:noWrap/>
            <w:vAlign w:val="center"/>
          </w:tcPr>
          <w:p w14:paraId="279CCFC0"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tcBorders>
              <w:top w:val="single" w:sz="4" w:space="0" w:color="auto"/>
            </w:tcBorders>
            <w:shd w:val="clear" w:color="auto" w:fill="D9D9D9" w:themeFill="background1" w:themeFillShade="D9"/>
            <w:noWrap/>
            <w:vAlign w:val="center"/>
          </w:tcPr>
          <w:p w14:paraId="45DAB358"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top w:val="single" w:sz="4" w:space="0" w:color="auto"/>
            </w:tcBorders>
            <w:shd w:val="clear" w:color="auto" w:fill="D9D9D9" w:themeFill="background1" w:themeFillShade="D9"/>
            <w:noWrap/>
            <w:vAlign w:val="center"/>
          </w:tcPr>
          <w:p w14:paraId="721F1274" w14:textId="77777777" w:rsidR="00FD6F91" w:rsidRPr="00847FAE" w:rsidRDefault="00FD6F91" w:rsidP="00FD6F91">
            <w:pPr>
              <w:jc w:val="center"/>
              <w:rPr>
                <w:rFonts w:cs="Calibri"/>
                <w:color w:val="000000"/>
                <w:sz w:val="18"/>
                <w:szCs w:val="18"/>
              </w:rPr>
            </w:pPr>
            <w:r w:rsidRPr="00847FAE">
              <w:rPr>
                <w:rFonts w:cs="Calibri"/>
                <w:color w:val="000000"/>
                <w:sz w:val="18"/>
                <w:szCs w:val="18"/>
              </w:rPr>
              <w:t>582</w:t>
            </w:r>
          </w:p>
        </w:tc>
        <w:tc>
          <w:tcPr>
            <w:tcW w:w="945" w:type="dxa"/>
            <w:tcBorders>
              <w:top w:val="single" w:sz="4" w:space="0" w:color="auto"/>
            </w:tcBorders>
            <w:shd w:val="clear" w:color="auto" w:fill="D9D9D9" w:themeFill="background1" w:themeFillShade="D9"/>
            <w:noWrap/>
            <w:vAlign w:val="center"/>
          </w:tcPr>
          <w:p w14:paraId="2D13E407" w14:textId="77777777" w:rsidR="00FD6F91" w:rsidRPr="00847FAE" w:rsidRDefault="00FD6F91" w:rsidP="00FD6F91">
            <w:pPr>
              <w:jc w:val="center"/>
              <w:rPr>
                <w:rFonts w:cs="Calibri"/>
                <w:color w:val="000000"/>
                <w:sz w:val="18"/>
                <w:szCs w:val="18"/>
              </w:rPr>
            </w:pPr>
            <w:r w:rsidRPr="00847FAE">
              <w:rPr>
                <w:rFonts w:cs="Calibri"/>
                <w:color w:val="000000"/>
                <w:sz w:val="18"/>
                <w:szCs w:val="18"/>
              </w:rPr>
              <w:t>605</w:t>
            </w:r>
          </w:p>
        </w:tc>
        <w:tc>
          <w:tcPr>
            <w:tcW w:w="1134" w:type="dxa"/>
            <w:tcBorders>
              <w:top w:val="single" w:sz="4" w:space="0" w:color="auto"/>
            </w:tcBorders>
            <w:shd w:val="clear" w:color="auto" w:fill="D9D9D9" w:themeFill="background1" w:themeFillShade="D9"/>
            <w:noWrap/>
            <w:vAlign w:val="center"/>
          </w:tcPr>
          <w:p w14:paraId="6F1FABFE" w14:textId="77777777" w:rsidR="00FD6F91" w:rsidRPr="00847FAE" w:rsidRDefault="00FD6F91" w:rsidP="00FD6F91">
            <w:pPr>
              <w:jc w:val="center"/>
              <w:rPr>
                <w:rFonts w:cs="Calibri"/>
                <w:color w:val="000000"/>
                <w:sz w:val="18"/>
                <w:szCs w:val="18"/>
              </w:rPr>
            </w:pPr>
            <w:r w:rsidRPr="00847FAE">
              <w:rPr>
                <w:rFonts w:cs="Calibri"/>
                <w:color w:val="000000"/>
                <w:sz w:val="18"/>
                <w:szCs w:val="18"/>
              </w:rPr>
              <w:t>4.0%</w:t>
            </w:r>
          </w:p>
        </w:tc>
      </w:tr>
      <w:tr w:rsidR="00FD6F91" w:rsidRPr="00847FAE" w14:paraId="164844D7" w14:textId="77777777" w:rsidTr="001F1F60">
        <w:trPr>
          <w:cantSplit/>
          <w:trHeight w:val="255"/>
        </w:trPr>
        <w:tc>
          <w:tcPr>
            <w:tcW w:w="3261" w:type="dxa"/>
            <w:gridSpan w:val="4"/>
            <w:noWrap/>
            <w:vAlign w:val="bottom"/>
          </w:tcPr>
          <w:p w14:paraId="46A6D2F6"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Cases finalised in 6 to 12</w:t>
            </w:r>
            <w:r w:rsidRPr="00847FAE">
              <w:rPr>
                <w:rFonts w:cs="Calibri"/>
                <w:color w:val="FFFFFF" w:themeColor="background1"/>
                <w:sz w:val="18"/>
                <w:szCs w:val="18"/>
              </w:rPr>
              <w:t xml:space="preserve"> </w:t>
            </w:r>
            <w:r w:rsidRPr="00847FAE">
              <w:rPr>
                <w:rFonts w:cs="Calibri"/>
                <w:color w:val="000000"/>
                <w:sz w:val="18"/>
                <w:szCs w:val="18"/>
              </w:rPr>
              <w:t>months</w:t>
            </w:r>
          </w:p>
        </w:tc>
        <w:tc>
          <w:tcPr>
            <w:tcW w:w="944" w:type="dxa"/>
            <w:noWrap/>
            <w:vAlign w:val="center"/>
          </w:tcPr>
          <w:p w14:paraId="08F80854"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2E6433A4"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551DEC19"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77F76CE5" w14:textId="77777777" w:rsidR="00FD6F91" w:rsidRPr="00847FAE" w:rsidRDefault="00FD6F91" w:rsidP="00FD6F91">
            <w:pPr>
              <w:jc w:val="center"/>
              <w:rPr>
                <w:rFonts w:cs="Calibri"/>
                <w:color w:val="000000"/>
                <w:sz w:val="18"/>
                <w:szCs w:val="18"/>
              </w:rPr>
            </w:pPr>
            <w:r w:rsidRPr="00847FAE">
              <w:rPr>
                <w:rFonts w:cs="Calibri"/>
                <w:color w:val="000000"/>
                <w:sz w:val="18"/>
                <w:szCs w:val="18"/>
              </w:rPr>
              <w:t>245</w:t>
            </w:r>
          </w:p>
        </w:tc>
        <w:tc>
          <w:tcPr>
            <w:tcW w:w="945" w:type="dxa"/>
            <w:noWrap/>
            <w:vAlign w:val="center"/>
          </w:tcPr>
          <w:p w14:paraId="6A198A05" w14:textId="77777777" w:rsidR="00FD6F91" w:rsidRPr="00847FAE" w:rsidRDefault="00FD6F91" w:rsidP="00FD6F91">
            <w:pPr>
              <w:jc w:val="center"/>
              <w:rPr>
                <w:rFonts w:cs="Calibri"/>
                <w:color w:val="000000"/>
                <w:sz w:val="18"/>
                <w:szCs w:val="18"/>
              </w:rPr>
            </w:pPr>
            <w:r w:rsidRPr="00847FAE">
              <w:rPr>
                <w:rFonts w:cs="Calibri"/>
                <w:color w:val="000000"/>
                <w:sz w:val="18"/>
                <w:szCs w:val="18"/>
              </w:rPr>
              <w:t>196</w:t>
            </w:r>
          </w:p>
        </w:tc>
        <w:tc>
          <w:tcPr>
            <w:tcW w:w="1134" w:type="dxa"/>
            <w:noWrap/>
            <w:vAlign w:val="center"/>
          </w:tcPr>
          <w:p w14:paraId="70D0D355" w14:textId="77777777" w:rsidR="00FD6F91" w:rsidRPr="00847FAE" w:rsidRDefault="00FD6F91" w:rsidP="00FD6F91">
            <w:pPr>
              <w:jc w:val="center"/>
              <w:rPr>
                <w:rFonts w:cs="Calibri"/>
                <w:color w:val="000000"/>
                <w:sz w:val="18"/>
                <w:szCs w:val="18"/>
              </w:rPr>
            </w:pPr>
            <w:r w:rsidRPr="00847FAE">
              <w:rPr>
                <w:rFonts w:cs="Calibri"/>
                <w:color w:val="000000"/>
                <w:sz w:val="18"/>
                <w:szCs w:val="18"/>
              </w:rPr>
              <w:t>-20.0%</w:t>
            </w:r>
          </w:p>
        </w:tc>
      </w:tr>
      <w:tr w:rsidR="00FD6F91" w:rsidRPr="00847FAE" w14:paraId="53E9FBAB" w14:textId="77777777" w:rsidTr="001F1F60">
        <w:trPr>
          <w:cantSplit/>
          <w:trHeight w:val="255"/>
        </w:trPr>
        <w:tc>
          <w:tcPr>
            <w:tcW w:w="3261" w:type="dxa"/>
            <w:gridSpan w:val="4"/>
            <w:noWrap/>
            <w:vAlign w:val="bottom"/>
          </w:tcPr>
          <w:p w14:paraId="6D85A161" w14:textId="77777777" w:rsidR="00FD6F91" w:rsidRPr="00847FAE" w:rsidRDefault="00FD6F91" w:rsidP="00FD6F91">
            <w:pPr>
              <w:keepNext/>
              <w:rPr>
                <w:rFonts w:cs="Calibri"/>
                <w:iCs/>
                <w:color w:val="000000"/>
                <w:sz w:val="18"/>
                <w:szCs w:val="18"/>
              </w:rPr>
            </w:pPr>
            <w:r w:rsidRPr="00847FAE">
              <w:rPr>
                <w:rFonts w:cs="Calibri"/>
                <w:color w:val="000000"/>
                <w:sz w:val="18"/>
                <w:szCs w:val="18"/>
              </w:rPr>
              <w:t xml:space="preserve">  Cases finalised after 12 months </w:t>
            </w:r>
          </w:p>
        </w:tc>
        <w:tc>
          <w:tcPr>
            <w:tcW w:w="944" w:type="dxa"/>
            <w:noWrap/>
            <w:vAlign w:val="center"/>
          </w:tcPr>
          <w:p w14:paraId="3A8CE5B3"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4A54C763"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3172061F"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7E618EFA" w14:textId="77777777" w:rsidR="00FD6F91" w:rsidRPr="00847FAE" w:rsidRDefault="00FD6F91" w:rsidP="00FD6F91">
            <w:pPr>
              <w:jc w:val="center"/>
              <w:rPr>
                <w:rFonts w:cs="Calibri"/>
                <w:color w:val="000000"/>
                <w:sz w:val="18"/>
                <w:szCs w:val="18"/>
              </w:rPr>
            </w:pPr>
            <w:r w:rsidRPr="00847FAE">
              <w:rPr>
                <w:rFonts w:cs="Calibri"/>
                <w:color w:val="000000"/>
                <w:sz w:val="18"/>
                <w:szCs w:val="18"/>
              </w:rPr>
              <w:t>102</w:t>
            </w:r>
          </w:p>
        </w:tc>
        <w:tc>
          <w:tcPr>
            <w:tcW w:w="945" w:type="dxa"/>
            <w:noWrap/>
            <w:vAlign w:val="center"/>
          </w:tcPr>
          <w:p w14:paraId="7FB7041A" w14:textId="77777777" w:rsidR="00FD6F91" w:rsidRPr="00847FAE" w:rsidRDefault="00FD6F91" w:rsidP="00FD6F91">
            <w:pPr>
              <w:jc w:val="center"/>
              <w:rPr>
                <w:rFonts w:cs="Calibri"/>
                <w:color w:val="000000"/>
                <w:sz w:val="18"/>
                <w:szCs w:val="18"/>
              </w:rPr>
            </w:pPr>
            <w:r w:rsidRPr="00847FAE">
              <w:rPr>
                <w:rFonts w:cs="Calibri"/>
                <w:color w:val="000000"/>
                <w:sz w:val="18"/>
                <w:szCs w:val="18"/>
              </w:rPr>
              <w:t>138</w:t>
            </w:r>
          </w:p>
        </w:tc>
        <w:tc>
          <w:tcPr>
            <w:tcW w:w="1134" w:type="dxa"/>
            <w:noWrap/>
            <w:vAlign w:val="center"/>
          </w:tcPr>
          <w:p w14:paraId="2B25603E" w14:textId="77777777" w:rsidR="00FD6F91" w:rsidRPr="00847FAE" w:rsidRDefault="00FD6F91" w:rsidP="00FD6F91">
            <w:pPr>
              <w:jc w:val="center"/>
              <w:rPr>
                <w:rFonts w:cs="Calibri"/>
                <w:color w:val="000000"/>
                <w:sz w:val="18"/>
                <w:szCs w:val="18"/>
              </w:rPr>
            </w:pPr>
            <w:r w:rsidRPr="00847FAE">
              <w:rPr>
                <w:rFonts w:cs="Calibri"/>
                <w:color w:val="000000"/>
                <w:sz w:val="18"/>
                <w:szCs w:val="18"/>
              </w:rPr>
              <w:t>35.3%</w:t>
            </w:r>
          </w:p>
        </w:tc>
      </w:tr>
      <w:tr w:rsidR="00FD6F91" w:rsidRPr="00847FAE" w14:paraId="6522DA5D" w14:textId="77777777" w:rsidTr="001F1F60">
        <w:trPr>
          <w:cantSplit/>
          <w:trHeight w:val="255"/>
        </w:trPr>
        <w:tc>
          <w:tcPr>
            <w:tcW w:w="3261" w:type="dxa"/>
            <w:gridSpan w:val="4"/>
            <w:shd w:val="clear" w:color="auto" w:fill="D9D9D9" w:themeFill="background1" w:themeFillShade="D9"/>
            <w:noWrap/>
            <w:vAlign w:val="bottom"/>
          </w:tcPr>
          <w:p w14:paraId="5268C475" w14:textId="77777777" w:rsidR="00FD6F91" w:rsidRPr="00847FAE" w:rsidRDefault="00FD6F91" w:rsidP="00FD6F91">
            <w:pPr>
              <w:keepNext/>
              <w:rPr>
                <w:rFonts w:cs="Calibri"/>
                <w:iCs/>
                <w:color w:val="000000"/>
                <w:sz w:val="18"/>
                <w:szCs w:val="18"/>
              </w:rPr>
            </w:pPr>
            <w:r w:rsidRPr="00847FAE">
              <w:rPr>
                <w:rFonts w:cs="Calibri"/>
                <w:bCs/>
                <w:color w:val="000000"/>
                <w:sz w:val="18"/>
                <w:szCs w:val="18"/>
              </w:rPr>
              <w:t>Disposal Indicator</w:t>
            </w:r>
          </w:p>
        </w:tc>
        <w:tc>
          <w:tcPr>
            <w:tcW w:w="944" w:type="dxa"/>
            <w:shd w:val="clear" w:color="auto" w:fill="D9D9D9" w:themeFill="background1" w:themeFillShade="D9"/>
            <w:noWrap/>
            <w:vAlign w:val="center"/>
          </w:tcPr>
          <w:p w14:paraId="1845A794"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433AA1E5"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4" w:type="dxa"/>
            <w:shd w:val="clear" w:color="auto" w:fill="D9D9D9" w:themeFill="background1" w:themeFillShade="D9"/>
            <w:noWrap/>
            <w:vAlign w:val="center"/>
          </w:tcPr>
          <w:p w14:paraId="3B61B2D2"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2E15F9F5"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945" w:type="dxa"/>
            <w:shd w:val="clear" w:color="auto" w:fill="D9D9D9" w:themeFill="background1" w:themeFillShade="D9"/>
            <w:noWrap/>
            <w:vAlign w:val="center"/>
          </w:tcPr>
          <w:p w14:paraId="1C22F36A"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c>
          <w:tcPr>
            <w:tcW w:w="1134" w:type="dxa"/>
            <w:shd w:val="clear" w:color="auto" w:fill="D9D9D9" w:themeFill="background1" w:themeFillShade="D9"/>
            <w:noWrap/>
            <w:vAlign w:val="center"/>
          </w:tcPr>
          <w:p w14:paraId="03E0E0F5" w14:textId="77777777" w:rsidR="00FD6F91" w:rsidRPr="00847FAE" w:rsidRDefault="00FD6F91" w:rsidP="00FD6F91">
            <w:pPr>
              <w:jc w:val="center"/>
              <w:rPr>
                <w:rFonts w:cs="Calibri"/>
                <w:color w:val="000000"/>
                <w:sz w:val="18"/>
                <w:szCs w:val="18"/>
              </w:rPr>
            </w:pPr>
            <w:r w:rsidRPr="00847FAE">
              <w:rPr>
                <w:rFonts w:cs="Calibri"/>
                <w:color w:val="000000"/>
                <w:sz w:val="18"/>
                <w:szCs w:val="18"/>
              </w:rPr>
              <w:t> </w:t>
            </w:r>
          </w:p>
        </w:tc>
      </w:tr>
      <w:tr w:rsidR="00FD6F91" w:rsidRPr="00847FAE" w14:paraId="5A7530EB" w14:textId="77777777" w:rsidTr="001F1F60">
        <w:trPr>
          <w:cantSplit/>
          <w:trHeight w:val="255"/>
        </w:trPr>
        <w:tc>
          <w:tcPr>
            <w:tcW w:w="3261" w:type="dxa"/>
            <w:gridSpan w:val="4"/>
            <w:noWrap/>
            <w:vAlign w:val="center"/>
          </w:tcPr>
          <w:p w14:paraId="052006F1"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6 months </w:t>
            </w:r>
          </w:p>
        </w:tc>
        <w:tc>
          <w:tcPr>
            <w:tcW w:w="944" w:type="dxa"/>
            <w:noWrap/>
            <w:vAlign w:val="center"/>
          </w:tcPr>
          <w:p w14:paraId="38B70745"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609EB2FD"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noWrap/>
            <w:vAlign w:val="center"/>
          </w:tcPr>
          <w:p w14:paraId="43457458"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noWrap/>
            <w:vAlign w:val="center"/>
          </w:tcPr>
          <w:p w14:paraId="5A8D250A" w14:textId="77777777" w:rsidR="00FD6F91" w:rsidRPr="00847FAE" w:rsidRDefault="00FD6F91" w:rsidP="00FD6F91">
            <w:pPr>
              <w:jc w:val="center"/>
              <w:rPr>
                <w:rFonts w:cs="Calibri"/>
                <w:color w:val="000000"/>
                <w:sz w:val="18"/>
                <w:szCs w:val="18"/>
              </w:rPr>
            </w:pPr>
            <w:r w:rsidRPr="00847FAE">
              <w:rPr>
                <w:rFonts w:cs="Calibri"/>
                <w:color w:val="000000"/>
                <w:sz w:val="18"/>
                <w:szCs w:val="18"/>
              </w:rPr>
              <w:t>59.6</w:t>
            </w:r>
          </w:p>
        </w:tc>
        <w:tc>
          <w:tcPr>
            <w:tcW w:w="945" w:type="dxa"/>
            <w:noWrap/>
            <w:vAlign w:val="center"/>
          </w:tcPr>
          <w:p w14:paraId="73D2DF00" w14:textId="77777777" w:rsidR="00FD6F91" w:rsidRPr="00847FAE" w:rsidRDefault="00FD6F91" w:rsidP="00FD6F91">
            <w:pPr>
              <w:jc w:val="center"/>
              <w:rPr>
                <w:rFonts w:cs="Calibri"/>
                <w:color w:val="000000"/>
                <w:sz w:val="18"/>
                <w:szCs w:val="18"/>
              </w:rPr>
            </w:pPr>
            <w:r w:rsidRPr="00847FAE">
              <w:rPr>
                <w:rFonts w:cs="Calibri"/>
                <w:color w:val="000000"/>
                <w:sz w:val="18"/>
                <w:szCs w:val="18"/>
              </w:rPr>
              <w:t>55.2</w:t>
            </w:r>
          </w:p>
        </w:tc>
        <w:tc>
          <w:tcPr>
            <w:tcW w:w="1134" w:type="dxa"/>
            <w:noWrap/>
            <w:vAlign w:val="center"/>
          </w:tcPr>
          <w:p w14:paraId="7BC1F231" w14:textId="77777777" w:rsidR="00FD6F91" w:rsidRPr="00847FAE" w:rsidRDefault="00FD6F91" w:rsidP="00FD6F91">
            <w:pPr>
              <w:jc w:val="center"/>
              <w:rPr>
                <w:rFonts w:cs="Calibri"/>
                <w:color w:val="000000"/>
                <w:sz w:val="18"/>
                <w:szCs w:val="18"/>
              </w:rPr>
            </w:pPr>
            <w:r w:rsidRPr="00847FAE">
              <w:rPr>
                <w:rFonts w:cs="Calibri"/>
                <w:color w:val="000000"/>
                <w:sz w:val="18"/>
                <w:szCs w:val="18"/>
              </w:rPr>
              <w:t>-4.4 pp</w:t>
            </w:r>
          </w:p>
        </w:tc>
      </w:tr>
      <w:tr w:rsidR="00FD6F91" w:rsidRPr="00847FAE" w14:paraId="71C6F996" w14:textId="77777777" w:rsidTr="001F1F60">
        <w:trPr>
          <w:cantSplit/>
          <w:trHeight w:val="255"/>
        </w:trPr>
        <w:tc>
          <w:tcPr>
            <w:tcW w:w="3261" w:type="dxa"/>
            <w:gridSpan w:val="4"/>
            <w:tcBorders>
              <w:bottom w:val="single" w:sz="4" w:space="0" w:color="auto"/>
            </w:tcBorders>
            <w:noWrap/>
            <w:vAlign w:val="center"/>
          </w:tcPr>
          <w:p w14:paraId="5CE28F98"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   % greater than 12 months</w:t>
            </w:r>
          </w:p>
        </w:tc>
        <w:tc>
          <w:tcPr>
            <w:tcW w:w="944" w:type="dxa"/>
            <w:tcBorders>
              <w:bottom w:val="single" w:sz="4" w:space="0" w:color="auto"/>
            </w:tcBorders>
            <w:noWrap/>
            <w:vAlign w:val="center"/>
          </w:tcPr>
          <w:p w14:paraId="7AABAD75"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bottom w:val="single" w:sz="4" w:space="0" w:color="auto"/>
            </w:tcBorders>
            <w:noWrap/>
            <w:vAlign w:val="center"/>
          </w:tcPr>
          <w:p w14:paraId="272A4948"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4" w:type="dxa"/>
            <w:tcBorders>
              <w:bottom w:val="single" w:sz="4" w:space="0" w:color="auto"/>
            </w:tcBorders>
            <w:noWrap/>
            <w:vAlign w:val="center"/>
          </w:tcPr>
          <w:p w14:paraId="1C4A18AA" w14:textId="77777777" w:rsidR="00FD6F91" w:rsidRPr="00847FAE" w:rsidRDefault="00FD6F91" w:rsidP="00FD6F91">
            <w:pPr>
              <w:jc w:val="center"/>
              <w:rPr>
                <w:rFonts w:cs="Calibri"/>
                <w:color w:val="000000"/>
                <w:sz w:val="18"/>
                <w:szCs w:val="18"/>
              </w:rPr>
            </w:pPr>
            <w:r w:rsidRPr="00847FAE">
              <w:rPr>
                <w:rFonts w:cs="Calibri"/>
                <w:color w:val="000000"/>
                <w:sz w:val="18"/>
                <w:szCs w:val="18"/>
              </w:rPr>
              <w:t>na</w:t>
            </w:r>
          </w:p>
        </w:tc>
        <w:tc>
          <w:tcPr>
            <w:tcW w:w="945" w:type="dxa"/>
            <w:tcBorders>
              <w:bottom w:val="single" w:sz="4" w:space="0" w:color="auto"/>
            </w:tcBorders>
            <w:noWrap/>
            <w:vAlign w:val="center"/>
          </w:tcPr>
          <w:p w14:paraId="61A0EC80" w14:textId="77777777" w:rsidR="00FD6F91" w:rsidRPr="00847FAE" w:rsidRDefault="00FD6F91" w:rsidP="00FD6F91">
            <w:pPr>
              <w:jc w:val="center"/>
              <w:rPr>
                <w:rFonts w:cs="Calibri"/>
                <w:color w:val="000000"/>
                <w:sz w:val="18"/>
                <w:szCs w:val="18"/>
              </w:rPr>
            </w:pPr>
            <w:r w:rsidRPr="00847FAE">
              <w:rPr>
                <w:rFonts w:cs="Calibri"/>
                <w:color w:val="000000"/>
                <w:sz w:val="18"/>
                <w:szCs w:val="18"/>
              </w:rPr>
              <w:t>17.5</w:t>
            </w:r>
          </w:p>
        </w:tc>
        <w:tc>
          <w:tcPr>
            <w:tcW w:w="945" w:type="dxa"/>
            <w:tcBorders>
              <w:bottom w:val="single" w:sz="4" w:space="0" w:color="auto"/>
            </w:tcBorders>
            <w:noWrap/>
            <w:vAlign w:val="center"/>
          </w:tcPr>
          <w:p w14:paraId="759DD3EC" w14:textId="77777777" w:rsidR="00FD6F91" w:rsidRPr="00847FAE" w:rsidRDefault="00FD6F91" w:rsidP="00FD6F91">
            <w:pPr>
              <w:jc w:val="center"/>
              <w:rPr>
                <w:rFonts w:cs="Calibri"/>
                <w:color w:val="000000"/>
                <w:sz w:val="18"/>
                <w:szCs w:val="18"/>
              </w:rPr>
            </w:pPr>
            <w:r w:rsidRPr="00847FAE">
              <w:rPr>
                <w:rFonts w:cs="Calibri"/>
                <w:color w:val="000000"/>
                <w:sz w:val="18"/>
                <w:szCs w:val="18"/>
              </w:rPr>
              <w:t>22.8</w:t>
            </w:r>
          </w:p>
        </w:tc>
        <w:tc>
          <w:tcPr>
            <w:tcW w:w="1134" w:type="dxa"/>
            <w:tcBorders>
              <w:bottom w:val="single" w:sz="4" w:space="0" w:color="auto"/>
            </w:tcBorders>
            <w:noWrap/>
            <w:vAlign w:val="center"/>
          </w:tcPr>
          <w:p w14:paraId="42D7F461" w14:textId="77777777" w:rsidR="00FD6F91" w:rsidRPr="00847FAE" w:rsidRDefault="00FD6F91" w:rsidP="00FD6F91">
            <w:pPr>
              <w:jc w:val="center"/>
              <w:rPr>
                <w:rFonts w:cs="Calibri"/>
                <w:color w:val="000000"/>
                <w:sz w:val="18"/>
                <w:szCs w:val="18"/>
              </w:rPr>
            </w:pPr>
            <w:r w:rsidRPr="00847FAE">
              <w:rPr>
                <w:rFonts w:cs="Calibri"/>
                <w:color w:val="000000"/>
                <w:sz w:val="18"/>
                <w:szCs w:val="18"/>
              </w:rPr>
              <w:t>5.3 pp</w:t>
            </w:r>
          </w:p>
        </w:tc>
      </w:tr>
      <w:tr w:rsidR="00FD6F91" w:rsidRPr="00847FAE" w14:paraId="4C6031A8" w14:textId="77777777" w:rsidTr="001F1F60">
        <w:trPr>
          <w:cantSplit/>
          <w:trHeight w:val="255"/>
        </w:trPr>
        <w:tc>
          <w:tcPr>
            <w:tcW w:w="9118" w:type="dxa"/>
            <w:gridSpan w:val="10"/>
            <w:tcBorders>
              <w:top w:val="single" w:sz="4" w:space="0" w:color="auto"/>
            </w:tcBorders>
            <w:noWrap/>
            <w:vAlign w:val="center"/>
          </w:tcPr>
          <w:p w14:paraId="7961F337" w14:textId="77777777" w:rsidR="00FD6F91" w:rsidRPr="00847FAE" w:rsidRDefault="00FD6F91" w:rsidP="00FD6F91">
            <w:pPr>
              <w:shd w:val="clear" w:color="auto" w:fill="FFFFFF" w:themeFill="background1"/>
              <w:rPr>
                <w:sz w:val="15"/>
                <w:szCs w:val="15"/>
              </w:rPr>
            </w:pPr>
            <w:r w:rsidRPr="00847FAE">
              <w:rPr>
                <w:b/>
                <w:sz w:val="15"/>
                <w:szCs w:val="15"/>
              </w:rPr>
              <w:t xml:space="preserve">pp </w:t>
            </w:r>
            <w:r w:rsidRPr="00847FAE">
              <w:rPr>
                <w:sz w:val="15"/>
                <w:szCs w:val="15"/>
              </w:rPr>
              <w:t>refers to percentage points</w:t>
            </w:r>
          </w:p>
          <w:p w14:paraId="3DBC6B68" w14:textId="77777777" w:rsidR="00FD6F91" w:rsidRPr="00847FAE" w:rsidRDefault="00FD6F91" w:rsidP="00FD6F91">
            <w:pPr>
              <w:keepNext/>
              <w:rPr>
                <w:rFonts w:cs="Calibri"/>
                <w:iCs/>
                <w:color w:val="000000"/>
                <w:sz w:val="15"/>
                <w:szCs w:val="15"/>
              </w:rPr>
            </w:pPr>
            <w:r w:rsidRPr="00847FAE">
              <w:rPr>
                <w:rFonts w:cs="Calibri"/>
                <w:color w:val="000000"/>
                <w:sz w:val="15"/>
                <w:szCs w:val="15"/>
                <w:vertAlign w:val="superscript"/>
              </w:rPr>
              <w:t xml:space="preserve">1 </w:t>
            </w:r>
            <w:r w:rsidRPr="00847FAE">
              <w:rPr>
                <w:rFonts w:cs="Calibri"/>
                <w:iCs/>
                <w:color w:val="000000"/>
                <w:sz w:val="15"/>
                <w:szCs w:val="15"/>
              </w:rPr>
              <w:t>This indicator has been published in the Report on Government Services (RoGS) for civil matters from the 2016-17 financial year onwards. The above recorded pre-2016-17 data has been generated using the methods prescribed for RoGS.</w:t>
            </w:r>
          </w:p>
          <w:p w14:paraId="00715A50" w14:textId="77777777" w:rsidR="00FD6F91" w:rsidRPr="00847FAE" w:rsidRDefault="00FD6F91" w:rsidP="00FD6F91">
            <w:pPr>
              <w:shd w:val="clear" w:color="auto" w:fill="FFFFFF" w:themeFill="background1"/>
              <w:rPr>
                <w:rFonts w:cs="Calibri"/>
                <w:color w:val="000000"/>
                <w:sz w:val="15"/>
                <w:szCs w:val="15"/>
              </w:rPr>
            </w:pPr>
            <w:r w:rsidRPr="00847FAE">
              <w:rPr>
                <w:rFonts w:cs="Calibri"/>
                <w:iCs/>
                <w:color w:val="000000"/>
                <w:sz w:val="18"/>
                <w:szCs w:val="18"/>
                <w:vertAlign w:val="superscript"/>
              </w:rPr>
              <w:t xml:space="preserve">2 </w:t>
            </w:r>
            <w:r w:rsidRPr="00847FAE">
              <w:rPr>
                <w:rFonts w:cs="Calibri"/>
                <w:color w:val="000000"/>
                <w:sz w:val="15"/>
                <w:szCs w:val="15"/>
              </w:rPr>
              <w:t>In accordance with the Report on Government Services (RoGS) statistics manual, the Civil Magistrates Court and Children’s Court pending caseload for civil claims, family violence and intervention orders, and care and protection orders counts only originating matters (e.g. application for an order) and not secondary processes (e.g. application to vary an order).</w:t>
            </w:r>
          </w:p>
          <w:p w14:paraId="17A26743" w14:textId="77777777" w:rsidR="00FD6F91" w:rsidRPr="00847FAE" w:rsidRDefault="00FD6F91" w:rsidP="00FD6F91">
            <w:pPr>
              <w:shd w:val="clear" w:color="auto" w:fill="FFFFFF" w:themeFill="background1"/>
              <w:rPr>
                <w:rFonts w:cs="Calibri"/>
                <w:color w:val="000000"/>
                <w:sz w:val="15"/>
                <w:szCs w:val="15"/>
              </w:rPr>
            </w:pPr>
            <w:r w:rsidRPr="00847FAE">
              <w:rPr>
                <w:rFonts w:cs="Calibri"/>
                <w:i/>
                <w:color w:val="000000"/>
                <w:sz w:val="15"/>
                <w:szCs w:val="15"/>
              </w:rPr>
              <w:t>Source: CRIMESStats database, Civil Registry Management System (CRMS).</w:t>
            </w:r>
          </w:p>
        </w:tc>
      </w:tr>
    </w:tbl>
    <w:p w14:paraId="215DE7D7" w14:textId="77777777" w:rsidR="00FD6F91" w:rsidRPr="00847FAE" w:rsidRDefault="00FD6F91" w:rsidP="00FD6F91">
      <w:pPr>
        <w:rPr>
          <w:rFonts w:eastAsiaTheme="minorHAnsi"/>
          <w:lang w:eastAsia="en-US"/>
        </w:rPr>
      </w:pPr>
    </w:p>
    <w:p w14:paraId="2A93F12F" w14:textId="6035DAA8" w:rsidR="00FD6F91" w:rsidRPr="00847FAE" w:rsidRDefault="00A64135" w:rsidP="00FD6F91">
      <w:pPr>
        <w:keepNext/>
        <w:keepLines/>
        <w:spacing w:before="40"/>
        <w:outlineLvl w:val="2"/>
        <w:rPr>
          <w:rFonts w:eastAsiaTheme="majorEastAsia" w:cstheme="majorBidi"/>
          <w:vertAlign w:val="superscript"/>
          <w:lang w:eastAsia="en-US"/>
        </w:rPr>
      </w:pPr>
      <w:bookmarkStart w:id="398" w:name="_Toc1041202"/>
      <w:r w:rsidRPr="00847FAE">
        <w:rPr>
          <w:rFonts w:eastAsiaTheme="majorEastAsia" w:cstheme="majorBidi"/>
          <w:lang w:eastAsia="en-US"/>
        </w:rPr>
        <w:lastRenderedPageBreak/>
        <w:t xml:space="preserve">Table </w:t>
      </w:r>
      <w:r w:rsidR="0037416A">
        <w:rPr>
          <w:rFonts w:eastAsiaTheme="majorEastAsia" w:cstheme="majorBidi"/>
          <w:lang w:eastAsia="en-US"/>
        </w:rPr>
        <w:t>19</w:t>
      </w:r>
      <w:r w:rsidR="00FD6F91" w:rsidRPr="00847FAE">
        <w:rPr>
          <w:rFonts w:eastAsiaTheme="majorEastAsia" w:cstheme="majorBidi"/>
          <w:lang w:eastAsia="en-US"/>
        </w:rPr>
        <w:t>: Criminal and Civil Clearance Rates, by Court</w:t>
      </w:r>
      <w:bookmarkEnd w:id="398"/>
    </w:p>
    <w:tbl>
      <w:tblPr>
        <w:tblStyle w:val="TableGrid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19CriminalandCivilClearanceRatesbyCourt"/>
        <w:tblDescription w:val="TabledescribingCriminalandCivilClearanceRatesbyCourt"/>
      </w:tblPr>
      <w:tblGrid>
        <w:gridCol w:w="460"/>
        <w:gridCol w:w="856"/>
        <w:gridCol w:w="1378"/>
        <w:gridCol w:w="278"/>
        <w:gridCol w:w="992"/>
        <w:gridCol w:w="993"/>
        <w:gridCol w:w="992"/>
        <w:gridCol w:w="992"/>
        <w:gridCol w:w="992"/>
        <w:gridCol w:w="1134"/>
      </w:tblGrid>
      <w:tr w:rsidR="00FD6F91" w:rsidRPr="00847FAE" w14:paraId="3B371984" w14:textId="77777777" w:rsidTr="004E3DB0">
        <w:trPr>
          <w:cantSplit/>
          <w:trHeight w:val="20"/>
          <w:tblHeader/>
        </w:trPr>
        <w:tc>
          <w:tcPr>
            <w:tcW w:w="460" w:type="dxa"/>
            <w:tcBorders>
              <w:top w:val="single" w:sz="4" w:space="0" w:color="auto"/>
              <w:bottom w:val="single" w:sz="4" w:space="0" w:color="auto"/>
            </w:tcBorders>
            <w:noWrap/>
            <w:hideMark/>
          </w:tcPr>
          <w:p w14:paraId="089855E5"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856" w:type="dxa"/>
            <w:tcBorders>
              <w:top w:val="single" w:sz="4" w:space="0" w:color="auto"/>
              <w:bottom w:val="single" w:sz="4" w:space="0" w:color="auto"/>
            </w:tcBorders>
            <w:noWrap/>
            <w:hideMark/>
          </w:tcPr>
          <w:p w14:paraId="5723E00C"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378" w:type="dxa"/>
            <w:tcBorders>
              <w:top w:val="single" w:sz="4" w:space="0" w:color="auto"/>
              <w:bottom w:val="single" w:sz="4" w:space="0" w:color="auto"/>
            </w:tcBorders>
            <w:noWrap/>
            <w:hideMark/>
          </w:tcPr>
          <w:p w14:paraId="16570C7F"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278" w:type="dxa"/>
            <w:tcBorders>
              <w:top w:val="single" w:sz="4" w:space="0" w:color="auto"/>
              <w:bottom w:val="single" w:sz="4" w:space="0" w:color="auto"/>
            </w:tcBorders>
            <w:noWrap/>
            <w:hideMark/>
          </w:tcPr>
          <w:p w14:paraId="24871956"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bottom"/>
            <w:hideMark/>
          </w:tcPr>
          <w:p w14:paraId="6DE3D0BB"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2013-14</w:t>
            </w:r>
          </w:p>
        </w:tc>
        <w:tc>
          <w:tcPr>
            <w:tcW w:w="993" w:type="dxa"/>
            <w:tcBorders>
              <w:top w:val="single" w:sz="4" w:space="0" w:color="auto"/>
              <w:bottom w:val="single" w:sz="4" w:space="0" w:color="auto"/>
            </w:tcBorders>
            <w:noWrap/>
            <w:vAlign w:val="bottom"/>
            <w:hideMark/>
          </w:tcPr>
          <w:p w14:paraId="57CB83A1"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2014-15</w:t>
            </w:r>
          </w:p>
        </w:tc>
        <w:tc>
          <w:tcPr>
            <w:tcW w:w="992" w:type="dxa"/>
            <w:tcBorders>
              <w:top w:val="single" w:sz="4" w:space="0" w:color="auto"/>
              <w:bottom w:val="single" w:sz="4" w:space="0" w:color="auto"/>
            </w:tcBorders>
            <w:noWrap/>
            <w:vAlign w:val="bottom"/>
            <w:hideMark/>
          </w:tcPr>
          <w:p w14:paraId="35858E55"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2015-16</w:t>
            </w:r>
          </w:p>
        </w:tc>
        <w:tc>
          <w:tcPr>
            <w:tcW w:w="992" w:type="dxa"/>
            <w:tcBorders>
              <w:top w:val="single" w:sz="4" w:space="0" w:color="auto"/>
              <w:bottom w:val="single" w:sz="4" w:space="0" w:color="auto"/>
            </w:tcBorders>
            <w:noWrap/>
            <w:vAlign w:val="bottom"/>
            <w:hideMark/>
          </w:tcPr>
          <w:p w14:paraId="5FB21A5C"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2016-17</w:t>
            </w:r>
          </w:p>
        </w:tc>
        <w:tc>
          <w:tcPr>
            <w:tcW w:w="992" w:type="dxa"/>
            <w:tcBorders>
              <w:top w:val="single" w:sz="4" w:space="0" w:color="auto"/>
              <w:bottom w:val="single" w:sz="4" w:space="0" w:color="auto"/>
            </w:tcBorders>
            <w:noWrap/>
            <w:vAlign w:val="bottom"/>
            <w:hideMark/>
          </w:tcPr>
          <w:p w14:paraId="4EAA2033"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bottom w:val="single" w:sz="4" w:space="0" w:color="auto"/>
            </w:tcBorders>
            <w:vAlign w:val="bottom"/>
            <w:hideMark/>
          </w:tcPr>
          <w:p w14:paraId="6FA22A21"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422C48EF" w14:textId="77777777" w:rsidTr="001F1F60">
        <w:trPr>
          <w:cantSplit/>
          <w:trHeight w:val="20"/>
        </w:trPr>
        <w:tc>
          <w:tcPr>
            <w:tcW w:w="2694" w:type="dxa"/>
            <w:gridSpan w:val="3"/>
            <w:tcBorders>
              <w:top w:val="single" w:sz="4" w:space="0" w:color="auto"/>
              <w:bottom w:val="single" w:sz="4" w:space="0" w:color="auto"/>
            </w:tcBorders>
            <w:shd w:val="clear" w:color="auto" w:fill="D9D9D9" w:themeFill="background1" w:themeFillShade="D9"/>
            <w:noWrap/>
            <w:vAlign w:val="center"/>
            <w:hideMark/>
          </w:tcPr>
          <w:p w14:paraId="4BDABB96" w14:textId="77777777" w:rsidR="00FD6F91" w:rsidRPr="00847FAE" w:rsidRDefault="00FD6F91" w:rsidP="00FD6F91">
            <w:pPr>
              <w:keepNext/>
              <w:rPr>
                <w:rFonts w:cs="Calibri"/>
                <w:color w:val="000000"/>
                <w:sz w:val="18"/>
                <w:szCs w:val="18"/>
              </w:rPr>
            </w:pPr>
            <w:r w:rsidRPr="00847FAE">
              <w:rPr>
                <w:rFonts w:cs="Calibri"/>
                <w:color w:val="000000"/>
                <w:sz w:val="18"/>
                <w:szCs w:val="18"/>
              </w:rPr>
              <w:t>CRIMINAL</w:t>
            </w:r>
          </w:p>
        </w:tc>
        <w:tc>
          <w:tcPr>
            <w:tcW w:w="278" w:type="dxa"/>
            <w:tcBorders>
              <w:top w:val="single" w:sz="4" w:space="0" w:color="auto"/>
              <w:bottom w:val="single" w:sz="4" w:space="0" w:color="auto"/>
            </w:tcBorders>
            <w:shd w:val="clear" w:color="auto" w:fill="D9D9D9" w:themeFill="background1" w:themeFillShade="D9"/>
            <w:noWrap/>
            <w:vAlign w:val="center"/>
            <w:hideMark/>
          </w:tcPr>
          <w:p w14:paraId="215B5325"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47916A43"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30A6728B"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7C850F0A"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179EFCF4"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495ADC1B"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134" w:type="dxa"/>
            <w:tcBorders>
              <w:top w:val="single" w:sz="4" w:space="0" w:color="auto"/>
              <w:bottom w:val="single" w:sz="4" w:space="0" w:color="auto"/>
            </w:tcBorders>
            <w:shd w:val="clear" w:color="auto" w:fill="D9D9D9" w:themeFill="background1" w:themeFillShade="D9"/>
            <w:noWrap/>
            <w:vAlign w:val="center"/>
            <w:hideMark/>
          </w:tcPr>
          <w:p w14:paraId="3DBACBE1"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r>
      <w:tr w:rsidR="00FD6F91" w:rsidRPr="00847FAE" w14:paraId="2A56C220" w14:textId="77777777" w:rsidTr="001F1F60">
        <w:trPr>
          <w:cantSplit/>
          <w:trHeight w:val="20"/>
        </w:trPr>
        <w:tc>
          <w:tcPr>
            <w:tcW w:w="2972" w:type="dxa"/>
            <w:gridSpan w:val="4"/>
            <w:tcBorders>
              <w:top w:val="single" w:sz="4" w:space="0" w:color="auto"/>
            </w:tcBorders>
            <w:noWrap/>
            <w:vAlign w:val="center"/>
          </w:tcPr>
          <w:p w14:paraId="37F6DCA1"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Magistrates Court</w:t>
            </w:r>
          </w:p>
        </w:tc>
        <w:tc>
          <w:tcPr>
            <w:tcW w:w="992" w:type="dxa"/>
            <w:tcBorders>
              <w:top w:val="single" w:sz="4" w:space="0" w:color="auto"/>
            </w:tcBorders>
            <w:noWrap/>
            <w:vAlign w:val="center"/>
          </w:tcPr>
          <w:p w14:paraId="147AE43B" w14:textId="77777777" w:rsidR="00FD6F91" w:rsidRPr="00847FAE" w:rsidRDefault="00FD6F91" w:rsidP="00FD6F91">
            <w:pPr>
              <w:jc w:val="center"/>
              <w:rPr>
                <w:rFonts w:cs="Calibri"/>
                <w:color w:val="000000"/>
                <w:sz w:val="18"/>
                <w:szCs w:val="18"/>
              </w:rPr>
            </w:pPr>
            <w:r w:rsidRPr="00847FAE">
              <w:rPr>
                <w:rFonts w:cs="Calibri"/>
                <w:color w:val="000000"/>
                <w:sz w:val="18"/>
                <w:szCs w:val="18"/>
              </w:rPr>
              <w:t>94.3</w:t>
            </w:r>
          </w:p>
        </w:tc>
        <w:tc>
          <w:tcPr>
            <w:tcW w:w="993" w:type="dxa"/>
            <w:tcBorders>
              <w:top w:val="single" w:sz="4" w:space="0" w:color="auto"/>
            </w:tcBorders>
            <w:noWrap/>
            <w:vAlign w:val="center"/>
          </w:tcPr>
          <w:p w14:paraId="499279CF" w14:textId="77777777" w:rsidR="00FD6F91" w:rsidRPr="00847FAE" w:rsidRDefault="00FD6F91" w:rsidP="00FD6F91">
            <w:pPr>
              <w:jc w:val="center"/>
              <w:rPr>
                <w:rFonts w:cs="Calibri"/>
                <w:color w:val="000000"/>
                <w:sz w:val="18"/>
                <w:szCs w:val="18"/>
              </w:rPr>
            </w:pPr>
            <w:r w:rsidRPr="00847FAE">
              <w:rPr>
                <w:rFonts w:cs="Calibri"/>
                <w:color w:val="000000"/>
                <w:sz w:val="18"/>
                <w:szCs w:val="18"/>
              </w:rPr>
              <w:t>91.9</w:t>
            </w:r>
          </w:p>
        </w:tc>
        <w:tc>
          <w:tcPr>
            <w:tcW w:w="992" w:type="dxa"/>
            <w:tcBorders>
              <w:top w:val="single" w:sz="4" w:space="0" w:color="auto"/>
            </w:tcBorders>
            <w:noWrap/>
            <w:vAlign w:val="center"/>
          </w:tcPr>
          <w:p w14:paraId="1357D3E4" w14:textId="77777777" w:rsidR="00FD6F91" w:rsidRPr="00847FAE" w:rsidRDefault="00FD6F91" w:rsidP="00FD6F91">
            <w:pPr>
              <w:jc w:val="center"/>
              <w:rPr>
                <w:rFonts w:cs="Calibri"/>
                <w:color w:val="000000"/>
                <w:sz w:val="18"/>
                <w:szCs w:val="18"/>
              </w:rPr>
            </w:pPr>
            <w:r w:rsidRPr="00847FAE">
              <w:rPr>
                <w:rFonts w:cs="Calibri"/>
                <w:color w:val="000000"/>
                <w:sz w:val="18"/>
                <w:szCs w:val="18"/>
              </w:rPr>
              <w:t>95.7</w:t>
            </w:r>
          </w:p>
        </w:tc>
        <w:tc>
          <w:tcPr>
            <w:tcW w:w="992" w:type="dxa"/>
            <w:tcBorders>
              <w:top w:val="single" w:sz="4" w:space="0" w:color="auto"/>
            </w:tcBorders>
            <w:noWrap/>
            <w:vAlign w:val="center"/>
          </w:tcPr>
          <w:p w14:paraId="2B689591" w14:textId="77777777" w:rsidR="00FD6F91" w:rsidRPr="00847FAE" w:rsidRDefault="00FD6F91" w:rsidP="00FD6F91">
            <w:pPr>
              <w:jc w:val="center"/>
              <w:rPr>
                <w:rFonts w:cs="Calibri"/>
                <w:color w:val="000000"/>
                <w:sz w:val="18"/>
                <w:szCs w:val="18"/>
              </w:rPr>
            </w:pPr>
            <w:r w:rsidRPr="00847FAE">
              <w:rPr>
                <w:rFonts w:cs="Calibri"/>
                <w:color w:val="000000"/>
                <w:sz w:val="18"/>
                <w:szCs w:val="18"/>
              </w:rPr>
              <w:t>92.2</w:t>
            </w:r>
          </w:p>
        </w:tc>
        <w:tc>
          <w:tcPr>
            <w:tcW w:w="992" w:type="dxa"/>
            <w:tcBorders>
              <w:top w:val="single" w:sz="4" w:space="0" w:color="auto"/>
            </w:tcBorders>
            <w:noWrap/>
            <w:vAlign w:val="center"/>
          </w:tcPr>
          <w:p w14:paraId="663E96F1" w14:textId="77777777" w:rsidR="00FD6F91" w:rsidRPr="00847FAE" w:rsidRDefault="00FD6F91" w:rsidP="00FD6F91">
            <w:pPr>
              <w:jc w:val="center"/>
              <w:rPr>
                <w:rFonts w:cs="Calibri"/>
                <w:color w:val="000000"/>
                <w:sz w:val="18"/>
                <w:szCs w:val="18"/>
              </w:rPr>
            </w:pPr>
            <w:r w:rsidRPr="00847FAE">
              <w:rPr>
                <w:rFonts w:cs="Calibri"/>
                <w:color w:val="000000"/>
                <w:sz w:val="18"/>
                <w:szCs w:val="18"/>
              </w:rPr>
              <w:t>100.9</w:t>
            </w:r>
          </w:p>
        </w:tc>
        <w:tc>
          <w:tcPr>
            <w:tcW w:w="1134" w:type="dxa"/>
            <w:tcBorders>
              <w:top w:val="single" w:sz="4" w:space="0" w:color="auto"/>
            </w:tcBorders>
            <w:noWrap/>
            <w:vAlign w:val="center"/>
          </w:tcPr>
          <w:p w14:paraId="0A318F65" w14:textId="77777777" w:rsidR="00FD6F91" w:rsidRPr="00847FAE" w:rsidRDefault="00FD6F91" w:rsidP="00FD6F91">
            <w:pPr>
              <w:jc w:val="center"/>
              <w:rPr>
                <w:rFonts w:cs="Calibri"/>
                <w:color w:val="000000"/>
                <w:sz w:val="18"/>
                <w:szCs w:val="18"/>
              </w:rPr>
            </w:pPr>
            <w:r w:rsidRPr="00847FAE">
              <w:rPr>
                <w:rFonts w:cs="Calibri"/>
                <w:color w:val="000000"/>
                <w:sz w:val="18"/>
                <w:szCs w:val="18"/>
              </w:rPr>
              <w:t>8.7 pp</w:t>
            </w:r>
          </w:p>
        </w:tc>
      </w:tr>
      <w:tr w:rsidR="00FD6F91" w:rsidRPr="00847FAE" w14:paraId="7B322F78" w14:textId="77777777" w:rsidTr="001F1F60">
        <w:trPr>
          <w:cantSplit/>
          <w:trHeight w:val="20"/>
        </w:trPr>
        <w:tc>
          <w:tcPr>
            <w:tcW w:w="2972" w:type="dxa"/>
            <w:gridSpan w:val="4"/>
            <w:tcBorders>
              <w:bottom w:val="single" w:sz="4" w:space="0" w:color="auto"/>
            </w:tcBorders>
            <w:noWrap/>
            <w:vAlign w:val="center"/>
            <w:hideMark/>
          </w:tcPr>
          <w:p w14:paraId="5D621473" w14:textId="77777777" w:rsidR="00FD6F91" w:rsidRPr="00847FAE" w:rsidRDefault="00FD6F91" w:rsidP="00FD6F91">
            <w:pPr>
              <w:keepNext/>
              <w:rPr>
                <w:rFonts w:cs="Calibri"/>
                <w:color w:val="000000"/>
                <w:sz w:val="18"/>
                <w:szCs w:val="18"/>
              </w:rPr>
            </w:pPr>
            <w:r w:rsidRPr="00847FAE">
              <w:rPr>
                <w:rFonts w:cs="Calibri"/>
                <w:iCs/>
                <w:color w:val="000000"/>
                <w:sz w:val="18"/>
                <w:szCs w:val="18"/>
              </w:rPr>
              <w:t>Youth Justice Court</w:t>
            </w:r>
          </w:p>
        </w:tc>
        <w:tc>
          <w:tcPr>
            <w:tcW w:w="992" w:type="dxa"/>
            <w:tcBorders>
              <w:bottom w:val="single" w:sz="4" w:space="0" w:color="auto"/>
            </w:tcBorders>
            <w:noWrap/>
            <w:vAlign w:val="center"/>
          </w:tcPr>
          <w:p w14:paraId="16B75CEB" w14:textId="77777777" w:rsidR="00FD6F91" w:rsidRPr="00847FAE" w:rsidRDefault="00FD6F91" w:rsidP="00FD6F91">
            <w:pPr>
              <w:jc w:val="center"/>
              <w:rPr>
                <w:rFonts w:cs="Calibri"/>
                <w:color w:val="000000"/>
                <w:sz w:val="18"/>
                <w:szCs w:val="18"/>
              </w:rPr>
            </w:pPr>
            <w:r w:rsidRPr="00847FAE">
              <w:rPr>
                <w:rFonts w:cs="Calibri"/>
                <w:color w:val="000000"/>
                <w:sz w:val="18"/>
                <w:szCs w:val="18"/>
              </w:rPr>
              <w:t>101.2</w:t>
            </w:r>
          </w:p>
        </w:tc>
        <w:tc>
          <w:tcPr>
            <w:tcW w:w="993" w:type="dxa"/>
            <w:tcBorders>
              <w:bottom w:val="single" w:sz="4" w:space="0" w:color="auto"/>
            </w:tcBorders>
            <w:noWrap/>
            <w:vAlign w:val="center"/>
          </w:tcPr>
          <w:p w14:paraId="13744E62" w14:textId="77777777" w:rsidR="00FD6F91" w:rsidRPr="00847FAE" w:rsidRDefault="00FD6F91" w:rsidP="00FD6F91">
            <w:pPr>
              <w:jc w:val="center"/>
              <w:rPr>
                <w:rFonts w:cs="Calibri"/>
                <w:color w:val="000000"/>
                <w:sz w:val="18"/>
                <w:szCs w:val="18"/>
              </w:rPr>
            </w:pPr>
            <w:r w:rsidRPr="00847FAE">
              <w:rPr>
                <w:rFonts w:cs="Calibri"/>
                <w:color w:val="000000"/>
                <w:sz w:val="18"/>
                <w:szCs w:val="18"/>
              </w:rPr>
              <w:t>98.9</w:t>
            </w:r>
          </w:p>
        </w:tc>
        <w:tc>
          <w:tcPr>
            <w:tcW w:w="992" w:type="dxa"/>
            <w:tcBorders>
              <w:bottom w:val="single" w:sz="4" w:space="0" w:color="auto"/>
            </w:tcBorders>
            <w:noWrap/>
            <w:vAlign w:val="center"/>
          </w:tcPr>
          <w:p w14:paraId="6FEFC31D" w14:textId="77777777" w:rsidR="00FD6F91" w:rsidRPr="00847FAE" w:rsidRDefault="00FD6F91" w:rsidP="00FD6F91">
            <w:pPr>
              <w:jc w:val="center"/>
              <w:rPr>
                <w:rFonts w:cs="Calibri"/>
                <w:color w:val="000000"/>
                <w:sz w:val="18"/>
                <w:szCs w:val="18"/>
              </w:rPr>
            </w:pPr>
            <w:r w:rsidRPr="00847FAE">
              <w:rPr>
                <w:rFonts w:cs="Calibri"/>
                <w:color w:val="000000"/>
                <w:sz w:val="18"/>
                <w:szCs w:val="18"/>
              </w:rPr>
              <w:t>103.7</w:t>
            </w:r>
          </w:p>
        </w:tc>
        <w:tc>
          <w:tcPr>
            <w:tcW w:w="992" w:type="dxa"/>
            <w:tcBorders>
              <w:bottom w:val="single" w:sz="4" w:space="0" w:color="auto"/>
            </w:tcBorders>
            <w:noWrap/>
            <w:vAlign w:val="center"/>
          </w:tcPr>
          <w:p w14:paraId="5C1D349B" w14:textId="77777777" w:rsidR="00FD6F91" w:rsidRPr="00847FAE" w:rsidRDefault="00FD6F91" w:rsidP="00FD6F91">
            <w:pPr>
              <w:jc w:val="center"/>
              <w:rPr>
                <w:rFonts w:cs="Calibri"/>
                <w:color w:val="000000"/>
                <w:sz w:val="18"/>
                <w:szCs w:val="18"/>
              </w:rPr>
            </w:pPr>
            <w:r w:rsidRPr="00847FAE">
              <w:rPr>
                <w:rFonts w:cs="Calibri"/>
                <w:color w:val="000000"/>
                <w:sz w:val="18"/>
                <w:szCs w:val="18"/>
              </w:rPr>
              <w:t>86.5</w:t>
            </w:r>
          </w:p>
        </w:tc>
        <w:tc>
          <w:tcPr>
            <w:tcW w:w="992" w:type="dxa"/>
            <w:tcBorders>
              <w:bottom w:val="single" w:sz="4" w:space="0" w:color="auto"/>
            </w:tcBorders>
            <w:noWrap/>
            <w:vAlign w:val="center"/>
          </w:tcPr>
          <w:p w14:paraId="67780EEC" w14:textId="77777777" w:rsidR="00FD6F91" w:rsidRPr="00847FAE" w:rsidRDefault="00FD6F91" w:rsidP="00FD6F91">
            <w:pPr>
              <w:jc w:val="center"/>
              <w:rPr>
                <w:rFonts w:cs="Calibri"/>
                <w:color w:val="000000"/>
                <w:sz w:val="18"/>
                <w:szCs w:val="18"/>
              </w:rPr>
            </w:pPr>
            <w:r w:rsidRPr="00847FAE">
              <w:rPr>
                <w:rFonts w:cs="Calibri"/>
                <w:color w:val="000000"/>
                <w:sz w:val="18"/>
                <w:szCs w:val="18"/>
              </w:rPr>
              <w:t>98.3</w:t>
            </w:r>
          </w:p>
        </w:tc>
        <w:tc>
          <w:tcPr>
            <w:tcW w:w="1134" w:type="dxa"/>
            <w:tcBorders>
              <w:bottom w:val="single" w:sz="4" w:space="0" w:color="auto"/>
            </w:tcBorders>
            <w:noWrap/>
            <w:vAlign w:val="center"/>
          </w:tcPr>
          <w:p w14:paraId="03E1742A" w14:textId="77777777" w:rsidR="00FD6F91" w:rsidRPr="00847FAE" w:rsidRDefault="00FD6F91" w:rsidP="00FD6F91">
            <w:pPr>
              <w:jc w:val="center"/>
              <w:rPr>
                <w:rFonts w:cs="Calibri"/>
                <w:color w:val="000000"/>
                <w:sz w:val="18"/>
                <w:szCs w:val="18"/>
              </w:rPr>
            </w:pPr>
            <w:r w:rsidRPr="00847FAE">
              <w:rPr>
                <w:rFonts w:cs="Calibri"/>
                <w:color w:val="000000"/>
                <w:sz w:val="18"/>
                <w:szCs w:val="18"/>
              </w:rPr>
              <w:t>11.8 pp</w:t>
            </w:r>
          </w:p>
        </w:tc>
      </w:tr>
      <w:tr w:rsidR="00FD6F91" w:rsidRPr="00847FAE" w14:paraId="3AEDD64A" w14:textId="77777777" w:rsidTr="001F1F60">
        <w:trPr>
          <w:cantSplit/>
          <w:trHeight w:val="20"/>
        </w:trPr>
        <w:tc>
          <w:tcPr>
            <w:tcW w:w="2972" w:type="dxa"/>
            <w:gridSpan w:val="4"/>
            <w:tcBorders>
              <w:top w:val="single" w:sz="4" w:space="0" w:color="auto"/>
              <w:bottom w:val="single" w:sz="4" w:space="0" w:color="auto"/>
            </w:tcBorders>
            <w:shd w:val="clear" w:color="auto" w:fill="D9D9D9" w:themeFill="background1" w:themeFillShade="D9"/>
            <w:noWrap/>
            <w:vAlign w:val="center"/>
          </w:tcPr>
          <w:p w14:paraId="4F5401FC"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CIVIL</w:t>
            </w:r>
          </w:p>
        </w:tc>
        <w:tc>
          <w:tcPr>
            <w:tcW w:w="992" w:type="dxa"/>
            <w:tcBorders>
              <w:top w:val="single" w:sz="4" w:space="0" w:color="auto"/>
              <w:bottom w:val="single" w:sz="4" w:space="0" w:color="auto"/>
            </w:tcBorders>
            <w:shd w:val="clear" w:color="auto" w:fill="D9D9D9" w:themeFill="background1" w:themeFillShade="D9"/>
            <w:noWrap/>
            <w:vAlign w:val="center"/>
          </w:tcPr>
          <w:p w14:paraId="64DCEFE5" w14:textId="77777777" w:rsidR="00FD6F91" w:rsidRPr="00847FAE" w:rsidRDefault="00FD6F91" w:rsidP="00FD6F91">
            <w:pPr>
              <w:keepNext/>
              <w:jc w:val="right"/>
              <w:rPr>
                <w:rFonts w:cs="Calibri"/>
                <w:iCs/>
                <w:color w:val="000000"/>
                <w:sz w:val="18"/>
                <w:szCs w:val="18"/>
              </w:rPr>
            </w:pPr>
          </w:p>
        </w:tc>
        <w:tc>
          <w:tcPr>
            <w:tcW w:w="993" w:type="dxa"/>
            <w:tcBorders>
              <w:top w:val="single" w:sz="4" w:space="0" w:color="auto"/>
              <w:bottom w:val="single" w:sz="4" w:space="0" w:color="auto"/>
            </w:tcBorders>
            <w:shd w:val="clear" w:color="auto" w:fill="D9D9D9" w:themeFill="background1" w:themeFillShade="D9"/>
            <w:noWrap/>
            <w:vAlign w:val="center"/>
          </w:tcPr>
          <w:p w14:paraId="0AEC0BBF"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shd w:val="clear" w:color="auto" w:fill="D9D9D9" w:themeFill="background1" w:themeFillShade="D9"/>
            <w:noWrap/>
            <w:vAlign w:val="center"/>
          </w:tcPr>
          <w:p w14:paraId="1C8B52EA"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shd w:val="clear" w:color="auto" w:fill="D9D9D9" w:themeFill="background1" w:themeFillShade="D9"/>
            <w:noWrap/>
            <w:vAlign w:val="center"/>
          </w:tcPr>
          <w:p w14:paraId="27F89B26"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shd w:val="clear" w:color="auto" w:fill="D9D9D9" w:themeFill="background1" w:themeFillShade="D9"/>
            <w:noWrap/>
            <w:vAlign w:val="center"/>
          </w:tcPr>
          <w:p w14:paraId="0764C6DE" w14:textId="77777777" w:rsidR="00FD6F91" w:rsidRPr="00847FAE" w:rsidRDefault="00FD6F91" w:rsidP="00FD6F91">
            <w:pPr>
              <w:keepNext/>
              <w:jc w:val="right"/>
              <w:rPr>
                <w:rFonts w:cs="Calibri"/>
                <w:iCs/>
                <w:color w:val="000000"/>
                <w:sz w:val="18"/>
                <w:szCs w:val="18"/>
              </w:rPr>
            </w:pPr>
          </w:p>
        </w:tc>
        <w:tc>
          <w:tcPr>
            <w:tcW w:w="1134" w:type="dxa"/>
            <w:tcBorders>
              <w:top w:val="single" w:sz="4" w:space="0" w:color="auto"/>
              <w:bottom w:val="single" w:sz="4" w:space="0" w:color="auto"/>
            </w:tcBorders>
            <w:shd w:val="clear" w:color="auto" w:fill="D9D9D9" w:themeFill="background1" w:themeFillShade="D9"/>
            <w:noWrap/>
            <w:vAlign w:val="center"/>
          </w:tcPr>
          <w:p w14:paraId="402DDFC1" w14:textId="77777777" w:rsidR="00FD6F91" w:rsidRPr="00847FAE" w:rsidRDefault="00FD6F91" w:rsidP="00FD6F91">
            <w:pPr>
              <w:keepNext/>
              <w:jc w:val="center"/>
              <w:rPr>
                <w:rFonts w:cs="Calibri"/>
                <w:iCs/>
                <w:color w:val="000000"/>
                <w:sz w:val="18"/>
                <w:szCs w:val="18"/>
              </w:rPr>
            </w:pPr>
          </w:p>
        </w:tc>
      </w:tr>
      <w:tr w:rsidR="00FD6F91" w:rsidRPr="00847FAE" w14:paraId="7892ADC2" w14:textId="77777777" w:rsidTr="001F1F60">
        <w:trPr>
          <w:cantSplit/>
          <w:trHeight w:val="20"/>
        </w:trPr>
        <w:tc>
          <w:tcPr>
            <w:tcW w:w="2972" w:type="dxa"/>
            <w:gridSpan w:val="4"/>
            <w:tcBorders>
              <w:top w:val="single" w:sz="4" w:space="0" w:color="auto"/>
            </w:tcBorders>
            <w:noWrap/>
            <w:vAlign w:val="center"/>
          </w:tcPr>
          <w:p w14:paraId="5142B34B"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Civil Magistrates Court</w:t>
            </w:r>
          </w:p>
        </w:tc>
        <w:tc>
          <w:tcPr>
            <w:tcW w:w="992" w:type="dxa"/>
            <w:tcBorders>
              <w:top w:val="single" w:sz="4" w:space="0" w:color="auto"/>
            </w:tcBorders>
            <w:noWrap/>
            <w:vAlign w:val="center"/>
          </w:tcPr>
          <w:p w14:paraId="06E518FE" w14:textId="77777777" w:rsidR="00FD6F91" w:rsidRPr="00847FAE" w:rsidRDefault="00FD6F91" w:rsidP="00FD6F91">
            <w:pPr>
              <w:jc w:val="center"/>
              <w:rPr>
                <w:rFonts w:cs="Calibri"/>
                <w:color w:val="000000"/>
                <w:sz w:val="18"/>
                <w:szCs w:val="18"/>
              </w:rPr>
            </w:pPr>
            <w:r w:rsidRPr="00847FAE">
              <w:rPr>
                <w:rFonts w:cs="Calibri"/>
                <w:color w:val="000000"/>
                <w:sz w:val="18"/>
                <w:szCs w:val="18"/>
              </w:rPr>
              <w:t>108.9</w:t>
            </w:r>
          </w:p>
        </w:tc>
        <w:tc>
          <w:tcPr>
            <w:tcW w:w="993" w:type="dxa"/>
            <w:tcBorders>
              <w:top w:val="single" w:sz="4" w:space="0" w:color="auto"/>
            </w:tcBorders>
            <w:noWrap/>
            <w:vAlign w:val="center"/>
          </w:tcPr>
          <w:p w14:paraId="1DFC8C76" w14:textId="77777777" w:rsidR="00FD6F91" w:rsidRPr="00847FAE" w:rsidRDefault="00FD6F91" w:rsidP="00FD6F91">
            <w:pPr>
              <w:jc w:val="center"/>
              <w:rPr>
                <w:rFonts w:cs="Calibri"/>
                <w:color w:val="000000"/>
                <w:sz w:val="18"/>
                <w:szCs w:val="18"/>
              </w:rPr>
            </w:pPr>
            <w:r w:rsidRPr="00847FAE">
              <w:rPr>
                <w:rFonts w:cs="Calibri"/>
                <w:color w:val="000000"/>
                <w:sz w:val="18"/>
                <w:szCs w:val="18"/>
              </w:rPr>
              <w:t>106.8</w:t>
            </w:r>
          </w:p>
        </w:tc>
        <w:tc>
          <w:tcPr>
            <w:tcW w:w="992" w:type="dxa"/>
            <w:tcBorders>
              <w:top w:val="single" w:sz="4" w:space="0" w:color="auto"/>
            </w:tcBorders>
            <w:noWrap/>
            <w:vAlign w:val="center"/>
          </w:tcPr>
          <w:p w14:paraId="7CA54994" w14:textId="77777777" w:rsidR="00FD6F91" w:rsidRPr="00847FAE" w:rsidRDefault="00FD6F91" w:rsidP="00FD6F91">
            <w:pPr>
              <w:jc w:val="center"/>
              <w:rPr>
                <w:rFonts w:cs="Calibri"/>
                <w:color w:val="000000"/>
                <w:sz w:val="18"/>
                <w:szCs w:val="18"/>
              </w:rPr>
            </w:pPr>
            <w:r w:rsidRPr="00847FAE">
              <w:rPr>
                <w:rFonts w:cs="Calibri"/>
                <w:color w:val="000000"/>
                <w:sz w:val="18"/>
                <w:szCs w:val="18"/>
              </w:rPr>
              <w:t>104.0</w:t>
            </w:r>
          </w:p>
        </w:tc>
        <w:tc>
          <w:tcPr>
            <w:tcW w:w="992" w:type="dxa"/>
            <w:tcBorders>
              <w:top w:val="single" w:sz="4" w:space="0" w:color="auto"/>
            </w:tcBorders>
            <w:noWrap/>
            <w:vAlign w:val="center"/>
          </w:tcPr>
          <w:p w14:paraId="6C04B43D" w14:textId="77777777" w:rsidR="00FD6F91" w:rsidRPr="00847FAE" w:rsidRDefault="00FD6F91" w:rsidP="00FD6F91">
            <w:pPr>
              <w:jc w:val="center"/>
              <w:rPr>
                <w:rFonts w:cs="Calibri"/>
                <w:color w:val="000000"/>
                <w:sz w:val="18"/>
                <w:szCs w:val="18"/>
              </w:rPr>
            </w:pPr>
            <w:r w:rsidRPr="00847FAE">
              <w:rPr>
                <w:rFonts w:cs="Calibri"/>
                <w:color w:val="000000"/>
                <w:sz w:val="18"/>
                <w:szCs w:val="18"/>
              </w:rPr>
              <w:t>104.5</w:t>
            </w:r>
          </w:p>
        </w:tc>
        <w:tc>
          <w:tcPr>
            <w:tcW w:w="992" w:type="dxa"/>
            <w:tcBorders>
              <w:top w:val="single" w:sz="4" w:space="0" w:color="auto"/>
            </w:tcBorders>
            <w:noWrap/>
            <w:vAlign w:val="center"/>
          </w:tcPr>
          <w:p w14:paraId="0B838392" w14:textId="77777777" w:rsidR="00FD6F91" w:rsidRPr="00847FAE" w:rsidRDefault="00FD6F91" w:rsidP="00FD6F91">
            <w:pPr>
              <w:jc w:val="center"/>
              <w:rPr>
                <w:rFonts w:cs="Calibri"/>
                <w:color w:val="000000"/>
                <w:sz w:val="18"/>
                <w:szCs w:val="18"/>
              </w:rPr>
            </w:pPr>
            <w:r w:rsidRPr="00847FAE">
              <w:rPr>
                <w:rFonts w:cs="Calibri"/>
                <w:color w:val="000000"/>
                <w:sz w:val="18"/>
                <w:szCs w:val="18"/>
              </w:rPr>
              <w:t>99.2</w:t>
            </w:r>
          </w:p>
        </w:tc>
        <w:tc>
          <w:tcPr>
            <w:tcW w:w="1134" w:type="dxa"/>
            <w:tcBorders>
              <w:top w:val="single" w:sz="4" w:space="0" w:color="auto"/>
            </w:tcBorders>
            <w:noWrap/>
            <w:vAlign w:val="center"/>
          </w:tcPr>
          <w:p w14:paraId="4F5B31CF" w14:textId="77777777" w:rsidR="00FD6F91" w:rsidRPr="00847FAE" w:rsidRDefault="00FD6F91" w:rsidP="00FD6F91">
            <w:pPr>
              <w:jc w:val="center"/>
              <w:rPr>
                <w:rFonts w:cs="Calibri"/>
                <w:color w:val="000000"/>
                <w:sz w:val="18"/>
                <w:szCs w:val="18"/>
              </w:rPr>
            </w:pPr>
            <w:r w:rsidRPr="00847FAE">
              <w:rPr>
                <w:rFonts w:cs="Calibri"/>
                <w:color w:val="000000"/>
                <w:sz w:val="18"/>
                <w:szCs w:val="18"/>
              </w:rPr>
              <w:t>-5.3 pp</w:t>
            </w:r>
          </w:p>
        </w:tc>
      </w:tr>
      <w:tr w:rsidR="00FD6F91" w:rsidRPr="00847FAE" w14:paraId="3458CC38" w14:textId="77777777" w:rsidTr="001F1F60">
        <w:trPr>
          <w:cantSplit/>
          <w:trHeight w:val="20"/>
        </w:trPr>
        <w:tc>
          <w:tcPr>
            <w:tcW w:w="2972" w:type="dxa"/>
            <w:gridSpan w:val="4"/>
            <w:noWrap/>
            <w:vAlign w:val="center"/>
          </w:tcPr>
          <w:p w14:paraId="2E20EA55"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Children’s Court </w:t>
            </w:r>
          </w:p>
        </w:tc>
        <w:tc>
          <w:tcPr>
            <w:tcW w:w="992" w:type="dxa"/>
            <w:noWrap/>
            <w:vAlign w:val="center"/>
          </w:tcPr>
          <w:p w14:paraId="3FCA8649" w14:textId="77777777" w:rsidR="00FD6F91" w:rsidRPr="00847FAE" w:rsidRDefault="00FD6F91" w:rsidP="00FD6F91">
            <w:pPr>
              <w:jc w:val="center"/>
              <w:rPr>
                <w:rFonts w:cs="Calibri"/>
                <w:color w:val="000000"/>
                <w:sz w:val="18"/>
                <w:szCs w:val="18"/>
              </w:rPr>
            </w:pPr>
            <w:r w:rsidRPr="00847FAE">
              <w:rPr>
                <w:rFonts w:cs="Calibri"/>
                <w:color w:val="000000"/>
                <w:sz w:val="18"/>
                <w:szCs w:val="18"/>
              </w:rPr>
              <w:t>97.5</w:t>
            </w:r>
          </w:p>
        </w:tc>
        <w:tc>
          <w:tcPr>
            <w:tcW w:w="993" w:type="dxa"/>
            <w:noWrap/>
            <w:vAlign w:val="center"/>
          </w:tcPr>
          <w:p w14:paraId="578E7C54" w14:textId="77777777" w:rsidR="00FD6F91" w:rsidRPr="00847FAE" w:rsidRDefault="00FD6F91" w:rsidP="00FD6F91">
            <w:pPr>
              <w:jc w:val="center"/>
              <w:rPr>
                <w:rFonts w:cs="Calibri"/>
                <w:color w:val="000000"/>
                <w:sz w:val="18"/>
                <w:szCs w:val="18"/>
              </w:rPr>
            </w:pPr>
            <w:r w:rsidRPr="00847FAE">
              <w:rPr>
                <w:rFonts w:cs="Calibri"/>
                <w:color w:val="000000"/>
                <w:sz w:val="18"/>
                <w:szCs w:val="18"/>
              </w:rPr>
              <w:t>121.2</w:t>
            </w:r>
          </w:p>
        </w:tc>
        <w:tc>
          <w:tcPr>
            <w:tcW w:w="992" w:type="dxa"/>
            <w:noWrap/>
            <w:vAlign w:val="center"/>
          </w:tcPr>
          <w:p w14:paraId="10448C3E" w14:textId="77777777" w:rsidR="00FD6F91" w:rsidRPr="00847FAE" w:rsidRDefault="00FD6F91" w:rsidP="00FD6F91">
            <w:pPr>
              <w:jc w:val="center"/>
              <w:rPr>
                <w:rFonts w:cs="Calibri"/>
                <w:color w:val="000000"/>
                <w:sz w:val="18"/>
                <w:szCs w:val="18"/>
              </w:rPr>
            </w:pPr>
            <w:r w:rsidRPr="00847FAE">
              <w:rPr>
                <w:rFonts w:cs="Calibri"/>
                <w:color w:val="000000"/>
                <w:sz w:val="18"/>
                <w:szCs w:val="18"/>
              </w:rPr>
              <w:t>100.9</w:t>
            </w:r>
          </w:p>
        </w:tc>
        <w:tc>
          <w:tcPr>
            <w:tcW w:w="992" w:type="dxa"/>
            <w:noWrap/>
            <w:vAlign w:val="center"/>
          </w:tcPr>
          <w:p w14:paraId="30C4E551" w14:textId="77777777" w:rsidR="00FD6F91" w:rsidRPr="00847FAE" w:rsidRDefault="00FD6F91" w:rsidP="00FD6F91">
            <w:pPr>
              <w:jc w:val="center"/>
              <w:rPr>
                <w:rFonts w:cs="Calibri"/>
                <w:color w:val="000000"/>
                <w:sz w:val="18"/>
                <w:szCs w:val="18"/>
              </w:rPr>
            </w:pPr>
            <w:r w:rsidRPr="00847FAE">
              <w:rPr>
                <w:rFonts w:cs="Calibri"/>
                <w:color w:val="000000"/>
                <w:sz w:val="18"/>
                <w:szCs w:val="18"/>
              </w:rPr>
              <w:t>107.6</w:t>
            </w:r>
          </w:p>
        </w:tc>
        <w:tc>
          <w:tcPr>
            <w:tcW w:w="992" w:type="dxa"/>
            <w:noWrap/>
            <w:vAlign w:val="center"/>
          </w:tcPr>
          <w:p w14:paraId="0C9E1026" w14:textId="77777777" w:rsidR="00FD6F91" w:rsidRPr="00847FAE" w:rsidRDefault="00FD6F91" w:rsidP="00FD6F91">
            <w:pPr>
              <w:jc w:val="center"/>
              <w:rPr>
                <w:rFonts w:cs="Calibri"/>
                <w:color w:val="000000"/>
                <w:sz w:val="18"/>
                <w:szCs w:val="18"/>
              </w:rPr>
            </w:pPr>
            <w:r w:rsidRPr="00847FAE">
              <w:rPr>
                <w:rFonts w:cs="Calibri"/>
                <w:color w:val="000000"/>
                <w:sz w:val="18"/>
                <w:szCs w:val="18"/>
              </w:rPr>
              <w:t>116.3</w:t>
            </w:r>
          </w:p>
        </w:tc>
        <w:tc>
          <w:tcPr>
            <w:tcW w:w="1134" w:type="dxa"/>
            <w:noWrap/>
            <w:vAlign w:val="center"/>
          </w:tcPr>
          <w:p w14:paraId="26DE2C5E" w14:textId="77777777" w:rsidR="00FD6F91" w:rsidRPr="00847FAE" w:rsidRDefault="00FD6F91" w:rsidP="00FD6F91">
            <w:pPr>
              <w:jc w:val="center"/>
              <w:rPr>
                <w:rFonts w:cs="Calibri"/>
                <w:color w:val="000000"/>
                <w:sz w:val="18"/>
                <w:szCs w:val="18"/>
              </w:rPr>
            </w:pPr>
            <w:r w:rsidRPr="00847FAE">
              <w:rPr>
                <w:rFonts w:cs="Calibri"/>
                <w:color w:val="000000"/>
                <w:sz w:val="18"/>
                <w:szCs w:val="18"/>
              </w:rPr>
              <w:t>8.7 pp</w:t>
            </w:r>
          </w:p>
        </w:tc>
      </w:tr>
      <w:tr w:rsidR="00FD6F91" w:rsidRPr="00847FAE" w14:paraId="352D0C42" w14:textId="77777777" w:rsidTr="001F1F60">
        <w:trPr>
          <w:cantSplit/>
          <w:trHeight w:val="20"/>
        </w:trPr>
        <w:tc>
          <w:tcPr>
            <w:tcW w:w="2972" w:type="dxa"/>
            <w:gridSpan w:val="4"/>
            <w:tcBorders>
              <w:bottom w:val="single" w:sz="4" w:space="0" w:color="auto"/>
            </w:tcBorders>
            <w:noWrap/>
            <w:vAlign w:val="center"/>
          </w:tcPr>
          <w:p w14:paraId="4D9F516A"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Coroner’s Court</w:t>
            </w:r>
          </w:p>
        </w:tc>
        <w:tc>
          <w:tcPr>
            <w:tcW w:w="992" w:type="dxa"/>
            <w:tcBorders>
              <w:bottom w:val="single" w:sz="4" w:space="0" w:color="auto"/>
            </w:tcBorders>
            <w:noWrap/>
            <w:vAlign w:val="center"/>
          </w:tcPr>
          <w:p w14:paraId="74033DE0" w14:textId="77777777" w:rsidR="00FD6F91" w:rsidRPr="00847FAE" w:rsidRDefault="00FD6F91" w:rsidP="00FD6F91">
            <w:pPr>
              <w:jc w:val="center"/>
              <w:rPr>
                <w:rFonts w:cs="Calibri"/>
                <w:color w:val="000000"/>
                <w:sz w:val="18"/>
                <w:szCs w:val="18"/>
              </w:rPr>
            </w:pPr>
            <w:r w:rsidRPr="00847FAE">
              <w:rPr>
                <w:rFonts w:cs="Calibri"/>
                <w:color w:val="000000"/>
                <w:sz w:val="18"/>
                <w:szCs w:val="18"/>
              </w:rPr>
              <w:t>92.3</w:t>
            </w:r>
          </w:p>
        </w:tc>
        <w:tc>
          <w:tcPr>
            <w:tcW w:w="993" w:type="dxa"/>
            <w:tcBorders>
              <w:bottom w:val="single" w:sz="4" w:space="0" w:color="auto"/>
            </w:tcBorders>
            <w:noWrap/>
            <w:vAlign w:val="center"/>
          </w:tcPr>
          <w:p w14:paraId="3B69A992" w14:textId="77777777" w:rsidR="00FD6F91" w:rsidRPr="00847FAE" w:rsidRDefault="00FD6F91" w:rsidP="00FD6F91">
            <w:pPr>
              <w:jc w:val="center"/>
              <w:rPr>
                <w:rFonts w:cs="Calibri"/>
                <w:color w:val="000000"/>
                <w:sz w:val="18"/>
                <w:szCs w:val="18"/>
              </w:rPr>
            </w:pPr>
            <w:r w:rsidRPr="00847FAE">
              <w:rPr>
                <w:rFonts w:cs="Calibri"/>
                <w:color w:val="000000"/>
                <w:sz w:val="18"/>
                <w:szCs w:val="18"/>
              </w:rPr>
              <w:t>90.2</w:t>
            </w:r>
          </w:p>
        </w:tc>
        <w:tc>
          <w:tcPr>
            <w:tcW w:w="992" w:type="dxa"/>
            <w:tcBorders>
              <w:bottom w:val="single" w:sz="4" w:space="0" w:color="auto"/>
            </w:tcBorders>
            <w:noWrap/>
            <w:vAlign w:val="center"/>
          </w:tcPr>
          <w:p w14:paraId="5F9B0ECB" w14:textId="77777777" w:rsidR="00FD6F91" w:rsidRPr="00847FAE" w:rsidRDefault="00FD6F91" w:rsidP="00FD6F91">
            <w:pPr>
              <w:jc w:val="center"/>
              <w:rPr>
                <w:rFonts w:cs="Calibri"/>
                <w:color w:val="000000"/>
                <w:sz w:val="18"/>
                <w:szCs w:val="18"/>
              </w:rPr>
            </w:pPr>
            <w:r w:rsidRPr="00847FAE">
              <w:rPr>
                <w:rFonts w:cs="Calibri"/>
                <w:color w:val="000000"/>
                <w:sz w:val="18"/>
                <w:szCs w:val="18"/>
              </w:rPr>
              <w:t>87.0</w:t>
            </w:r>
          </w:p>
        </w:tc>
        <w:tc>
          <w:tcPr>
            <w:tcW w:w="992" w:type="dxa"/>
            <w:tcBorders>
              <w:bottom w:val="single" w:sz="4" w:space="0" w:color="auto"/>
            </w:tcBorders>
            <w:noWrap/>
            <w:vAlign w:val="center"/>
          </w:tcPr>
          <w:p w14:paraId="5A9369E5" w14:textId="77777777" w:rsidR="00FD6F91" w:rsidRPr="00847FAE" w:rsidRDefault="00FD6F91" w:rsidP="00FD6F91">
            <w:pPr>
              <w:jc w:val="center"/>
              <w:rPr>
                <w:rFonts w:cs="Calibri"/>
                <w:color w:val="000000"/>
                <w:sz w:val="18"/>
                <w:szCs w:val="18"/>
              </w:rPr>
            </w:pPr>
            <w:r w:rsidRPr="00847FAE">
              <w:rPr>
                <w:rFonts w:cs="Calibri"/>
                <w:color w:val="000000"/>
                <w:sz w:val="18"/>
                <w:szCs w:val="18"/>
              </w:rPr>
              <w:t>100.5</w:t>
            </w:r>
          </w:p>
        </w:tc>
        <w:tc>
          <w:tcPr>
            <w:tcW w:w="992" w:type="dxa"/>
            <w:tcBorders>
              <w:bottom w:val="single" w:sz="4" w:space="0" w:color="auto"/>
            </w:tcBorders>
            <w:noWrap/>
            <w:vAlign w:val="center"/>
          </w:tcPr>
          <w:p w14:paraId="64526276" w14:textId="77777777" w:rsidR="00FD6F91" w:rsidRPr="00847FAE" w:rsidRDefault="00FD6F91" w:rsidP="00FD6F91">
            <w:pPr>
              <w:jc w:val="center"/>
              <w:rPr>
                <w:rFonts w:cs="Calibri"/>
                <w:color w:val="000000"/>
                <w:sz w:val="18"/>
                <w:szCs w:val="18"/>
              </w:rPr>
            </w:pPr>
            <w:r w:rsidRPr="00847FAE">
              <w:rPr>
                <w:rFonts w:cs="Calibri"/>
                <w:color w:val="000000"/>
                <w:sz w:val="18"/>
                <w:szCs w:val="18"/>
              </w:rPr>
              <w:t>101.2</w:t>
            </w:r>
          </w:p>
        </w:tc>
        <w:tc>
          <w:tcPr>
            <w:tcW w:w="1134" w:type="dxa"/>
            <w:tcBorders>
              <w:bottom w:val="single" w:sz="4" w:space="0" w:color="auto"/>
            </w:tcBorders>
            <w:noWrap/>
            <w:vAlign w:val="center"/>
          </w:tcPr>
          <w:p w14:paraId="479834C4" w14:textId="77777777" w:rsidR="00FD6F91" w:rsidRPr="00847FAE" w:rsidRDefault="00FD6F91" w:rsidP="00FD6F91">
            <w:pPr>
              <w:jc w:val="center"/>
              <w:rPr>
                <w:rFonts w:cs="Calibri"/>
                <w:color w:val="000000"/>
                <w:sz w:val="18"/>
                <w:szCs w:val="18"/>
              </w:rPr>
            </w:pPr>
            <w:r w:rsidRPr="00847FAE">
              <w:rPr>
                <w:rFonts w:cs="Calibri"/>
                <w:color w:val="000000"/>
                <w:sz w:val="18"/>
                <w:szCs w:val="18"/>
              </w:rPr>
              <w:t>0.7 pp</w:t>
            </w:r>
          </w:p>
        </w:tc>
      </w:tr>
      <w:tr w:rsidR="00FD6F91" w:rsidRPr="00847FAE" w14:paraId="300A3766" w14:textId="77777777" w:rsidTr="001F1F60">
        <w:trPr>
          <w:cantSplit/>
          <w:trHeight w:val="20"/>
        </w:trPr>
        <w:tc>
          <w:tcPr>
            <w:tcW w:w="9067" w:type="dxa"/>
            <w:gridSpan w:val="10"/>
            <w:tcBorders>
              <w:top w:val="single" w:sz="4" w:space="0" w:color="auto"/>
            </w:tcBorders>
            <w:noWrap/>
            <w:vAlign w:val="center"/>
          </w:tcPr>
          <w:p w14:paraId="1C3C1DA4" w14:textId="77777777" w:rsidR="00FD6F91" w:rsidRPr="00847FAE" w:rsidRDefault="00FD6F91" w:rsidP="00FD6F91">
            <w:pPr>
              <w:keepNext/>
              <w:rPr>
                <w:rFonts w:cs="Calibri"/>
                <w:iCs/>
                <w:color w:val="000000"/>
                <w:sz w:val="15"/>
                <w:szCs w:val="15"/>
              </w:rPr>
            </w:pPr>
            <w:r w:rsidRPr="00847FAE">
              <w:rPr>
                <w:rFonts w:cs="Calibri"/>
                <w:b/>
                <w:iCs/>
                <w:color w:val="000000"/>
                <w:sz w:val="15"/>
                <w:szCs w:val="15"/>
              </w:rPr>
              <w:t>pp</w:t>
            </w:r>
            <w:r w:rsidRPr="00847FAE">
              <w:rPr>
                <w:rFonts w:cs="Calibri"/>
                <w:iCs/>
                <w:color w:val="000000"/>
                <w:sz w:val="15"/>
                <w:szCs w:val="15"/>
              </w:rPr>
              <w:t xml:space="preserve"> refers to percentage points</w:t>
            </w:r>
          </w:p>
          <w:p w14:paraId="4949D200" w14:textId="77777777" w:rsidR="00FD6F91" w:rsidRPr="00847FAE" w:rsidRDefault="00FD6F91" w:rsidP="00FD6F91">
            <w:pPr>
              <w:keepNext/>
              <w:rPr>
                <w:rFonts w:cs="Calibri"/>
                <w:iCs/>
                <w:color w:val="000000"/>
                <w:sz w:val="18"/>
                <w:szCs w:val="18"/>
              </w:rPr>
            </w:pPr>
            <w:r w:rsidRPr="00847FAE">
              <w:rPr>
                <w:rFonts w:cs="Calibri"/>
                <w:i/>
                <w:color w:val="000000"/>
                <w:sz w:val="15"/>
                <w:szCs w:val="15"/>
              </w:rPr>
              <w:t>Source: CRIMESStats database, Civil Registry Management System (CRMS).</w:t>
            </w:r>
          </w:p>
        </w:tc>
      </w:tr>
    </w:tbl>
    <w:p w14:paraId="12FBFF07" w14:textId="07E20D8E" w:rsidR="00FD6F91" w:rsidRPr="00847FAE" w:rsidRDefault="00FD6F91" w:rsidP="00FD6F91">
      <w:pPr>
        <w:rPr>
          <w:rFonts w:eastAsiaTheme="minorHAnsi"/>
          <w:lang w:eastAsia="en-US"/>
        </w:rPr>
      </w:pPr>
    </w:p>
    <w:p w14:paraId="04DBA423" w14:textId="7D83B539" w:rsidR="002267ED" w:rsidRPr="00847FAE" w:rsidRDefault="002267ED" w:rsidP="00E5311F">
      <w:pPr>
        <w:pStyle w:val="Heading2"/>
      </w:pPr>
      <w:bookmarkStart w:id="399" w:name="_Toc529272655"/>
      <w:bookmarkStart w:id="400" w:name="_Toc1041203"/>
      <w:r w:rsidRPr="00847FAE">
        <w:t>Attendance index</w:t>
      </w:r>
      <w:bookmarkEnd w:id="399"/>
      <w:bookmarkEnd w:id="400"/>
    </w:p>
    <w:p w14:paraId="793494A6" w14:textId="096FF6D1" w:rsidR="002267ED" w:rsidRPr="00847FAE" w:rsidRDefault="002267ED" w:rsidP="00D83DA4">
      <w:pPr>
        <w:spacing w:before="240" w:after="240" w:line="300" w:lineRule="exact"/>
      </w:pPr>
      <w:r w:rsidRPr="00847FAE">
        <w:t xml:space="preserve">The Attendance index is based upon the number of court attendances required to resolve a matter </w:t>
      </w:r>
      <w:r w:rsidR="00D83DA4">
        <w:t xml:space="preserve">and </w:t>
      </w:r>
      <w:r w:rsidRPr="00847FAE">
        <w:t>has been identified nationally as an approp</w:t>
      </w:r>
      <w:r w:rsidR="001E13D1">
        <w:t xml:space="preserve">riate effectiveness measure. </w:t>
      </w:r>
      <w:r w:rsidRPr="00847FAE">
        <w:t xml:space="preserve"> Table </w:t>
      </w:r>
      <w:r w:rsidR="001E13D1">
        <w:t>20</w:t>
      </w:r>
      <w:r w:rsidRPr="00847FAE">
        <w:t xml:space="preserve"> shows the Court’s performance against this measure.</w:t>
      </w:r>
    </w:p>
    <w:p w14:paraId="71379E83" w14:textId="77777777" w:rsidR="002267ED" w:rsidRPr="00847FAE" w:rsidRDefault="002267ED" w:rsidP="002267ED">
      <w:pPr>
        <w:spacing w:before="240" w:after="240" w:line="300" w:lineRule="exact"/>
      </w:pPr>
      <w:r w:rsidRPr="00847FAE">
        <w:t>The number of attendances is the number of times that parties or their representatives were required to be present in court to be heard by a judicial officer or mediator/arbitrator (including appointments which were adjourned or rescheduled).</w:t>
      </w:r>
    </w:p>
    <w:p w14:paraId="7DC8EB51" w14:textId="77777777" w:rsidR="002267ED" w:rsidRPr="00847FAE" w:rsidRDefault="002267ED" w:rsidP="002267ED">
      <w:pPr>
        <w:spacing w:before="240" w:after="240" w:line="300" w:lineRule="exact"/>
      </w:pPr>
      <w:r w:rsidRPr="00847FAE">
        <w:t>This year’s Report presents the total number of finalisations during the year and the number of attendances associated with these matters (no matter when the attendance occurred).   This approach simply represents an average number of attendances per finalisation.</w:t>
      </w:r>
    </w:p>
    <w:p w14:paraId="062EBB1C" w14:textId="35331EBF" w:rsidR="002267ED" w:rsidRPr="00847FAE" w:rsidRDefault="002267ED" w:rsidP="006A622E">
      <w:pPr>
        <w:spacing w:before="240" w:after="240" w:line="300" w:lineRule="exact"/>
        <w:rPr>
          <w:rFonts w:eastAsiaTheme="minorHAnsi"/>
          <w:lang w:eastAsia="en-US"/>
        </w:rPr>
      </w:pPr>
      <w:r w:rsidRPr="00847FAE">
        <w:t>In the context of the attendance indicator, it is important to note that Alternative Dispute Resolution (ADR) can resolve matters out of court and reduce court attendances.</w:t>
      </w:r>
      <w:r w:rsidR="006A622E" w:rsidRPr="00847FAE">
        <w:rPr>
          <w:rFonts w:eastAsiaTheme="minorHAnsi"/>
          <w:lang w:eastAsia="en-US"/>
        </w:rPr>
        <w:t xml:space="preserve"> </w:t>
      </w:r>
    </w:p>
    <w:p w14:paraId="68736125" w14:textId="4059A297" w:rsidR="00FD6F91" w:rsidRPr="00847FAE" w:rsidRDefault="00A64135" w:rsidP="00FD6F91">
      <w:pPr>
        <w:keepNext/>
        <w:keepLines/>
        <w:spacing w:before="40"/>
        <w:outlineLvl w:val="2"/>
        <w:rPr>
          <w:rFonts w:eastAsiaTheme="majorEastAsia" w:cstheme="majorBidi"/>
          <w:vertAlign w:val="superscript"/>
          <w:lang w:eastAsia="en-US"/>
        </w:rPr>
      </w:pPr>
      <w:bookmarkStart w:id="401" w:name="_Toc1041204"/>
      <w:r w:rsidRPr="00847FAE">
        <w:rPr>
          <w:rFonts w:eastAsiaTheme="majorEastAsia" w:cstheme="majorBidi"/>
          <w:lang w:eastAsia="en-US"/>
        </w:rPr>
        <w:lastRenderedPageBreak/>
        <w:t>Table 2</w:t>
      </w:r>
      <w:r w:rsidR="0037416A">
        <w:rPr>
          <w:rFonts w:eastAsiaTheme="majorEastAsia" w:cstheme="majorBidi"/>
          <w:lang w:eastAsia="en-US"/>
        </w:rPr>
        <w:t>0</w:t>
      </w:r>
      <w:r w:rsidR="00FD6F91" w:rsidRPr="00847FAE">
        <w:rPr>
          <w:rFonts w:eastAsiaTheme="majorEastAsia" w:cstheme="majorBidi"/>
          <w:lang w:eastAsia="en-US"/>
        </w:rPr>
        <w:t>: Criminal and Civil Attendance Indicator, by Court</w:t>
      </w:r>
      <w:bookmarkEnd w:id="401"/>
    </w:p>
    <w:tbl>
      <w:tblPr>
        <w:tblStyle w:val="TableGrid1"/>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20CriminalandCivilAttendanceIndicatorbyCourt"/>
        <w:tblDescription w:val="TabledescribingCriminalandCivilAttendanceIndicatorbyCourt"/>
      </w:tblPr>
      <w:tblGrid>
        <w:gridCol w:w="460"/>
        <w:gridCol w:w="856"/>
        <w:gridCol w:w="1378"/>
        <w:gridCol w:w="278"/>
        <w:gridCol w:w="992"/>
        <w:gridCol w:w="993"/>
        <w:gridCol w:w="992"/>
        <w:gridCol w:w="992"/>
        <w:gridCol w:w="992"/>
        <w:gridCol w:w="1134"/>
      </w:tblGrid>
      <w:tr w:rsidR="00FD6F91" w:rsidRPr="00847FAE" w14:paraId="3B9A7970" w14:textId="77777777" w:rsidTr="004E3DB0">
        <w:trPr>
          <w:cantSplit/>
          <w:trHeight w:val="20"/>
          <w:tblHeader/>
        </w:trPr>
        <w:tc>
          <w:tcPr>
            <w:tcW w:w="460" w:type="dxa"/>
            <w:tcBorders>
              <w:top w:val="single" w:sz="4" w:space="0" w:color="auto"/>
              <w:bottom w:val="single" w:sz="4" w:space="0" w:color="auto"/>
            </w:tcBorders>
            <w:noWrap/>
            <w:hideMark/>
          </w:tcPr>
          <w:p w14:paraId="2D62ABB9"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856" w:type="dxa"/>
            <w:tcBorders>
              <w:top w:val="single" w:sz="4" w:space="0" w:color="auto"/>
              <w:bottom w:val="single" w:sz="4" w:space="0" w:color="auto"/>
            </w:tcBorders>
            <w:noWrap/>
            <w:hideMark/>
          </w:tcPr>
          <w:p w14:paraId="3D62A589"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378" w:type="dxa"/>
            <w:tcBorders>
              <w:top w:val="single" w:sz="4" w:space="0" w:color="auto"/>
              <w:bottom w:val="single" w:sz="4" w:space="0" w:color="auto"/>
            </w:tcBorders>
            <w:noWrap/>
            <w:hideMark/>
          </w:tcPr>
          <w:p w14:paraId="0C753DA2"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278" w:type="dxa"/>
            <w:tcBorders>
              <w:top w:val="single" w:sz="4" w:space="0" w:color="auto"/>
              <w:bottom w:val="single" w:sz="4" w:space="0" w:color="auto"/>
            </w:tcBorders>
            <w:noWrap/>
            <w:hideMark/>
          </w:tcPr>
          <w:p w14:paraId="08CA208F"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noWrap/>
            <w:vAlign w:val="bottom"/>
            <w:hideMark/>
          </w:tcPr>
          <w:p w14:paraId="4D4FC3F9"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2013-14</w:t>
            </w:r>
          </w:p>
        </w:tc>
        <w:tc>
          <w:tcPr>
            <w:tcW w:w="993" w:type="dxa"/>
            <w:tcBorders>
              <w:top w:val="single" w:sz="4" w:space="0" w:color="auto"/>
              <w:bottom w:val="single" w:sz="4" w:space="0" w:color="auto"/>
            </w:tcBorders>
            <w:noWrap/>
            <w:vAlign w:val="bottom"/>
            <w:hideMark/>
          </w:tcPr>
          <w:p w14:paraId="081DFFE0"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2014-15</w:t>
            </w:r>
          </w:p>
        </w:tc>
        <w:tc>
          <w:tcPr>
            <w:tcW w:w="992" w:type="dxa"/>
            <w:tcBorders>
              <w:top w:val="single" w:sz="4" w:space="0" w:color="auto"/>
              <w:bottom w:val="single" w:sz="4" w:space="0" w:color="auto"/>
            </w:tcBorders>
            <w:noWrap/>
            <w:vAlign w:val="bottom"/>
            <w:hideMark/>
          </w:tcPr>
          <w:p w14:paraId="01EDF4BE"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2015-16</w:t>
            </w:r>
          </w:p>
        </w:tc>
        <w:tc>
          <w:tcPr>
            <w:tcW w:w="992" w:type="dxa"/>
            <w:tcBorders>
              <w:top w:val="single" w:sz="4" w:space="0" w:color="auto"/>
              <w:bottom w:val="single" w:sz="4" w:space="0" w:color="auto"/>
            </w:tcBorders>
            <w:noWrap/>
            <w:vAlign w:val="bottom"/>
            <w:hideMark/>
          </w:tcPr>
          <w:p w14:paraId="20D2D1A0"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2016-17</w:t>
            </w:r>
          </w:p>
        </w:tc>
        <w:tc>
          <w:tcPr>
            <w:tcW w:w="992" w:type="dxa"/>
            <w:tcBorders>
              <w:top w:val="single" w:sz="4" w:space="0" w:color="auto"/>
              <w:bottom w:val="single" w:sz="4" w:space="0" w:color="auto"/>
            </w:tcBorders>
            <w:noWrap/>
            <w:vAlign w:val="bottom"/>
            <w:hideMark/>
          </w:tcPr>
          <w:p w14:paraId="52C0AE3C"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2017-18</w:t>
            </w:r>
          </w:p>
        </w:tc>
        <w:tc>
          <w:tcPr>
            <w:tcW w:w="1134" w:type="dxa"/>
            <w:tcBorders>
              <w:top w:val="single" w:sz="4" w:space="0" w:color="auto"/>
              <w:bottom w:val="single" w:sz="4" w:space="0" w:color="auto"/>
            </w:tcBorders>
            <w:vAlign w:val="bottom"/>
            <w:hideMark/>
          </w:tcPr>
          <w:p w14:paraId="44E90CBD" w14:textId="77777777" w:rsidR="00FD6F91" w:rsidRPr="00847FAE" w:rsidRDefault="00FD6F91" w:rsidP="00FD6F91">
            <w:pPr>
              <w:keepNext/>
              <w:jc w:val="center"/>
              <w:rPr>
                <w:rFonts w:cs="Calibri"/>
                <w:bCs/>
                <w:color w:val="000000"/>
                <w:sz w:val="18"/>
                <w:szCs w:val="18"/>
              </w:rPr>
            </w:pPr>
            <w:r w:rsidRPr="00847FAE">
              <w:rPr>
                <w:rFonts w:cs="Calibri"/>
                <w:bCs/>
                <w:color w:val="000000"/>
                <w:sz w:val="18"/>
                <w:szCs w:val="18"/>
              </w:rPr>
              <w:t>change 2016-17 to 2017-18</w:t>
            </w:r>
          </w:p>
        </w:tc>
      </w:tr>
      <w:tr w:rsidR="00FD6F91" w:rsidRPr="00847FAE" w14:paraId="56381C6A" w14:textId="77777777" w:rsidTr="001F1F60">
        <w:trPr>
          <w:cantSplit/>
          <w:trHeight w:val="20"/>
        </w:trPr>
        <w:tc>
          <w:tcPr>
            <w:tcW w:w="2694" w:type="dxa"/>
            <w:gridSpan w:val="3"/>
            <w:tcBorders>
              <w:top w:val="single" w:sz="4" w:space="0" w:color="auto"/>
              <w:bottom w:val="single" w:sz="4" w:space="0" w:color="auto"/>
            </w:tcBorders>
            <w:shd w:val="clear" w:color="auto" w:fill="D9D9D9" w:themeFill="background1" w:themeFillShade="D9"/>
            <w:noWrap/>
            <w:vAlign w:val="center"/>
            <w:hideMark/>
          </w:tcPr>
          <w:p w14:paraId="3031A22B" w14:textId="77777777" w:rsidR="00FD6F91" w:rsidRPr="00847FAE" w:rsidRDefault="00FD6F91" w:rsidP="00FD6F91">
            <w:pPr>
              <w:keepNext/>
              <w:rPr>
                <w:rFonts w:cs="Calibri"/>
                <w:color w:val="000000"/>
                <w:sz w:val="18"/>
                <w:szCs w:val="18"/>
              </w:rPr>
            </w:pPr>
            <w:r w:rsidRPr="00847FAE">
              <w:rPr>
                <w:rFonts w:cs="Calibri"/>
                <w:color w:val="000000"/>
                <w:sz w:val="18"/>
                <w:szCs w:val="18"/>
              </w:rPr>
              <w:t>CRIMINAL</w:t>
            </w:r>
          </w:p>
        </w:tc>
        <w:tc>
          <w:tcPr>
            <w:tcW w:w="278" w:type="dxa"/>
            <w:tcBorders>
              <w:top w:val="single" w:sz="4" w:space="0" w:color="auto"/>
              <w:bottom w:val="single" w:sz="4" w:space="0" w:color="auto"/>
            </w:tcBorders>
            <w:shd w:val="clear" w:color="auto" w:fill="D9D9D9" w:themeFill="background1" w:themeFillShade="D9"/>
            <w:noWrap/>
            <w:vAlign w:val="center"/>
            <w:hideMark/>
          </w:tcPr>
          <w:p w14:paraId="7B271559"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256AED59"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1220261C"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7662AB2D"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424DE797"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992" w:type="dxa"/>
            <w:tcBorders>
              <w:top w:val="single" w:sz="4" w:space="0" w:color="auto"/>
              <w:bottom w:val="single" w:sz="4" w:space="0" w:color="auto"/>
            </w:tcBorders>
            <w:shd w:val="clear" w:color="auto" w:fill="D9D9D9" w:themeFill="background1" w:themeFillShade="D9"/>
            <w:noWrap/>
            <w:vAlign w:val="center"/>
            <w:hideMark/>
          </w:tcPr>
          <w:p w14:paraId="41BA6AA4"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c>
          <w:tcPr>
            <w:tcW w:w="1134" w:type="dxa"/>
            <w:tcBorders>
              <w:top w:val="single" w:sz="4" w:space="0" w:color="auto"/>
              <w:bottom w:val="single" w:sz="4" w:space="0" w:color="auto"/>
            </w:tcBorders>
            <w:shd w:val="clear" w:color="auto" w:fill="D9D9D9" w:themeFill="background1" w:themeFillShade="D9"/>
            <w:noWrap/>
            <w:vAlign w:val="center"/>
            <w:hideMark/>
          </w:tcPr>
          <w:p w14:paraId="2799E6CD" w14:textId="77777777" w:rsidR="00FD6F91" w:rsidRPr="00847FAE" w:rsidRDefault="00FD6F91" w:rsidP="00FD6F91">
            <w:pPr>
              <w:keepNext/>
              <w:rPr>
                <w:rFonts w:cs="Calibri"/>
                <w:color w:val="000000"/>
                <w:sz w:val="18"/>
                <w:szCs w:val="18"/>
              </w:rPr>
            </w:pPr>
            <w:r w:rsidRPr="00847FAE">
              <w:rPr>
                <w:rFonts w:cs="Calibri"/>
                <w:color w:val="000000"/>
                <w:sz w:val="18"/>
                <w:szCs w:val="18"/>
              </w:rPr>
              <w:t> </w:t>
            </w:r>
          </w:p>
        </w:tc>
      </w:tr>
      <w:tr w:rsidR="00FD6F91" w:rsidRPr="00847FAE" w14:paraId="581B9CE7" w14:textId="77777777" w:rsidTr="001F1F60">
        <w:trPr>
          <w:cantSplit/>
          <w:trHeight w:val="20"/>
        </w:trPr>
        <w:tc>
          <w:tcPr>
            <w:tcW w:w="2972" w:type="dxa"/>
            <w:gridSpan w:val="4"/>
            <w:tcBorders>
              <w:top w:val="single" w:sz="4" w:space="0" w:color="auto"/>
            </w:tcBorders>
            <w:noWrap/>
            <w:vAlign w:val="center"/>
          </w:tcPr>
          <w:p w14:paraId="41A6F576"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Magistrates Court</w:t>
            </w:r>
          </w:p>
        </w:tc>
        <w:tc>
          <w:tcPr>
            <w:tcW w:w="992" w:type="dxa"/>
            <w:tcBorders>
              <w:top w:val="single" w:sz="4" w:space="0" w:color="auto"/>
            </w:tcBorders>
            <w:noWrap/>
            <w:vAlign w:val="center"/>
          </w:tcPr>
          <w:p w14:paraId="3D23795F" w14:textId="77777777" w:rsidR="00FD6F91" w:rsidRPr="00847FAE" w:rsidRDefault="00FD6F91" w:rsidP="00FD6F91">
            <w:pPr>
              <w:jc w:val="center"/>
              <w:rPr>
                <w:rFonts w:cs="Calibri"/>
                <w:color w:val="000000"/>
                <w:sz w:val="18"/>
                <w:szCs w:val="18"/>
              </w:rPr>
            </w:pPr>
            <w:r w:rsidRPr="00847FAE">
              <w:rPr>
                <w:rFonts w:cs="Calibri"/>
                <w:color w:val="000000"/>
                <w:sz w:val="18"/>
                <w:szCs w:val="18"/>
              </w:rPr>
              <w:t>4.0</w:t>
            </w:r>
          </w:p>
        </w:tc>
        <w:tc>
          <w:tcPr>
            <w:tcW w:w="993" w:type="dxa"/>
            <w:tcBorders>
              <w:top w:val="single" w:sz="4" w:space="0" w:color="auto"/>
            </w:tcBorders>
            <w:noWrap/>
            <w:vAlign w:val="center"/>
          </w:tcPr>
          <w:p w14:paraId="14F4129F" w14:textId="77777777" w:rsidR="00FD6F91" w:rsidRPr="00847FAE" w:rsidRDefault="00FD6F91" w:rsidP="00FD6F91">
            <w:pPr>
              <w:jc w:val="center"/>
              <w:rPr>
                <w:rFonts w:cs="Calibri"/>
                <w:color w:val="000000"/>
                <w:sz w:val="18"/>
                <w:szCs w:val="18"/>
              </w:rPr>
            </w:pPr>
            <w:r w:rsidRPr="00847FAE">
              <w:rPr>
                <w:rFonts w:cs="Calibri"/>
                <w:color w:val="000000"/>
                <w:sz w:val="18"/>
                <w:szCs w:val="18"/>
              </w:rPr>
              <w:t>4.0</w:t>
            </w:r>
          </w:p>
        </w:tc>
        <w:tc>
          <w:tcPr>
            <w:tcW w:w="992" w:type="dxa"/>
            <w:tcBorders>
              <w:top w:val="single" w:sz="4" w:space="0" w:color="auto"/>
            </w:tcBorders>
            <w:noWrap/>
            <w:vAlign w:val="center"/>
          </w:tcPr>
          <w:p w14:paraId="727B20D2" w14:textId="77777777" w:rsidR="00FD6F91" w:rsidRPr="00847FAE" w:rsidRDefault="00FD6F91" w:rsidP="00FD6F91">
            <w:pPr>
              <w:jc w:val="center"/>
              <w:rPr>
                <w:rFonts w:cs="Calibri"/>
                <w:color w:val="000000"/>
                <w:sz w:val="18"/>
                <w:szCs w:val="18"/>
              </w:rPr>
            </w:pPr>
            <w:r w:rsidRPr="00847FAE">
              <w:rPr>
                <w:rFonts w:cs="Calibri"/>
                <w:color w:val="000000"/>
                <w:sz w:val="18"/>
                <w:szCs w:val="18"/>
              </w:rPr>
              <w:t>4.3</w:t>
            </w:r>
          </w:p>
        </w:tc>
        <w:tc>
          <w:tcPr>
            <w:tcW w:w="992" w:type="dxa"/>
            <w:tcBorders>
              <w:top w:val="single" w:sz="4" w:space="0" w:color="auto"/>
            </w:tcBorders>
            <w:noWrap/>
            <w:vAlign w:val="center"/>
          </w:tcPr>
          <w:p w14:paraId="78A707EE" w14:textId="77777777" w:rsidR="00FD6F91" w:rsidRPr="00847FAE" w:rsidRDefault="00FD6F91" w:rsidP="00FD6F91">
            <w:pPr>
              <w:jc w:val="center"/>
              <w:rPr>
                <w:rFonts w:cs="Calibri"/>
                <w:color w:val="000000"/>
                <w:sz w:val="18"/>
                <w:szCs w:val="18"/>
              </w:rPr>
            </w:pPr>
            <w:r w:rsidRPr="00847FAE">
              <w:rPr>
                <w:rFonts w:cs="Calibri"/>
                <w:color w:val="000000"/>
                <w:sz w:val="18"/>
                <w:szCs w:val="18"/>
              </w:rPr>
              <w:t>4.2</w:t>
            </w:r>
          </w:p>
        </w:tc>
        <w:tc>
          <w:tcPr>
            <w:tcW w:w="992" w:type="dxa"/>
            <w:tcBorders>
              <w:top w:val="single" w:sz="4" w:space="0" w:color="auto"/>
            </w:tcBorders>
            <w:noWrap/>
            <w:vAlign w:val="center"/>
          </w:tcPr>
          <w:p w14:paraId="3AE8282D" w14:textId="77777777" w:rsidR="00FD6F91" w:rsidRPr="00847FAE" w:rsidRDefault="00FD6F91" w:rsidP="00FD6F91">
            <w:pPr>
              <w:jc w:val="center"/>
              <w:rPr>
                <w:rFonts w:cs="Calibri"/>
                <w:color w:val="000000"/>
                <w:sz w:val="18"/>
                <w:szCs w:val="18"/>
              </w:rPr>
            </w:pPr>
            <w:r w:rsidRPr="00847FAE">
              <w:rPr>
                <w:rFonts w:cs="Calibri"/>
                <w:color w:val="000000"/>
                <w:sz w:val="18"/>
                <w:szCs w:val="18"/>
              </w:rPr>
              <w:t>4.4</w:t>
            </w:r>
          </w:p>
        </w:tc>
        <w:tc>
          <w:tcPr>
            <w:tcW w:w="1134" w:type="dxa"/>
            <w:tcBorders>
              <w:top w:val="single" w:sz="4" w:space="0" w:color="auto"/>
            </w:tcBorders>
            <w:noWrap/>
            <w:vAlign w:val="center"/>
          </w:tcPr>
          <w:p w14:paraId="775A23C8" w14:textId="77777777" w:rsidR="00FD6F91" w:rsidRPr="00847FAE" w:rsidRDefault="00FD6F91" w:rsidP="00FD6F91">
            <w:pPr>
              <w:jc w:val="center"/>
              <w:rPr>
                <w:rFonts w:cs="Calibri"/>
                <w:color w:val="000000"/>
                <w:sz w:val="18"/>
                <w:szCs w:val="18"/>
              </w:rPr>
            </w:pPr>
            <w:r w:rsidRPr="00847FAE">
              <w:rPr>
                <w:rFonts w:cs="Calibri"/>
                <w:color w:val="000000"/>
                <w:sz w:val="18"/>
                <w:szCs w:val="18"/>
              </w:rPr>
              <w:t>0.2 pp</w:t>
            </w:r>
          </w:p>
        </w:tc>
      </w:tr>
      <w:tr w:rsidR="00FD6F91" w:rsidRPr="00847FAE" w14:paraId="04431427" w14:textId="77777777" w:rsidTr="001F1F60">
        <w:trPr>
          <w:cantSplit/>
          <w:trHeight w:val="20"/>
        </w:trPr>
        <w:tc>
          <w:tcPr>
            <w:tcW w:w="2972" w:type="dxa"/>
            <w:gridSpan w:val="4"/>
            <w:tcBorders>
              <w:bottom w:val="single" w:sz="4" w:space="0" w:color="auto"/>
            </w:tcBorders>
            <w:noWrap/>
            <w:vAlign w:val="center"/>
            <w:hideMark/>
          </w:tcPr>
          <w:p w14:paraId="365F1D77" w14:textId="77777777" w:rsidR="00FD6F91" w:rsidRPr="00847FAE" w:rsidRDefault="00FD6F91" w:rsidP="00FD6F91">
            <w:pPr>
              <w:keepNext/>
              <w:rPr>
                <w:rFonts w:cs="Calibri"/>
                <w:color w:val="000000"/>
                <w:sz w:val="18"/>
                <w:szCs w:val="18"/>
              </w:rPr>
            </w:pPr>
            <w:r w:rsidRPr="00847FAE">
              <w:rPr>
                <w:rFonts w:cs="Calibri"/>
                <w:iCs/>
                <w:color w:val="000000"/>
                <w:sz w:val="18"/>
                <w:szCs w:val="18"/>
              </w:rPr>
              <w:t>Youth Justice Court</w:t>
            </w:r>
          </w:p>
        </w:tc>
        <w:tc>
          <w:tcPr>
            <w:tcW w:w="992" w:type="dxa"/>
            <w:tcBorders>
              <w:bottom w:val="single" w:sz="4" w:space="0" w:color="auto"/>
            </w:tcBorders>
            <w:noWrap/>
            <w:vAlign w:val="center"/>
          </w:tcPr>
          <w:p w14:paraId="79FA2602" w14:textId="4667A5C3" w:rsidR="00FD6F91" w:rsidRPr="00847FAE" w:rsidRDefault="00FD6F91" w:rsidP="0009776C">
            <w:pPr>
              <w:jc w:val="center"/>
              <w:rPr>
                <w:rFonts w:cs="Calibri"/>
                <w:color w:val="000000"/>
                <w:sz w:val="18"/>
                <w:szCs w:val="18"/>
                <w:highlight w:val="yellow"/>
              </w:rPr>
            </w:pPr>
            <w:r w:rsidRPr="0009776C">
              <w:rPr>
                <w:rFonts w:cs="Calibri"/>
                <w:color w:val="000000"/>
                <w:sz w:val="18"/>
                <w:szCs w:val="18"/>
              </w:rPr>
              <w:t>5.</w:t>
            </w:r>
            <w:r w:rsidR="0009776C" w:rsidRPr="0009776C">
              <w:rPr>
                <w:rFonts w:cs="Calibri"/>
                <w:color w:val="000000"/>
                <w:sz w:val="18"/>
                <w:szCs w:val="18"/>
              </w:rPr>
              <w:t>7</w:t>
            </w:r>
          </w:p>
        </w:tc>
        <w:tc>
          <w:tcPr>
            <w:tcW w:w="993" w:type="dxa"/>
            <w:tcBorders>
              <w:bottom w:val="single" w:sz="4" w:space="0" w:color="auto"/>
            </w:tcBorders>
            <w:noWrap/>
            <w:vAlign w:val="center"/>
          </w:tcPr>
          <w:p w14:paraId="0C911B62" w14:textId="7CC00918" w:rsidR="00FD6F91" w:rsidRPr="00847FAE" w:rsidRDefault="00FD6F91" w:rsidP="0009776C">
            <w:pPr>
              <w:jc w:val="center"/>
              <w:rPr>
                <w:rFonts w:cs="Calibri"/>
                <w:color w:val="000000"/>
                <w:sz w:val="18"/>
                <w:szCs w:val="18"/>
                <w:highlight w:val="yellow"/>
              </w:rPr>
            </w:pPr>
            <w:r w:rsidRPr="0009776C">
              <w:rPr>
                <w:rFonts w:cs="Calibri"/>
                <w:color w:val="000000"/>
                <w:sz w:val="18"/>
                <w:szCs w:val="18"/>
              </w:rPr>
              <w:t>5.</w:t>
            </w:r>
            <w:r w:rsidR="0009776C" w:rsidRPr="0009776C">
              <w:rPr>
                <w:rFonts w:cs="Calibri"/>
                <w:color w:val="000000"/>
                <w:sz w:val="18"/>
                <w:szCs w:val="18"/>
              </w:rPr>
              <w:t>8</w:t>
            </w:r>
          </w:p>
        </w:tc>
        <w:tc>
          <w:tcPr>
            <w:tcW w:w="992" w:type="dxa"/>
            <w:tcBorders>
              <w:bottom w:val="single" w:sz="4" w:space="0" w:color="auto"/>
            </w:tcBorders>
            <w:noWrap/>
            <w:vAlign w:val="center"/>
          </w:tcPr>
          <w:p w14:paraId="35D42D6F" w14:textId="77777777" w:rsidR="00FD6F91" w:rsidRPr="00847FAE" w:rsidRDefault="00FD6F91" w:rsidP="00FD6F91">
            <w:pPr>
              <w:jc w:val="center"/>
              <w:rPr>
                <w:rFonts w:cs="Calibri"/>
                <w:color w:val="000000"/>
                <w:sz w:val="18"/>
                <w:szCs w:val="18"/>
              </w:rPr>
            </w:pPr>
            <w:r w:rsidRPr="00847FAE">
              <w:rPr>
                <w:rFonts w:cs="Calibri"/>
                <w:color w:val="000000"/>
                <w:sz w:val="18"/>
                <w:szCs w:val="18"/>
              </w:rPr>
              <w:t>5.2</w:t>
            </w:r>
          </w:p>
        </w:tc>
        <w:tc>
          <w:tcPr>
            <w:tcW w:w="992" w:type="dxa"/>
            <w:tcBorders>
              <w:bottom w:val="single" w:sz="4" w:space="0" w:color="auto"/>
            </w:tcBorders>
            <w:noWrap/>
            <w:vAlign w:val="center"/>
          </w:tcPr>
          <w:p w14:paraId="27DFC2F5" w14:textId="77777777" w:rsidR="00FD6F91" w:rsidRPr="00847FAE" w:rsidRDefault="00FD6F91" w:rsidP="00FD6F91">
            <w:pPr>
              <w:jc w:val="center"/>
              <w:rPr>
                <w:rFonts w:cs="Calibri"/>
                <w:color w:val="000000"/>
                <w:sz w:val="18"/>
                <w:szCs w:val="18"/>
              </w:rPr>
            </w:pPr>
            <w:r w:rsidRPr="00847FAE">
              <w:rPr>
                <w:rFonts w:cs="Calibri"/>
                <w:color w:val="000000"/>
                <w:sz w:val="18"/>
                <w:szCs w:val="18"/>
              </w:rPr>
              <w:t>4.9</w:t>
            </w:r>
          </w:p>
        </w:tc>
        <w:tc>
          <w:tcPr>
            <w:tcW w:w="992" w:type="dxa"/>
            <w:tcBorders>
              <w:bottom w:val="single" w:sz="4" w:space="0" w:color="auto"/>
            </w:tcBorders>
            <w:noWrap/>
            <w:vAlign w:val="center"/>
          </w:tcPr>
          <w:p w14:paraId="4E46FD5B" w14:textId="77777777" w:rsidR="00FD6F91" w:rsidRPr="00847FAE" w:rsidRDefault="00FD6F91" w:rsidP="00FD6F91">
            <w:pPr>
              <w:jc w:val="center"/>
              <w:rPr>
                <w:rFonts w:cs="Calibri"/>
                <w:color w:val="000000"/>
                <w:sz w:val="18"/>
                <w:szCs w:val="18"/>
              </w:rPr>
            </w:pPr>
            <w:r w:rsidRPr="00847FAE">
              <w:rPr>
                <w:rFonts w:cs="Calibri"/>
                <w:color w:val="000000"/>
                <w:sz w:val="18"/>
                <w:szCs w:val="18"/>
              </w:rPr>
              <w:t>5.5</w:t>
            </w:r>
          </w:p>
        </w:tc>
        <w:tc>
          <w:tcPr>
            <w:tcW w:w="1134" w:type="dxa"/>
            <w:tcBorders>
              <w:bottom w:val="single" w:sz="4" w:space="0" w:color="auto"/>
            </w:tcBorders>
            <w:noWrap/>
            <w:vAlign w:val="center"/>
          </w:tcPr>
          <w:p w14:paraId="1472696C" w14:textId="77777777" w:rsidR="00FD6F91" w:rsidRPr="00847FAE" w:rsidRDefault="00FD6F91" w:rsidP="00FD6F91">
            <w:pPr>
              <w:jc w:val="center"/>
              <w:rPr>
                <w:rFonts w:cs="Calibri"/>
                <w:color w:val="000000"/>
                <w:sz w:val="18"/>
                <w:szCs w:val="18"/>
              </w:rPr>
            </w:pPr>
            <w:r w:rsidRPr="00847FAE">
              <w:rPr>
                <w:rFonts w:cs="Calibri"/>
                <w:color w:val="000000"/>
                <w:sz w:val="18"/>
                <w:szCs w:val="18"/>
              </w:rPr>
              <w:t>0.6 pp</w:t>
            </w:r>
          </w:p>
        </w:tc>
      </w:tr>
      <w:tr w:rsidR="00FD6F91" w:rsidRPr="00847FAE" w14:paraId="3C7BBEEF" w14:textId="77777777" w:rsidTr="001F1F60">
        <w:trPr>
          <w:cantSplit/>
          <w:trHeight w:val="20"/>
        </w:trPr>
        <w:tc>
          <w:tcPr>
            <w:tcW w:w="2972" w:type="dxa"/>
            <w:gridSpan w:val="4"/>
            <w:tcBorders>
              <w:top w:val="single" w:sz="4" w:space="0" w:color="auto"/>
              <w:bottom w:val="single" w:sz="4" w:space="0" w:color="auto"/>
            </w:tcBorders>
            <w:shd w:val="clear" w:color="auto" w:fill="D9D9D9" w:themeFill="background1" w:themeFillShade="D9"/>
            <w:noWrap/>
            <w:vAlign w:val="center"/>
          </w:tcPr>
          <w:p w14:paraId="1C68CD53"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CIVIL</w:t>
            </w:r>
          </w:p>
        </w:tc>
        <w:tc>
          <w:tcPr>
            <w:tcW w:w="992" w:type="dxa"/>
            <w:tcBorders>
              <w:top w:val="single" w:sz="4" w:space="0" w:color="auto"/>
              <w:bottom w:val="single" w:sz="4" w:space="0" w:color="auto"/>
            </w:tcBorders>
            <w:shd w:val="clear" w:color="auto" w:fill="D9D9D9" w:themeFill="background1" w:themeFillShade="D9"/>
            <w:noWrap/>
            <w:vAlign w:val="center"/>
          </w:tcPr>
          <w:p w14:paraId="7B99A29E" w14:textId="77777777" w:rsidR="00FD6F91" w:rsidRPr="00847FAE" w:rsidRDefault="00FD6F91" w:rsidP="00FD6F91">
            <w:pPr>
              <w:keepNext/>
              <w:jc w:val="right"/>
              <w:rPr>
                <w:rFonts w:cs="Calibri"/>
                <w:iCs/>
                <w:color w:val="000000"/>
                <w:sz w:val="18"/>
                <w:szCs w:val="18"/>
              </w:rPr>
            </w:pPr>
          </w:p>
        </w:tc>
        <w:tc>
          <w:tcPr>
            <w:tcW w:w="993" w:type="dxa"/>
            <w:tcBorders>
              <w:top w:val="single" w:sz="4" w:space="0" w:color="auto"/>
              <w:bottom w:val="single" w:sz="4" w:space="0" w:color="auto"/>
            </w:tcBorders>
            <w:shd w:val="clear" w:color="auto" w:fill="D9D9D9" w:themeFill="background1" w:themeFillShade="D9"/>
            <w:noWrap/>
            <w:vAlign w:val="center"/>
          </w:tcPr>
          <w:p w14:paraId="500093D0"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shd w:val="clear" w:color="auto" w:fill="D9D9D9" w:themeFill="background1" w:themeFillShade="D9"/>
            <w:noWrap/>
            <w:vAlign w:val="center"/>
          </w:tcPr>
          <w:p w14:paraId="41337BB0"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shd w:val="clear" w:color="auto" w:fill="D9D9D9" w:themeFill="background1" w:themeFillShade="D9"/>
            <w:noWrap/>
            <w:vAlign w:val="center"/>
          </w:tcPr>
          <w:p w14:paraId="6F1CE2B4" w14:textId="77777777" w:rsidR="00FD6F91" w:rsidRPr="00847FAE" w:rsidRDefault="00FD6F91" w:rsidP="00FD6F91">
            <w:pPr>
              <w:keepNext/>
              <w:jc w:val="right"/>
              <w:rPr>
                <w:rFonts w:cs="Calibri"/>
                <w:iCs/>
                <w:color w:val="000000"/>
                <w:sz w:val="18"/>
                <w:szCs w:val="18"/>
              </w:rPr>
            </w:pPr>
          </w:p>
        </w:tc>
        <w:tc>
          <w:tcPr>
            <w:tcW w:w="992" w:type="dxa"/>
            <w:tcBorders>
              <w:top w:val="single" w:sz="4" w:space="0" w:color="auto"/>
              <w:bottom w:val="single" w:sz="4" w:space="0" w:color="auto"/>
            </w:tcBorders>
            <w:shd w:val="clear" w:color="auto" w:fill="D9D9D9" w:themeFill="background1" w:themeFillShade="D9"/>
            <w:noWrap/>
            <w:vAlign w:val="center"/>
          </w:tcPr>
          <w:p w14:paraId="42321671" w14:textId="77777777" w:rsidR="00FD6F91" w:rsidRPr="00847FAE" w:rsidRDefault="00FD6F91" w:rsidP="00FD6F91">
            <w:pPr>
              <w:keepNext/>
              <w:jc w:val="right"/>
              <w:rPr>
                <w:rFonts w:cs="Calibri"/>
                <w:iCs/>
                <w:color w:val="000000"/>
                <w:sz w:val="18"/>
                <w:szCs w:val="18"/>
              </w:rPr>
            </w:pPr>
          </w:p>
        </w:tc>
        <w:tc>
          <w:tcPr>
            <w:tcW w:w="1134" w:type="dxa"/>
            <w:tcBorders>
              <w:top w:val="single" w:sz="4" w:space="0" w:color="auto"/>
              <w:bottom w:val="single" w:sz="4" w:space="0" w:color="auto"/>
            </w:tcBorders>
            <w:shd w:val="clear" w:color="auto" w:fill="D9D9D9" w:themeFill="background1" w:themeFillShade="D9"/>
            <w:noWrap/>
            <w:vAlign w:val="center"/>
          </w:tcPr>
          <w:p w14:paraId="1693BB0E" w14:textId="77777777" w:rsidR="00FD6F91" w:rsidRPr="00847FAE" w:rsidRDefault="00FD6F91" w:rsidP="00FD6F91">
            <w:pPr>
              <w:keepNext/>
              <w:jc w:val="center"/>
              <w:rPr>
                <w:rFonts w:cs="Calibri"/>
                <w:iCs/>
                <w:color w:val="000000"/>
                <w:sz w:val="18"/>
                <w:szCs w:val="18"/>
              </w:rPr>
            </w:pPr>
          </w:p>
        </w:tc>
      </w:tr>
      <w:tr w:rsidR="00FD6F91" w:rsidRPr="00847FAE" w14:paraId="5C4E24C7" w14:textId="77777777" w:rsidTr="001F1F60">
        <w:trPr>
          <w:cantSplit/>
          <w:trHeight w:val="20"/>
        </w:trPr>
        <w:tc>
          <w:tcPr>
            <w:tcW w:w="2972" w:type="dxa"/>
            <w:gridSpan w:val="4"/>
            <w:tcBorders>
              <w:top w:val="single" w:sz="4" w:space="0" w:color="auto"/>
            </w:tcBorders>
            <w:noWrap/>
            <w:vAlign w:val="center"/>
          </w:tcPr>
          <w:p w14:paraId="7258AF29" w14:textId="77777777" w:rsidR="00FD6F91" w:rsidRPr="00847FAE" w:rsidRDefault="00FD6F91" w:rsidP="00FD6F91">
            <w:pPr>
              <w:keepNext/>
              <w:rPr>
                <w:rFonts w:cs="Calibri"/>
                <w:bCs/>
                <w:color w:val="000000"/>
                <w:sz w:val="18"/>
                <w:szCs w:val="18"/>
              </w:rPr>
            </w:pPr>
            <w:r w:rsidRPr="00847FAE">
              <w:rPr>
                <w:rFonts w:cs="Calibri"/>
                <w:bCs/>
                <w:color w:val="000000"/>
                <w:sz w:val="18"/>
                <w:szCs w:val="18"/>
              </w:rPr>
              <w:t>Civil Magistrates Court</w:t>
            </w:r>
          </w:p>
        </w:tc>
        <w:tc>
          <w:tcPr>
            <w:tcW w:w="992" w:type="dxa"/>
            <w:tcBorders>
              <w:top w:val="single" w:sz="4" w:space="0" w:color="auto"/>
            </w:tcBorders>
            <w:noWrap/>
            <w:vAlign w:val="center"/>
          </w:tcPr>
          <w:p w14:paraId="4F44BE04" w14:textId="77777777" w:rsidR="00FD6F91" w:rsidRPr="00847FAE" w:rsidRDefault="00FD6F91" w:rsidP="00FD6F91">
            <w:pPr>
              <w:jc w:val="center"/>
              <w:rPr>
                <w:rFonts w:cs="Calibri"/>
                <w:color w:val="000000"/>
                <w:sz w:val="18"/>
                <w:szCs w:val="18"/>
              </w:rPr>
            </w:pPr>
            <w:r w:rsidRPr="00847FAE">
              <w:rPr>
                <w:rFonts w:cs="Calibri"/>
                <w:color w:val="000000"/>
                <w:sz w:val="18"/>
                <w:szCs w:val="18"/>
              </w:rPr>
              <w:t>1.0</w:t>
            </w:r>
          </w:p>
        </w:tc>
        <w:tc>
          <w:tcPr>
            <w:tcW w:w="993" w:type="dxa"/>
            <w:tcBorders>
              <w:top w:val="single" w:sz="4" w:space="0" w:color="auto"/>
            </w:tcBorders>
            <w:noWrap/>
            <w:vAlign w:val="center"/>
          </w:tcPr>
          <w:p w14:paraId="1B3A7EB1" w14:textId="77777777" w:rsidR="00FD6F91" w:rsidRPr="00847FAE" w:rsidRDefault="00FD6F91" w:rsidP="00FD6F91">
            <w:pPr>
              <w:jc w:val="center"/>
              <w:rPr>
                <w:rFonts w:cs="Calibri"/>
                <w:color w:val="000000"/>
                <w:sz w:val="18"/>
                <w:szCs w:val="18"/>
              </w:rPr>
            </w:pPr>
            <w:r w:rsidRPr="00847FAE">
              <w:rPr>
                <w:rFonts w:cs="Calibri"/>
                <w:color w:val="000000"/>
                <w:sz w:val="18"/>
                <w:szCs w:val="18"/>
              </w:rPr>
              <w:t>1.1</w:t>
            </w:r>
          </w:p>
        </w:tc>
        <w:tc>
          <w:tcPr>
            <w:tcW w:w="992" w:type="dxa"/>
            <w:tcBorders>
              <w:top w:val="single" w:sz="4" w:space="0" w:color="auto"/>
            </w:tcBorders>
            <w:noWrap/>
            <w:vAlign w:val="center"/>
          </w:tcPr>
          <w:p w14:paraId="2E1AFA9C" w14:textId="77777777" w:rsidR="00FD6F91" w:rsidRPr="00847FAE" w:rsidRDefault="00FD6F91" w:rsidP="00FD6F91">
            <w:pPr>
              <w:jc w:val="center"/>
              <w:rPr>
                <w:rFonts w:cs="Calibri"/>
                <w:color w:val="000000"/>
                <w:sz w:val="18"/>
                <w:szCs w:val="18"/>
              </w:rPr>
            </w:pPr>
            <w:r w:rsidRPr="00847FAE">
              <w:rPr>
                <w:rFonts w:cs="Calibri"/>
                <w:color w:val="000000"/>
                <w:sz w:val="18"/>
                <w:szCs w:val="18"/>
              </w:rPr>
              <w:t>1.2</w:t>
            </w:r>
          </w:p>
        </w:tc>
        <w:tc>
          <w:tcPr>
            <w:tcW w:w="992" w:type="dxa"/>
            <w:tcBorders>
              <w:top w:val="single" w:sz="4" w:space="0" w:color="auto"/>
            </w:tcBorders>
            <w:noWrap/>
            <w:vAlign w:val="center"/>
          </w:tcPr>
          <w:p w14:paraId="5C0CEFE3" w14:textId="77777777" w:rsidR="00FD6F91" w:rsidRPr="00847FAE" w:rsidRDefault="00FD6F91" w:rsidP="00FD6F91">
            <w:pPr>
              <w:jc w:val="center"/>
              <w:rPr>
                <w:rFonts w:cs="Calibri"/>
                <w:color w:val="000000"/>
                <w:sz w:val="18"/>
                <w:szCs w:val="18"/>
              </w:rPr>
            </w:pPr>
            <w:r w:rsidRPr="00847FAE">
              <w:rPr>
                <w:rFonts w:cs="Calibri"/>
                <w:color w:val="000000"/>
                <w:sz w:val="18"/>
                <w:szCs w:val="18"/>
              </w:rPr>
              <w:t>1.2</w:t>
            </w:r>
          </w:p>
        </w:tc>
        <w:tc>
          <w:tcPr>
            <w:tcW w:w="992" w:type="dxa"/>
            <w:tcBorders>
              <w:top w:val="single" w:sz="4" w:space="0" w:color="auto"/>
            </w:tcBorders>
            <w:noWrap/>
            <w:vAlign w:val="center"/>
          </w:tcPr>
          <w:p w14:paraId="775BC0A9" w14:textId="77777777" w:rsidR="00FD6F91" w:rsidRPr="00847FAE" w:rsidRDefault="00FD6F91" w:rsidP="00FD6F91">
            <w:pPr>
              <w:jc w:val="center"/>
              <w:rPr>
                <w:rFonts w:cs="Calibri"/>
                <w:color w:val="000000"/>
                <w:sz w:val="18"/>
                <w:szCs w:val="18"/>
              </w:rPr>
            </w:pPr>
            <w:r w:rsidRPr="00847FAE">
              <w:rPr>
                <w:rFonts w:cs="Calibri"/>
                <w:color w:val="000000"/>
                <w:sz w:val="18"/>
                <w:szCs w:val="18"/>
              </w:rPr>
              <w:t>1.3</w:t>
            </w:r>
          </w:p>
        </w:tc>
        <w:tc>
          <w:tcPr>
            <w:tcW w:w="1134" w:type="dxa"/>
            <w:tcBorders>
              <w:top w:val="single" w:sz="4" w:space="0" w:color="auto"/>
            </w:tcBorders>
            <w:noWrap/>
            <w:vAlign w:val="center"/>
          </w:tcPr>
          <w:p w14:paraId="15FB1480" w14:textId="77777777" w:rsidR="00FD6F91" w:rsidRPr="00847FAE" w:rsidRDefault="00FD6F91" w:rsidP="00FD6F91">
            <w:pPr>
              <w:jc w:val="center"/>
              <w:rPr>
                <w:rFonts w:cs="Calibri"/>
                <w:color w:val="000000"/>
                <w:sz w:val="18"/>
                <w:szCs w:val="18"/>
              </w:rPr>
            </w:pPr>
            <w:r w:rsidRPr="00847FAE">
              <w:rPr>
                <w:rFonts w:cs="Calibri"/>
                <w:color w:val="000000"/>
                <w:sz w:val="18"/>
                <w:szCs w:val="18"/>
              </w:rPr>
              <w:t>0.1 pp</w:t>
            </w:r>
          </w:p>
        </w:tc>
      </w:tr>
      <w:tr w:rsidR="00FD6F91" w:rsidRPr="00847FAE" w14:paraId="7E9407FB" w14:textId="77777777" w:rsidTr="001F1F60">
        <w:trPr>
          <w:cantSplit/>
          <w:trHeight w:val="20"/>
        </w:trPr>
        <w:tc>
          <w:tcPr>
            <w:tcW w:w="2972" w:type="dxa"/>
            <w:gridSpan w:val="4"/>
            <w:noWrap/>
            <w:vAlign w:val="center"/>
          </w:tcPr>
          <w:p w14:paraId="3CE5BB90"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 xml:space="preserve">Children’s Court </w:t>
            </w:r>
          </w:p>
        </w:tc>
        <w:tc>
          <w:tcPr>
            <w:tcW w:w="992" w:type="dxa"/>
            <w:noWrap/>
            <w:vAlign w:val="center"/>
          </w:tcPr>
          <w:p w14:paraId="545951E9" w14:textId="77777777" w:rsidR="00FD6F91" w:rsidRPr="00847FAE" w:rsidRDefault="00FD6F91" w:rsidP="00FD6F91">
            <w:pPr>
              <w:jc w:val="center"/>
              <w:rPr>
                <w:rFonts w:cs="Calibri"/>
                <w:color w:val="000000"/>
                <w:sz w:val="18"/>
                <w:szCs w:val="18"/>
              </w:rPr>
            </w:pPr>
            <w:r w:rsidRPr="00847FAE">
              <w:rPr>
                <w:rFonts w:cs="Calibri"/>
                <w:color w:val="000000"/>
                <w:sz w:val="18"/>
                <w:szCs w:val="18"/>
              </w:rPr>
              <w:t>5.9</w:t>
            </w:r>
          </w:p>
        </w:tc>
        <w:tc>
          <w:tcPr>
            <w:tcW w:w="993" w:type="dxa"/>
            <w:noWrap/>
            <w:vAlign w:val="center"/>
          </w:tcPr>
          <w:p w14:paraId="01A8463E" w14:textId="77777777" w:rsidR="00FD6F91" w:rsidRPr="00847FAE" w:rsidRDefault="00FD6F91" w:rsidP="00FD6F91">
            <w:pPr>
              <w:jc w:val="center"/>
              <w:rPr>
                <w:rFonts w:cs="Calibri"/>
                <w:color w:val="000000"/>
                <w:sz w:val="18"/>
                <w:szCs w:val="18"/>
              </w:rPr>
            </w:pPr>
            <w:r w:rsidRPr="00847FAE">
              <w:rPr>
                <w:rFonts w:cs="Calibri"/>
                <w:color w:val="000000"/>
                <w:sz w:val="18"/>
                <w:szCs w:val="18"/>
              </w:rPr>
              <w:t>5.4</w:t>
            </w:r>
          </w:p>
        </w:tc>
        <w:tc>
          <w:tcPr>
            <w:tcW w:w="992" w:type="dxa"/>
            <w:noWrap/>
            <w:vAlign w:val="center"/>
          </w:tcPr>
          <w:p w14:paraId="2F9B6FE6" w14:textId="77777777" w:rsidR="00FD6F91" w:rsidRPr="00847FAE" w:rsidRDefault="00FD6F91" w:rsidP="00FD6F91">
            <w:pPr>
              <w:jc w:val="center"/>
              <w:rPr>
                <w:rFonts w:cs="Calibri"/>
                <w:color w:val="000000"/>
                <w:sz w:val="18"/>
                <w:szCs w:val="18"/>
              </w:rPr>
            </w:pPr>
            <w:r w:rsidRPr="00847FAE">
              <w:rPr>
                <w:rFonts w:cs="Calibri"/>
                <w:color w:val="000000"/>
                <w:sz w:val="18"/>
                <w:szCs w:val="18"/>
              </w:rPr>
              <w:t>5.0</w:t>
            </w:r>
          </w:p>
        </w:tc>
        <w:tc>
          <w:tcPr>
            <w:tcW w:w="992" w:type="dxa"/>
            <w:noWrap/>
            <w:vAlign w:val="center"/>
          </w:tcPr>
          <w:p w14:paraId="792086F2" w14:textId="77777777" w:rsidR="00FD6F91" w:rsidRPr="00847FAE" w:rsidRDefault="00FD6F91" w:rsidP="00FD6F91">
            <w:pPr>
              <w:jc w:val="center"/>
              <w:rPr>
                <w:rFonts w:cs="Calibri"/>
                <w:color w:val="000000"/>
                <w:sz w:val="18"/>
                <w:szCs w:val="18"/>
              </w:rPr>
            </w:pPr>
            <w:r w:rsidRPr="00847FAE">
              <w:rPr>
                <w:rFonts w:cs="Calibri"/>
                <w:color w:val="000000"/>
                <w:sz w:val="18"/>
                <w:szCs w:val="18"/>
              </w:rPr>
              <w:t>4.8</w:t>
            </w:r>
          </w:p>
        </w:tc>
        <w:tc>
          <w:tcPr>
            <w:tcW w:w="992" w:type="dxa"/>
            <w:noWrap/>
            <w:vAlign w:val="center"/>
          </w:tcPr>
          <w:p w14:paraId="6FE5E6B0" w14:textId="77777777" w:rsidR="00FD6F91" w:rsidRPr="00847FAE" w:rsidRDefault="00FD6F91" w:rsidP="00FD6F91">
            <w:pPr>
              <w:jc w:val="center"/>
              <w:rPr>
                <w:rFonts w:cs="Calibri"/>
                <w:color w:val="000000"/>
                <w:sz w:val="18"/>
                <w:szCs w:val="18"/>
              </w:rPr>
            </w:pPr>
            <w:r w:rsidRPr="00847FAE">
              <w:rPr>
                <w:rFonts w:cs="Calibri"/>
                <w:color w:val="000000"/>
                <w:sz w:val="18"/>
                <w:szCs w:val="18"/>
              </w:rPr>
              <w:t>4.6</w:t>
            </w:r>
          </w:p>
        </w:tc>
        <w:tc>
          <w:tcPr>
            <w:tcW w:w="1134" w:type="dxa"/>
            <w:noWrap/>
            <w:vAlign w:val="center"/>
          </w:tcPr>
          <w:p w14:paraId="61CFDE67" w14:textId="77777777" w:rsidR="00FD6F91" w:rsidRPr="00847FAE" w:rsidRDefault="00FD6F91" w:rsidP="00FD6F91">
            <w:pPr>
              <w:jc w:val="center"/>
              <w:rPr>
                <w:rFonts w:cs="Calibri"/>
                <w:color w:val="000000"/>
                <w:sz w:val="18"/>
                <w:szCs w:val="18"/>
              </w:rPr>
            </w:pPr>
            <w:r w:rsidRPr="00847FAE">
              <w:rPr>
                <w:rFonts w:cs="Calibri"/>
                <w:color w:val="000000"/>
                <w:sz w:val="18"/>
                <w:szCs w:val="18"/>
              </w:rPr>
              <w:t>-0.2 pp</w:t>
            </w:r>
          </w:p>
        </w:tc>
      </w:tr>
      <w:tr w:rsidR="00FD6F91" w:rsidRPr="00847FAE" w14:paraId="71F2766A" w14:textId="77777777" w:rsidTr="001F1F60">
        <w:trPr>
          <w:cantSplit/>
          <w:trHeight w:val="20"/>
        </w:trPr>
        <w:tc>
          <w:tcPr>
            <w:tcW w:w="2972" w:type="dxa"/>
            <w:gridSpan w:val="4"/>
            <w:tcBorders>
              <w:bottom w:val="single" w:sz="4" w:space="0" w:color="auto"/>
            </w:tcBorders>
            <w:noWrap/>
            <w:vAlign w:val="center"/>
          </w:tcPr>
          <w:p w14:paraId="10031DF9" w14:textId="77777777" w:rsidR="00FD6F91" w:rsidRPr="00847FAE" w:rsidRDefault="00FD6F91" w:rsidP="00FD6F91">
            <w:pPr>
              <w:keepNext/>
              <w:rPr>
                <w:rFonts w:cs="Calibri"/>
                <w:iCs/>
                <w:color w:val="000000"/>
                <w:sz w:val="18"/>
                <w:szCs w:val="18"/>
              </w:rPr>
            </w:pPr>
            <w:r w:rsidRPr="00847FAE">
              <w:rPr>
                <w:rFonts w:cs="Calibri"/>
                <w:iCs/>
                <w:color w:val="000000"/>
                <w:sz w:val="18"/>
                <w:szCs w:val="18"/>
              </w:rPr>
              <w:t>Coroner’s Court</w:t>
            </w:r>
          </w:p>
        </w:tc>
        <w:tc>
          <w:tcPr>
            <w:tcW w:w="992" w:type="dxa"/>
            <w:tcBorders>
              <w:bottom w:val="single" w:sz="4" w:space="0" w:color="auto"/>
            </w:tcBorders>
            <w:noWrap/>
            <w:vAlign w:val="center"/>
          </w:tcPr>
          <w:p w14:paraId="62A1A19C" w14:textId="77777777" w:rsidR="00FD6F91" w:rsidRPr="00847FAE" w:rsidRDefault="00FD6F91" w:rsidP="00FD6F91">
            <w:pPr>
              <w:jc w:val="center"/>
              <w:rPr>
                <w:rFonts w:cs="Calibri"/>
                <w:color w:val="000000"/>
                <w:sz w:val="18"/>
                <w:szCs w:val="18"/>
              </w:rPr>
            </w:pPr>
            <w:r w:rsidRPr="00847FAE">
              <w:rPr>
                <w:rFonts w:cs="Calibri"/>
                <w:color w:val="000000"/>
                <w:sz w:val="18"/>
                <w:szCs w:val="18"/>
              </w:rPr>
              <w:t>1.0</w:t>
            </w:r>
          </w:p>
        </w:tc>
        <w:tc>
          <w:tcPr>
            <w:tcW w:w="993" w:type="dxa"/>
            <w:tcBorders>
              <w:bottom w:val="single" w:sz="4" w:space="0" w:color="auto"/>
            </w:tcBorders>
            <w:noWrap/>
            <w:vAlign w:val="center"/>
          </w:tcPr>
          <w:p w14:paraId="6DC1DACD" w14:textId="77777777" w:rsidR="00FD6F91" w:rsidRPr="00847FAE" w:rsidRDefault="00FD6F91" w:rsidP="00FD6F91">
            <w:pPr>
              <w:jc w:val="center"/>
              <w:rPr>
                <w:rFonts w:cs="Calibri"/>
                <w:color w:val="000000"/>
                <w:sz w:val="18"/>
                <w:szCs w:val="18"/>
              </w:rPr>
            </w:pPr>
            <w:r w:rsidRPr="00847FAE">
              <w:rPr>
                <w:rFonts w:cs="Calibri"/>
                <w:color w:val="000000"/>
                <w:sz w:val="18"/>
                <w:szCs w:val="18"/>
              </w:rPr>
              <w:t>1.0</w:t>
            </w:r>
          </w:p>
        </w:tc>
        <w:tc>
          <w:tcPr>
            <w:tcW w:w="992" w:type="dxa"/>
            <w:tcBorders>
              <w:bottom w:val="single" w:sz="4" w:space="0" w:color="auto"/>
            </w:tcBorders>
            <w:noWrap/>
            <w:vAlign w:val="center"/>
          </w:tcPr>
          <w:p w14:paraId="40F3D159" w14:textId="37D0C7BF" w:rsidR="00FD6F91" w:rsidRPr="00847FAE" w:rsidRDefault="0009776C" w:rsidP="0009776C">
            <w:pPr>
              <w:jc w:val="center"/>
              <w:rPr>
                <w:rFonts w:cs="Calibri"/>
                <w:color w:val="000000"/>
                <w:sz w:val="18"/>
                <w:szCs w:val="18"/>
              </w:rPr>
            </w:pPr>
            <w:r>
              <w:rPr>
                <w:rFonts w:cs="Calibri"/>
                <w:color w:val="000000"/>
                <w:sz w:val="18"/>
                <w:szCs w:val="18"/>
              </w:rPr>
              <w:t>1.4</w:t>
            </w:r>
          </w:p>
        </w:tc>
        <w:tc>
          <w:tcPr>
            <w:tcW w:w="992" w:type="dxa"/>
            <w:tcBorders>
              <w:bottom w:val="single" w:sz="4" w:space="0" w:color="auto"/>
            </w:tcBorders>
            <w:noWrap/>
            <w:vAlign w:val="center"/>
          </w:tcPr>
          <w:p w14:paraId="64B32C4E" w14:textId="76A935DF" w:rsidR="00FD6F91" w:rsidRPr="00847FAE" w:rsidRDefault="00FD6F91" w:rsidP="0009776C">
            <w:pPr>
              <w:jc w:val="center"/>
              <w:rPr>
                <w:rFonts w:cs="Calibri"/>
                <w:color w:val="000000"/>
                <w:sz w:val="18"/>
                <w:szCs w:val="18"/>
              </w:rPr>
            </w:pPr>
            <w:r w:rsidRPr="00847FAE">
              <w:rPr>
                <w:rFonts w:cs="Calibri"/>
                <w:color w:val="000000"/>
                <w:sz w:val="18"/>
                <w:szCs w:val="18"/>
              </w:rPr>
              <w:t>3.</w:t>
            </w:r>
            <w:r w:rsidR="0009776C">
              <w:rPr>
                <w:rFonts w:cs="Calibri"/>
                <w:color w:val="000000"/>
                <w:sz w:val="18"/>
                <w:szCs w:val="18"/>
              </w:rPr>
              <w:t>1</w:t>
            </w:r>
          </w:p>
        </w:tc>
        <w:tc>
          <w:tcPr>
            <w:tcW w:w="992" w:type="dxa"/>
            <w:tcBorders>
              <w:bottom w:val="single" w:sz="4" w:space="0" w:color="auto"/>
            </w:tcBorders>
            <w:noWrap/>
            <w:vAlign w:val="center"/>
          </w:tcPr>
          <w:p w14:paraId="48B79888" w14:textId="77777777" w:rsidR="00FD6F91" w:rsidRPr="00847FAE" w:rsidRDefault="00FD6F91" w:rsidP="00FD6F91">
            <w:pPr>
              <w:jc w:val="center"/>
              <w:rPr>
                <w:rFonts w:cs="Calibri"/>
                <w:color w:val="000000"/>
                <w:sz w:val="18"/>
                <w:szCs w:val="18"/>
              </w:rPr>
            </w:pPr>
            <w:r w:rsidRPr="00847FAE">
              <w:rPr>
                <w:rFonts w:cs="Calibri"/>
                <w:color w:val="000000"/>
                <w:sz w:val="18"/>
                <w:szCs w:val="18"/>
              </w:rPr>
              <w:t>3.1</w:t>
            </w:r>
          </w:p>
        </w:tc>
        <w:tc>
          <w:tcPr>
            <w:tcW w:w="1134" w:type="dxa"/>
            <w:tcBorders>
              <w:bottom w:val="single" w:sz="4" w:space="0" w:color="auto"/>
            </w:tcBorders>
            <w:noWrap/>
            <w:vAlign w:val="center"/>
          </w:tcPr>
          <w:p w14:paraId="46637E56" w14:textId="26AEFC66" w:rsidR="00FD6F91" w:rsidRPr="00847FAE" w:rsidRDefault="00FD6F91" w:rsidP="0009776C">
            <w:pPr>
              <w:jc w:val="center"/>
              <w:rPr>
                <w:rFonts w:cs="Calibri"/>
                <w:color w:val="000000"/>
                <w:sz w:val="18"/>
                <w:szCs w:val="18"/>
              </w:rPr>
            </w:pPr>
            <w:r w:rsidRPr="00847FAE">
              <w:rPr>
                <w:rFonts w:cs="Calibri"/>
                <w:color w:val="000000"/>
                <w:sz w:val="18"/>
                <w:szCs w:val="18"/>
              </w:rPr>
              <w:t>0.</w:t>
            </w:r>
            <w:r w:rsidR="0009776C">
              <w:rPr>
                <w:rFonts w:cs="Calibri"/>
                <w:color w:val="000000"/>
                <w:sz w:val="18"/>
                <w:szCs w:val="18"/>
              </w:rPr>
              <w:t>0</w:t>
            </w:r>
            <w:r w:rsidRPr="00847FAE">
              <w:rPr>
                <w:rFonts w:cs="Calibri"/>
                <w:color w:val="000000"/>
                <w:sz w:val="18"/>
                <w:szCs w:val="18"/>
              </w:rPr>
              <w:t xml:space="preserve"> pp</w:t>
            </w:r>
          </w:p>
        </w:tc>
      </w:tr>
      <w:tr w:rsidR="00FD6F91" w:rsidRPr="00847FAE" w14:paraId="5F4320B0" w14:textId="77777777" w:rsidTr="001F1F60">
        <w:trPr>
          <w:cantSplit/>
          <w:trHeight w:val="20"/>
        </w:trPr>
        <w:tc>
          <w:tcPr>
            <w:tcW w:w="9067" w:type="dxa"/>
            <w:gridSpan w:val="10"/>
            <w:tcBorders>
              <w:top w:val="single" w:sz="4" w:space="0" w:color="auto"/>
            </w:tcBorders>
            <w:noWrap/>
            <w:vAlign w:val="center"/>
          </w:tcPr>
          <w:p w14:paraId="7DB5C427" w14:textId="77777777" w:rsidR="00FD6F91" w:rsidRPr="00847FAE" w:rsidRDefault="00FD6F91" w:rsidP="00FD6F91">
            <w:pPr>
              <w:keepNext/>
              <w:rPr>
                <w:rFonts w:cs="Calibri"/>
                <w:iCs/>
                <w:color w:val="000000"/>
                <w:sz w:val="15"/>
                <w:szCs w:val="15"/>
              </w:rPr>
            </w:pPr>
            <w:r w:rsidRPr="00847FAE">
              <w:rPr>
                <w:rFonts w:cs="Calibri"/>
                <w:b/>
                <w:iCs/>
                <w:color w:val="000000"/>
                <w:sz w:val="15"/>
                <w:szCs w:val="15"/>
              </w:rPr>
              <w:t>pp</w:t>
            </w:r>
            <w:r w:rsidRPr="00847FAE">
              <w:rPr>
                <w:rFonts w:cs="Calibri"/>
                <w:iCs/>
                <w:color w:val="000000"/>
                <w:sz w:val="15"/>
                <w:szCs w:val="15"/>
              </w:rPr>
              <w:t xml:space="preserve"> refers to percentage points</w:t>
            </w:r>
          </w:p>
          <w:p w14:paraId="413311EA" w14:textId="77777777" w:rsidR="00FD6F91" w:rsidRPr="00847FAE" w:rsidRDefault="00FD6F91" w:rsidP="00FD6F91">
            <w:pPr>
              <w:keepNext/>
              <w:rPr>
                <w:rFonts w:cs="Calibri"/>
                <w:iCs/>
                <w:color w:val="000000"/>
                <w:sz w:val="15"/>
                <w:szCs w:val="15"/>
              </w:rPr>
            </w:pPr>
            <w:r w:rsidRPr="00847FAE">
              <w:rPr>
                <w:rFonts w:cs="Calibri"/>
                <w:i/>
                <w:color w:val="000000"/>
                <w:sz w:val="15"/>
                <w:szCs w:val="15"/>
              </w:rPr>
              <w:t>Source: CRIMESStats database, Civil Registry Management System (CRMS).</w:t>
            </w:r>
          </w:p>
        </w:tc>
      </w:tr>
    </w:tbl>
    <w:p w14:paraId="2D49E23F" w14:textId="77777777" w:rsidR="00FD6F91" w:rsidRPr="00847FAE" w:rsidRDefault="00FD6F91" w:rsidP="00FD6F91">
      <w:pPr>
        <w:rPr>
          <w:rFonts w:eastAsiaTheme="minorHAnsi"/>
          <w:lang w:eastAsia="en-US"/>
        </w:rPr>
      </w:pPr>
    </w:p>
    <w:p w14:paraId="06794A5B" w14:textId="77777777" w:rsidR="00FD6F91" w:rsidRPr="00847FAE" w:rsidRDefault="00FD6F91" w:rsidP="00FD6F91">
      <w:pPr>
        <w:rPr>
          <w:rFonts w:eastAsiaTheme="minorHAnsi"/>
          <w:lang w:eastAsia="en-US"/>
        </w:rPr>
      </w:pPr>
    </w:p>
    <w:bookmarkEnd w:id="365"/>
    <w:bookmarkEnd w:id="364"/>
    <w:bookmarkEnd w:id="363"/>
    <w:bookmarkEnd w:id="362"/>
    <w:bookmarkEnd w:id="361"/>
    <w:bookmarkEnd w:id="360"/>
    <w:bookmarkEnd w:id="359"/>
    <w:p w14:paraId="579010F8" w14:textId="6BF073C6" w:rsidR="00DF59A8" w:rsidRPr="00847FAE" w:rsidRDefault="00DF59A8">
      <w:pPr>
        <w:rPr>
          <w:b/>
          <w:bCs/>
          <w:sz w:val="28"/>
          <w:szCs w:val="26"/>
        </w:rPr>
      </w:pPr>
      <w:r w:rsidRPr="00847FAE">
        <w:rPr>
          <w:b/>
          <w:bCs/>
          <w:sz w:val="28"/>
          <w:szCs w:val="26"/>
        </w:rPr>
        <w:br w:type="page"/>
      </w:r>
    </w:p>
    <w:p w14:paraId="6A1D3883" w14:textId="431723AA" w:rsidR="00DF59A8" w:rsidRPr="00847FAE" w:rsidRDefault="00DF59A8" w:rsidP="006D6732">
      <w:pPr>
        <w:pStyle w:val="Heading1"/>
      </w:pPr>
      <w:bookmarkStart w:id="402" w:name="_Toc247097000"/>
      <w:bookmarkStart w:id="403" w:name="_Toc277684636"/>
      <w:bookmarkStart w:id="404" w:name="_Toc311717661"/>
      <w:bookmarkStart w:id="405" w:name="_Toc311718306"/>
      <w:bookmarkStart w:id="406" w:name="_Toc311725671"/>
      <w:bookmarkStart w:id="407" w:name="_Toc432492834"/>
      <w:bookmarkStart w:id="408" w:name="_Toc529272656"/>
      <w:bookmarkStart w:id="409" w:name="_Toc1041205"/>
      <w:r w:rsidRPr="00847FAE">
        <w:lastRenderedPageBreak/>
        <w:t>Court Finances</w:t>
      </w:r>
      <w:bookmarkEnd w:id="402"/>
      <w:bookmarkEnd w:id="403"/>
      <w:bookmarkEnd w:id="404"/>
      <w:bookmarkEnd w:id="405"/>
      <w:bookmarkEnd w:id="406"/>
      <w:bookmarkEnd w:id="407"/>
      <w:bookmarkEnd w:id="408"/>
      <w:bookmarkEnd w:id="409"/>
    </w:p>
    <w:p w14:paraId="7E0DF96A" w14:textId="08DF6A46" w:rsidR="00DF59A8" w:rsidRPr="00847FAE" w:rsidRDefault="00DF59A8" w:rsidP="00DF59A8">
      <w:pPr>
        <w:spacing w:before="240" w:after="240" w:line="300" w:lineRule="exact"/>
      </w:pPr>
      <w:r w:rsidRPr="00847FAE">
        <w:t xml:space="preserve">The Magistrates Court contributes to the Department of Justice output entitled ‘Administration of Justice’.  </w:t>
      </w:r>
      <w:r w:rsidR="001E13D1">
        <w:t xml:space="preserve">The Court orders the payment of fees and fines, which are set out in Table 21.  </w:t>
      </w:r>
      <w:r w:rsidRPr="00847FAE">
        <w:t xml:space="preserve">The Court’s expenditure  is set out in Table </w:t>
      </w:r>
      <w:r w:rsidR="001E13D1">
        <w:t>22</w:t>
      </w:r>
      <w:r w:rsidRPr="00847FAE">
        <w:t>.</w:t>
      </w:r>
    </w:p>
    <w:p w14:paraId="1EAC56D5" w14:textId="584069D2" w:rsidR="001E13D1" w:rsidRDefault="00DF59A8" w:rsidP="006A622E">
      <w:pPr>
        <w:spacing w:before="240" w:after="240" w:line="300" w:lineRule="exact"/>
        <w:rPr>
          <w:rFonts w:eastAsiaTheme="majorEastAsia" w:cstheme="majorBidi"/>
          <w:lang w:eastAsia="en-US"/>
        </w:rPr>
      </w:pPr>
      <w:r w:rsidRPr="00847FAE">
        <w:t xml:space="preserve">The totals </w:t>
      </w:r>
      <w:r w:rsidR="001E13D1">
        <w:t xml:space="preserve">in Table 22 </w:t>
      </w:r>
      <w:r w:rsidRPr="00847FAE">
        <w:t>include expenditure from the Consolidated Revenue Fund and Reserve By Law.</w:t>
      </w:r>
      <w:bookmarkStart w:id="410" w:name="_Toc529018196"/>
      <w:r w:rsidR="006A622E">
        <w:rPr>
          <w:rFonts w:eastAsiaTheme="majorEastAsia" w:cstheme="majorBidi"/>
          <w:lang w:eastAsia="en-US"/>
        </w:rPr>
        <w:t xml:space="preserve"> </w:t>
      </w:r>
    </w:p>
    <w:p w14:paraId="157DA158" w14:textId="1AA93C2A" w:rsidR="0037416A" w:rsidRPr="00847FAE" w:rsidRDefault="0037416A" w:rsidP="006A622E">
      <w:pPr>
        <w:keepNext/>
        <w:keepLines/>
        <w:spacing w:before="40"/>
        <w:outlineLvl w:val="1"/>
        <w:rPr>
          <w:rFonts w:eastAsiaTheme="majorEastAsia" w:cstheme="majorBidi"/>
          <w:lang w:eastAsia="en-US"/>
        </w:rPr>
      </w:pPr>
      <w:bookmarkStart w:id="411" w:name="_Toc1041206"/>
      <w:r>
        <w:rPr>
          <w:rFonts w:eastAsiaTheme="majorEastAsia" w:cstheme="majorBidi"/>
          <w:lang w:eastAsia="en-US"/>
        </w:rPr>
        <w:t>Table 21</w:t>
      </w:r>
      <w:r w:rsidRPr="00847FAE">
        <w:rPr>
          <w:rFonts w:eastAsiaTheme="majorEastAsia" w:cstheme="majorBidi"/>
          <w:lang w:eastAsia="en-US"/>
        </w:rPr>
        <w:t>: Magistrates Court Fines and Fees (inc. Youth Justice Court), 2013-14 to 2017-18</w:t>
      </w:r>
      <w:bookmarkEnd w:id="411"/>
    </w:p>
    <w:tbl>
      <w:tblPr>
        <w:tblStyle w:val="TableGrid1"/>
        <w:tblW w:w="8741" w:type="dxa"/>
        <w:tblInd w:w="90" w:type="dxa"/>
        <w:tblLayout w:type="fixed"/>
        <w:tblLook w:val="04A0" w:firstRow="1" w:lastRow="0" w:firstColumn="1" w:lastColumn="0" w:noHBand="0" w:noVBand="1"/>
        <w:tblCaption w:val="Table21MagistratesCourtFinesandFeesincludingyouthjusticecourt"/>
        <w:tblDescription w:val="TabledescribingMagistratesCourtFinesandFeesincludingyouthjusticecourt2013_14to2017_18"/>
      </w:tblPr>
      <w:tblGrid>
        <w:gridCol w:w="273"/>
        <w:gridCol w:w="977"/>
        <w:gridCol w:w="1916"/>
        <w:gridCol w:w="860"/>
        <w:gridCol w:w="860"/>
        <w:gridCol w:w="860"/>
        <w:gridCol w:w="860"/>
        <w:gridCol w:w="954"/>
        <w:gridCol w:w="1181"/>
      </w:tblGrid>
      <w:tr w:rsidR="0037416A" w:rsidRPr="00847FAE" w14:paraId="49054D7F" w14:textId="77777777" w:rsidTr="004E3DB0">
        <w:trPr>
          <w:cantSplit/>
          <w:trHeight w:val="20"/>
          <w:tblHeader/>
        </w:trPr>
        <w:tc>
          <w:tcPr>
            <w:tcW w:w="273" w:type="dxa"/>
            <w:tcBorders>
              <w:top w:val="single" w:sz="4" w:space="0" w:color="auto"/>
              <w:left w:val="nil"/>
              <w:bottom w:val="single" w:sz="4" w:space="0" w:color="auto"/>
              <w:right w:val="nil"/>
            </w:tcBorders>
            <w:noWrap/>
            <w:hideMark/>
          </w:tcPr>
          <w:p w14:paraId="0FA37893" w14:textId="77777777" w:rsidR="0037416A" w:rsidRPr="00847FAE" w:rsidRDefault="0037416A" w:rsidP="004B6F5F">
            <w:pPr>
              <w:widowControl w:val="0"/>
              <w:rPr>
                <w:rFonts w:cs="Calibri"/>
                <w:color w:val="000000"/>
                <w:sz w:val="20"/>
                <w:szCs w:val="20"/>
              </w:rPr>
            </w:pPr>
            <w:r w:rsidRPr="00847FAE">
              <w:rPr>
                <w:rFonts w:cs="Calibri"/>
                <w:color w:val="000000"/>
                <w:sz w:val="20"/>
                <w:szCs w:val="20"/>
              </w:rPr>
              <w:t> </w:t>
            </w:r>
          </w:p>
        </w:tc>
        <w:tc>
          <w:tcPr>
            <w:tcW w:w="977" w:type="dxa"/>
            <w:tcBorders>
              <w:top w:val="single" w:sz="4" w:space="0" w:color="auto"/>
              <w:left w:val="nil"/>
              <w:bottom w:val="single" w:sz="4" w:space="0" w:color="auto"/>
              <w:right w:val="nil"/>
            </w:tcBorders>
            <w:noWrap/>
            <w:hideMark/>
          </w:tcPr>
          <w:p w14:paraId="0D555D72"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1916" w:type="dxa"/>
            <w:tcBorders>
              <w:top w:val="single" w:sz="4" w:space="0" w:color="auto"/>
              <w:left w:val="nil"/>
              <w:bottom w:val="single" w:sz="4" w:space="0" w:color="auto"/>
              <w:right w:val="nil"/>
            </w:tcBorders>
            <w:noWrap/>
            <w:hideMark/>
          </w:tcPr>
          <w:p w14:paraId="1EEEA12D"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60" w:type="dxa"/>
            <w:tcBorders>
              <w:top w:val="single" w:sz="4" w:space="0" w:color="auto"/>
              <w:left w:val="nil"/>
              <w:bottom w:val="single" w:sz="4" w:space="0" w:color="auto"/>
              <w:right w:val="nil"/>
            </w:tcBorders>
            <w:noWrap/>
            <w:vAlign w:val="bottom"/>
            <w:hideMark/>
          </w:tcPr>
          <w:p w14:paraId="43AA0F1E" w14:textId="77777777" w:rsidR="0037416A" w:rsidRPr="00847FAE" w:rsidRDefault="0037416A" w:rsidP="004B6F5F">
            <w:pPr>
              <w:widowControl w:val="0"/>
              <w:rPr>
                <w:rFonts w:cs="Calibri"/>
                <w:bCs/>
                <w:color w:val="000000"/>
                <w:sz w:val="18"/>
                <w:szCs w:val="18"/>
              </w:rPr>
            </w:pPr>
            <w:r w:rsidRPr="00847FAE">
              <w:rPr>
                <w:rFonts w:cs="Calibri"/>
                <w:bCs/>
                <w:color w:val="000000"/>
                <w:sz w:val="18"/>
                <w:szCs w:val="18"/>
              </w:rPr>
              <w:t>2013-14</w:t>
            </w:r>
          </w:p>
        </w:tc>
        <w:tc>
          <w:tcPr>
            <w:tcW w:w="860" w:type="dxa"/>
            <w:tcBorders>
              <w:top w:val="single" w:sz="4" w:space="0" w:color="auto"/>
              <w:left w:val="nil"/>
              <w:bottom w:val="single" w:sz="4" w:space="0" w:color="auto"/>
              <w:right w:val="nil"/>
            </w:tcBorders>
            <w:noWrap/>
            <w:vAlign w:val="bottom"/>
            <w:hideMark/>
          </w:tcPr>
          <w:p w14:paraId="6E12CE95" w14:textId="77777777" w:rsidR="0037416A" w:rsidRPr="00847FAE" w:rsidRDefault="0037416A" w:rsidP="004B6F5F">
            <w:pPr>
              <w:widowControl w:val="0"/>
              <w:jc w:val="center"/>
              <w:rPr>
                <w:rFonts w:cs="Calibri"/>
                <w:bCs/>
                <w:color w:val="000000"/>
                <w:sz w:val="18"/>
                <w:szCs w:val="18"/>
              </w:rPr>
            </w:pPr>
            <w:r w:rsidRPr="00847FAE">
              <w:rPr>
                <w:rFonts w:cs="Calibri"/>
                <w:bCs/>
                <w:color w:val="000000"/>
                <w:sz w:val="18"/>
                <w:szCs w:val="18"/>
              </w:rPr>
              <w:t>2014-15</w:t>
            </w:r>
          </w:p>
        </w:tc>
        <w:tc>
          <w:tcPr>
            <w:tcW w:w="860" w:type="dxa"/>
            <w:tcBorders>
              <w:top w:val="single" w:sz="4" w:space="0" w:color="auto"/>
              <w:left w:val="nil"/>
              <w:bottom w:val="single" w:sz="4" w:space="0" w:color="auto"/>
              <w:right w:val="nil"/>
            </w:tcBorders>
            <w:noWrap/>
            <w:vAlign w:val="bottom"/>
            <w:hideMark/>
          </w:tcPr>
          <w:p w14:paraId="628C1E6A" w14:textId="77777777" w:rsidR="0037416A" w:rsidRPr="00847FAE" w:rsidRDefault="0037416A" w:rsidP="004B6F5F">
            <w:pPr>
              <w:widowControl w:val="0"/>
              <w:jc w:val="center"/>
              <w:rPr>
                <w:rFonts w:cs="Calibri"/>
                <w:bCs/>
                <w:color w:val="000000"/>
                <w:sz w:val="18"/>
                <w:szCs w:val="18"/>
              </w:rPr>
            </w:pPr>
            <w:r w:rsidRPr="00847FAE">
              <w:rPr>
                <w:rFonts w:cs="Calibri"/>
                <w:bCs/>
                <w:color w:val="000000"/>
                <w:sz w:val="18"/>
                <w:szCs w:val="18"/>
              </w:rPr>
              <w:t>2015-16</w:t>
            </w:r>
          </w:p>
        </w:tc>
        <w:tc>
          <w:tcPr>
            <w:tcW w:w="860" w:type="dxa"/>
            <w:tcBorders>
              <w:top w:val="single" w:sz="4" w:space="0" w:color="auto"/>
              <w:left w:val="nil"/>
              <w:bottom w:val="single" w:sz="4" w:space="0" w:color="auto"/>
              <w:right w:val="nil"/>
            </w:tcBorders>
            <w:noWrap/>
            <w:vAlign w:val="bottom"/>
            <w:hideMark/>
          </w:tcPr>
          <w:p w14:paraId="3477C51D" w14:textId="77777777" w:rsidR="0037416A" w:rsidRPr="00847FAE" w:rsidRDefault="0037416A" w:rsidP="004B6F5F">
            <w:pPr>
              <w:widowControl w:val="0"/>
              <w:jc w:val="center"/>
              <w:rPr>
                <w:rFonts w:cs="Calibri"/>
                <w:bCs/>
                <w:color w:val="000000"/>
                <w:sz w:val="18"/>
                <w:szCs w:val="18"/>
              </w:rPr>
            </w:pPr>
            <w:r w:rsidRPr="00847FAE">
              <w:rPr>
                <w:rFonts w:cs="Calibri"/>
                <w:bCs/>
                <w:color w:val="000000"/>
                <w:sz w:val="18"/>
                <w:szCs w:val="18"/>
              </w:rPr>
              <w:t>2016-17</w:t>
            </w:r>
          </w:p>
        </w:tc>
        <w:tc>
          <w:tcPr>
            <w:tcW w:w="954" w:type="dxa"/>
            <w:tcBorders>
              <w:top w:val="single" w:sz="4" w:space="0" w:color="auto"/>
              <w:left w:val="nil"/>
              <w:bottom w:val="single" w:sz="4" w:space="0" w:color="auto"/>
              <w:right w:val="nil"/>
            </w:tcBorders>
            <w:noWrap/>
            <w:vAlign w:val="bottom"/>
            <w:hideMark/>
          </w:tcPr>
          <w:p w14:paraId="71D1C5FE" w14:textId="77777777" w:rsidR="0037416A" w:rsidRPr="00847FAE" w:rsidRDefault="0037416A" w:rsidP="004B6F5F">
            <w:pPr>
              <w:widowControl w:val="0"/>
              <w:jc w:val="center"/>
              <w:rPr>
                <w:rFonts w:cs="Calibri"/>
                <w:bCs/>
                <w:color w:val="000000"/>
                <w:sz w:val="18"/>
                <w:szCs w:val="18"/>
              </w:rPr>
            </w:pPr>
            <w:r w:rsidRPr="00847FAE">
              <w:rPr>
                <w:rFonts w:cs="Calibri"/>
                <w:bCs/>
                <w:color w:val="000000"/>
                <w:sz w:val="18"/>
                <w:szCs w:val="18"/>
              </w:rPr>
              <w:t>2017-18</w:t>
            </w:r>
          </w:p>
        </w:tc>
        <w:tc>
          <w:tcPr>
            <w:tcW w:w="1181" w:type="dxa"/>
            <w:tcBorders>
              <w:top w:val="single" w:sz="4" w:space="0" w:color="auto"/>
              <w:left w:val="nil"/>
              <w:bottom w:val="single" w:sz="4" w:space="0" w:color="auto"/>
              <w:right w:val="nil"/>
            </w:tcBorders>
            <w:vAlign w:val="bottom"/>
            <w:hideMark/>
          </w:tcPr>
          <w:p w14:paraId="17A5A706" w14:textId="77777777" w:rsidR="0037416A" w:rsidRPr="00847FAE" w:rsidRDefault="0037416A" w:rsidP="004B6F5F">
            <w:pPr>
              <w:widowControl w:val="0"/>
              <w:jc w:val="center"/>
              <w:rPr>
                <w:rFonts w:cs="Calibri"/>
                <w:bCs/>
                <w:color w:val="000000"/>
                <w:sz w:val="18"/>
                <w:szCs w:val="18"/>
              </w:rPr>
            </w:pPr>
            <w:r w:rsidRPr="00847FAE">
              <w:rPr>
                <w:rFonts w:cs="Calibri"/>
                <w:bCs/>
                <w:color w:val="000000"/>
                <w:sz w:val="18"/>
                <w:szCs w:val="18"/>
              </w:rPr>
              <w:t>change 2016-17 to 2017-18</w:t>
            </w:r>
          </w:p>
        </w:tc>
      </w:tr>
      <w:tr w:rsidR="0037416A" w:rsidRPr="00847FAE" w14:paraId="05E8E122" w14:textId="77777777" w:rsidTr="001F1F60">
        <w:trPr>
          <w:cantSplit/>
          <w:trHeight w:val="20"/>
        </w:trPr>
        <w:tc>
          <w:tcPr>
            <w:tcW w:w="3166" w:type="dxa"/>
            <w:gridSpan w:val="3"/>
            <w:tcBorders>
              <w:top w:val="single" w:sz="4" w:space="0" w:color="auto"/>
              <w:left w:val="nil"/>
              <w:bottom w:val="single" w:sz="4" w:space="0" w:color="auto"/>
              <w:right w:val="nil"/>
            </w:tcBorders>
            <w:shd w:val="clear" w:color="auto" w:fill="D9D9D9" w:themeFill="background1" w:themeFillShade="D9"/>
            <w:noWrap/>
            <w:vAlign w:val="center"/>
          </w:tcPr>
          <w:p w14:paraId="6B7AE371"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CRIMINAL</w:t>
            </w:r>
          </w:p>
        </w:tc>
        <w:tc>
          <w:tcPr>
            <w:tcW w:w="860" w:type="dxa"/>
            <w:tcBorders>
              <w:top w:val="single" w:sz="4" w:space="0" w:color="auto"/>
              <w:left w:val="nil"/>
              <w:bottom w:val="single" w:sz="4" w:space="0" w:color="auto"/>
              <w:right w:val="nil"/>
            </w:tcBorders>
            <w:shd w:val="clear" w:color="auto" w:fill="D9D9D9" w:themeFill="background1" w:themeFillShade="D9"/>
            <w:noWrap/>
            <w:vAlign w:val="center"/>
            <w:hideMark/>
          </w:tcPr>
          <w:p w14:paraId="64744BE0" w14:textId="77777777" w:rsidR="0037416A" w:rsidRPr="00847FAE" w:rsidRDefault="0037416A" w:rsidP="004B6F5F">
            <w:pPr>
              <w:widowControl w:val="0"/>
              <w:rPr>
                <w:rFonts w:cs="Calibri"/>
                <w:color w:val="000000"/>
                <w:sz w:val="18"/>
                <w:szCs w:val="18"/>
              </w:rPr>
            </w:pPr>
          </w:p>
        </w:tc>
        <w:tc>
          <w:tcPr>
            <w:tcW w:w="860" w:type="dxa"/>
            <w:tcBorders>
              <w:top w:val="single" w:sz="4" w:space="0" w:color="auto"/>
              <w:left w:val="nil"/>
              <w:bottom w:val="single" w:sz="4" w:space="0" w:color="auto"/>
              <w:right w:val="nil"/>
            </w:tcBorders>
            <w:shd w:val="clear" w:color="auto" w:fill="D9D9D9" w:themeFill="background1" w:themeFillShade="D9"/>
            <w:noWrap/>
            <w:vAlign w:val="center"/>
            <w:hideMark/>
          </w:tcPr>
          <w:p w14:paraId="5C8FCAE2"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60" w:type="dxa"/>
            <w:tcBorders>
              <w:top w:val="single" w:sz="4" w:space="0" w:color="auto"/>
              <w:left w:val="nil"/>
              <w:bottom w:val="single" w:sz="4" w:space="0" w:color="auto"/>
              <w:right w:val="nil"/>
            </w:tcBorders>
            <w:shd w:val="clear" w:color="auto" w:fill="D9D9D9" w:themeFill="background1" w:themeFillShade="D9"/>
            <w:noWrap/>
            <w:vAlign w:val="center"/>
            <w:hideMark/>
          </w:tcPr>
          <w:p w14:paraId="13671945"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860" w:type="dxa"/>
            <w:tcBorders>
              <w:top w:val="single" w:sz="4" w:space="0" w:color="auto"/>
              <w:left w:val="nil"/>
              <w:bottom w:val="single" w:sz="4" w:space="0" w:color="auto"/>
              <w:right w:val="nil"/>
            </w:tcBorders>
            <w:shd w:val="clear" w:color="auto" w:fill="D9D9D9" w:themeFill="background1" w:themeFillShade="D9"/>
            <w:noWrap/>
            <w:vAlign w:val="center"/>
            <w:hideMark/>
          </w:tcPr>
          <w:p w14:paraId="75412562"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954" w:type="dxa"/>
            <w:tcBorders>
              <w:top w:val="single" w:sz="4" w:space="0" w:color="auto"/>
              <w:left w:val="nil"/>
              <w:bottom w:val="single" w:sz="4" w:space="0" w:color="auto"/>
              <w:right w:val="nil"/>
            </w:tcBorders>
            <w:shd w:val="clear" w:color="auto" w:fill="D9D9D9" w:themeFill="background1" w:themeFillShade="D9"/>
            <w:noWrap/>
            <w:vAlign w:val="center"/>
            <w:hideMark/>
          </w:tcPr>
          <w:p w14:paraId="5F441F14"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c>
          <w:tcPr>
            <w:tcW w:w="1181" w:type="dxa"/>
            <w:tcBorders>
              <w:top w:val="single" w:sz="4" w:space="0" w:color="auto"/>
              <w:left w:val="nil"/>
              <w:bottom w:val="single" w:sz="4" w:space="0" w:color="auto"/>
              <w:right w:val="nil"/>
            </w:tcBorders>
            <w:shd w:val="clear" w:color="auto" w:fill="D9D9D9" w:themeFill="background1" w:themeFillShade="D9"/>
            <w:noWrap/>
            <w:vAlign w:val="center"/>
            <w:hideMark/>
          </w:tcPr>
          <w:p w14:paraId="5369337B"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 </w:t>
            </w:r>
          </w:p>
        </w:tc>
      </w:tr>
      <w:tr w:rsidR="0037416A" w:rsidRPr="00847FAE" w14:paraId="3FB1B414" w14:textId="77777777" w:rsidTr="001F1F60">
        <w:trPr>
          <w:cantSplit/>
          <w:trHeight w:val="227"/>
        </w:trPr>
        <w:tc>
          <w:tcPr>
            <w:tcW w:w="3166" w:type="dxa"/>
            <w:gridSpan w:val="3"/>
            <w:tcBorders>
              <w:top w:val="single" w:sz="4" w:space="0" w:color="auto"/>
              <w:left w:val="nil"/>
              <w:bottom w:val="nil"/>
              <w:right w:val="nil"/>
            </w:tcBorders>
            <w:noWrap/>
          </w:tcPr>
          <w:p w14:paraId="52119AF6" w14:textId="77777777" w:rsidR="0037416A" w:rsidRPr="00847FAE" w:rsidRDefault="0037416A" w:rsidP="004B6F5F">
            <w:pPr>
              <w:widowControl w:val="0"/>
              <w:rPr>
                <w:rFonts w:cs="Calibri"/>
                <w:iCs/>
                <w:color w:val="000000"/>
                <w:sz w:val="18"/>
                <w:szCs w:val="18"/>
              </w:rPr>
            </w:pPr>
            <w:r w:rsidRPr="00847FAE">
              <w:rPr>
                <w:rFonts w:cs="Calibri"/>
                <w:iCs/>
                <w:color w:val="000000"/>
                <w:sz w:val="18"/>
                <w:szCs w:val="18"/>
              </w:rPr>
              <w:t xml:space="preserve">   Fines</w:t>
            </w:r>
          </w:p>
        </w:tc>
        <w:tc>
          <w:tcPr>
            <w:tcW w:w="860" w:type="dxa"/>
            <w:tcBorders>
              <w:top w:val="single" w:sz="4" w:space="0" w:color="auto"/>
              <w:left w:val="nil"/>
              <w:bottom w:val="nil"/>
              <w:right w:val="nil"/>
            </w:tcBorders>
            <w:noWrap/>
            <w:vAlign w:val="center"/>
          </w:tcPr>
          <w:p w14:paraId="08729F65" w14:textId="77777777" w:rsidR="0037416A" w:rsidRPr="001E13D1" w:rsidRDefault="0037416A" w:rsidP="004B6F5F">
            <w:pPr>
              <w:jc w:val="center"/>
              <w:rPr>
                <w:rFonts w:cs="Calibri"/>
                <w:color w:val="000000"/>
                <w:sz w:val="18"/>
                <w:szCs w:val="18"/>
              </w:rPr>
            </w:pPr>
            <w:r w:rsidRPr="001E13D1">
              <w:rPr>
                <w:rFonts w:cs="Calibri"/>
                <w:color w:val="000000"/>
                <w:sz w:val="18"/>
                <w:szCs w:val="18"/>
              </w:rPr>
              <w:t>3,052</w:t>
            </w:r>
          </w:p>
        </w:tc>
        <w:tc>
          <w:tcPr>
            <w:tcW w:w="860" w:type="dxa"/>
            <w:tcBorders>
              <w:top w:val="single" w:sz="4" w:space="0" w:color="auto"/>
              <w:left w:val="nil"/>
              <w:bottom w:val="nil"/>
              <w:right w:val="nil"/>
            </w:tcBorders>
            <w:noWrap/>
            <w:vAlign w:val="center"/>
          </w:tcPr>
          <w:p w14:paraId="305998DE" w14:textId="77777777" w:rsidR="0037416A" w:rsidRPr="001E13D1" w:rsidRDefault="0037416A" w:rsidP="004B6F5F">
            <w:pPr>
              <w:jc w:val="center"/>
              <w:rPr>
                <w:rFonts w:cs="Calibri"/>
                <w:color w:val="000000"/>
                <w:sz w:val="18"/>
                <w:szCs w:val="18"/>
              </w:rPr>
            </w:pPr>
            <w:r w:rsidRPr="001E13D1">
              <w:rPr>
                <w:rFonts w:cs="Calibri"/>
                <w:color w:val="000000"/>
                <w:sz w:val="18"/>
                <w:szCs w:val="18"/>
              </w:rPr>
              <w:t>3,312</w:t>
            </w:r>
          </w:p>
        </w:tc>
        <w:tc>
          <w:tcPr>
            <w:tcW w:w="860" w:type="dxa"/>
            <w:tcBorders>
              <w:top w:val="single" w:sz="4" w:space="0" w:color="auto"/>
              <w:left w:val="nil"/>
              <w:bottom w:val="nil"/>
              <w:right w:val="nil"/>
            </w:tcBorders>
            <w:noWrap/>
            <w:vAlign w:val="center"/>
          </w:tcPr>
          <w:p w14:paraId="784A58CF" w14:textId="77777777" w:rsidR="0037416A" w:rsidRPr="001E13D1" w:rsidRDefault="0037416A" w:rsidP="004B6F5F">
            <w:pPr>
              <w:jc w:val="center"/>
              <w:rPr>
                <w:rFonts w:cs="Calibri"/>
                <w:color w:val="000000"/>
                <w:sz w:val="18"/>
                <w:szCs w:val="18"/>
              </w:rPr>
            </w:pPr>
            <w:r w:rsidRPr="001E13D1">
              <w:rPr>
                <w:rFonts w:cs="Calibri"/>
                <w:color w:val="000000"/>
                <w:sz w:val="18"/>
                <w:szCs w:val="18"/>
              </w:rPr>
              <w:t>3,919</w:t>
            </w:r>
          </w:p>
        </w:tc>
        <w:tc>
          <w:tcPr>
            <w:tcW w:w="860" w:type="dxa"/>
            <w:tcBorders>
              <w:top w:val="single" w:sz="4" w:space="0" w:color="auto"/>
              <w:left w:val="nil"/>
              <w:bottom w:val="nil"/>
              <w:right w:val="nil"/>
            </w:tcBorders>
            <w:noWrap/>
            <w:vAlign w:val="center"/>
          </w:tcPr>
          <w:p w14:paraId="573DE712" w14:textId="77777777" w:rsidR="0037416A" w:rsidRPr="001E13D1" w:rsidRDefault="0037416A" w:rsidP="004B6F5F">
            <w:pPr>
              <w:jc w:val="center"/>
              <w:rPr>
                <w:rFonts w:cs="Calibri"/>
                <w:color w:val="000000"/>
                <w:sz w:val="18"/>
                <w:szCs w:val="18"/>
              </w:rPr>
            </w:pPr>
            <w:r w:rsidRPr="001E13D1">
              <w:rPr>
                <w:rFonts w:cs="Calibri"/>
                <w:color w:val="000000"/>
                <w:sz w:val="18"/>
                <w:szCs w:val="18"/>
              </w:rPr>
              <w:t>4,211</w:t>
            </w:r>
          </w:p>
        </w:tc>
        <w:tc>
          <w:tcPr>
            <w:tcW w:w="954" w:type="dxa"/>
            <w:tcBorders>
              <w:top w:val="single" w:sz="4" w:space="0" w:color="auto"/>
              <w:left w:val="nil"/>
              <w:bottom w:val="nil"/>
              <w:right w:val="nil"/>
            </w:tcBorders>
            <w:noWrap/>
            <w:vAlign w:val="center"/>
          </w:tcPr>
          <w:p w14:paraId="7CD690B3" w14:textId="77777777" w:rsidR="0037416A" w:rsidRPr="00847FAE" w:rsidRDefault="0037416A" w:rsidP="004B6F5F">
            <w:pPr>
              <w:jc w:val="center"/>
              <w:rPr>
                <w:rFonts w:cs="Calibri"/>
                <w:color w:val="000000"/>
                <w:sz w:val="18"/>
                <w:szCs w:val="18"/>
              </w:rPr>
            </w:pPr>
            <w:r w:rsidRPr="00847FAE">
              <w:rPr>
                <w:rFonts w:cs="Calibri"/>
                <w:color w:val="000000"/>
                <w:sz w:val="18"/>
                <w:szCs w:val="18"/>
              </w:rPr>
              <w:t>4,861</w:t>
            </w:r>
          </w:p>
        </w:tc>
        <w:tc>
          <w:tcPr>
            <w:tcW w:w="1181" w:type="dxa"/>
            <w:tcBorders>
              <w:top w:val="single" w:sz="4" w:space="0" w:color="auto"/>
              <w:left w:val="nil"/>
              <w:bottom w:val="nil"/>
              <w:right w:val="nil"/>
            </w:tcBorders>
            <w:noWrap/>
            <w:vAlign w:val="center"/>
          </w:tcPr>
          <w:p w14:paraId="4E7A2A33" w14:textId="77777777" w:rsidR="0037416A" w:rsidRPr="00847FAE" w:rsidRDefault="0037416A" w:rsidP="004B6F5F">
            <w:pPr>
              <w:jc w:val="center"/>
              <w:rPr>
                <w:rFonts w:cs="Calibri"/>
                <w:color w:val="000000"/>
                <w:sz w:val="18"/>
                <w:szCs w:val="18"/>
              </w:rPr>
            </w:pPr>
            <w:r w:rsidRPr="00847FAE">
              <w:rPr>
                <w:rFonts w:cs="Calibri"/>
                <w:color w:val="000000"/>
                <w:sz w:val="18"/>
                <w:szCs w:val="18"/>
              </w:rPr>
              <w:t>15.4%</w:t>
            </w:r>
          </w:p>
        </w:tc>
      </w:tr>
      <w:tr w:rsidR="0037416A" w:rsidRPr="00847FAE" w14:paraId="7ADBAC7A" w14:textId="77777777" w:rsidTr="001F1F60">
        <w:trPr>
          <w:cantSplit/>
          <w:trHeight w:val="227"/>
        </w:trPr>
        <w:tc>
          <w:tcPr>
            <w:tcW w:w="3166" w:type="dxa"/>
            <w:gridSpan w:val="3"/>
            <w:tcBorders>
              <w:top w:val="nil"/>
              <w:left w:val="nil"/>
              <w:bottom w:val="nil"/>
              <w:right w:val="nil"/>
            </w:tcBorders>
            <w:noWrap/>
          </w:tcPr>
          <w:p w14:paraId="1F563D08" w14:textId="77777777" w:rsidR="0037416A" w:rsidRPr="00847FAE" w:rsidRDefault="0037416A" w:rsidP="004B6F5F">
            <w:pPr>
              <w:widowControl w:val="0"/>
              <w:rPr>
                <w:rFonts w:cs="Calibri"/>
                <w:iCs/>
                <w:color w:val="000000"/>
                <w:sz w:val="18"/>
                <w:szCs w:val="18"/>
              </w:rPr>
            </w:pPr>
            <w:r w:rsidRPr="00847FAE">
              <w:rPr>
                <w:rFonts w:cs="Calibri"/>
                <w:iCs/>
                <w:color w:val="000000"/>
                <w:sz w:val="18"/>
                <w:szCs w:val="18"/>
              </w:rPr>
              <w:t xml:space="preserve">   Court Costs</w:t>
            </w:r>
          </w:p>
        </w:tc>
        <w:tc>
          <w:tcPr>
            <w:tcW w:w="860" w:type="dxa"/>
            <w:tcBorders>
              <w:top w:val="nil"/>
              <w:left w:val="nil"/>
              <w:bottom w:val="nil"/>
              <w:right w:val="nil"/>
            </w:tcBorders>
            <w:noWrap/>
            <w:vAlign w:val="center"/>
          </w:tcPr>
          <w:p w14:paraId="4A70269C" w14:textId="77777777" w:rsidR="0037416A" w:rsidRPr="00847FAE" w:rsidRDefault="0037416A" w:rsidP="004B6F5F">
            <w:pPr>
              <w:jc w:val="center"/>
              <w:rPr>
                <w:rFonts w:cs="Calibri"/>
                <w:color w:val="000000"/>
                <w:sz w:val="18"/>
                <w:szCs w:val="18"/>
              </w:rPr>
            </w:pPr>
            <w:r w:rsidRPr="00847FAE">
              <w:rPr>
                <w:rFonts w:cs="Calibri"/>
                <w:color w:val="000000"/>
                <w:sz w:val="18"/>
                <w:szCs w:val="18"/>
              </w:rPr>
              <w:t>664</w:t>
            </w:r>
          </w:p>
        </w:tc>
        <w:tc>
          <w:tcPr>
            <w:tcW w:w="860" w:type="dxa"/>
            <w:tcBorders>
              <w:top w:val="nil"/>
              <w:left w:val="nil"/>
              <w:bottom w:val="nil"/>
              <w:right w:val="nil"/>
            </w:tcBorders>
            <w:noWrap/>
            <w:vAlign w:val="center"/>
          </w:tcPr>
          <w:p w14:paraId="4B860C2F" w14:textId="77777777" w:rsidR="0037416A" w:rsidRPr="00847FAE" w:rsidRDefault="0037416A" w:rsidP="004B6F5F">
            <w:pPr>
              <w:jc w:val="center"/>
              <w:rPr>
                <w:rFonts w:cs="Calibri"/>
                <w:color w:val="000000"/>
                <w:sz w:val="18"/>
                <w:szCs w:val="18"/>
              </w:rPr>
            </w:pPr>
            <w:r w:rsidRPr="00847FAE">
              <w:rPr>
                <w:rFonts w:cs="Calibri"/>
                <w:color w:val="000000"/>
                <w:sz w:val="18"/>
                <w:szCs w:val="18"/>
              </w:rPr>
              <w:t>710</w:t>
            </w:r>
          </w:p>
        </w:tc>
        <w:tc>
          <w:tcPr>
            <w:tcW w:w="860" w:type="dxa"/>
            <w:tcBorders>
              <w:top w:val="nil"/>
              <w:left w:val="nil"/>
              <w:bottom w:val="nil"/>
              <w:right w:val="nil"/>
            </w:tcBorders>
            <w:noWrap/>
            <w:vAlign w:val="center"/>
          </w:tcPr>
          <w:p w14:paraId="708E34EC" w14:textId="77777777" w:rsidR="0037416A" w:rsidRPr="00847FAE" w:rsidRDefault="0037416A" w:rsidP="004B6F5F">
            <w:pPr>
              <w:jc w:val="center"/>
              <w:rPr>
                <w:rFonts w:cs="Calibri"/>
                <w:color w:val="000000"/>
                <w:sz w:val="18"/>
                <w:szCs w:val="18"/>
              </w:rPr>
            </w:pPr>
            <w:r w:rsidRPr="00847FAE">
              <w:rPr>
                <w:rFonts w:cs="Calibri"/>
                <w:color w:val="000000"/>
                <w:sz w:val="18"/>
                <w:szCs w:val="18"/>
              </w:rPr>
              <w:t>814</w:t>
            </w:r>
          </w:p>
        </w:tc>
        <w:tc>
          <w:tcPr>
            <w:tcW w:w="860" w:type="dxa"/>
            <w:tcBorders>
              <w:top w:val="nil"/>
              <w:left w:val="nil"/>
              <w:bottom w:val="nil"/>
              <w:right w:val="nil"/>
            </w:tcBorders>
            <w:noWrap/>
            <w:vAlign w:val="center"/>
          </w:tcPr>
          <w:p w14:paraId="1A913760" w14:textId="77777777" w:rsidR="0037416A" w:rsidRPr="00847FAE" w:rsidRDefault="0037416A" w:rsidP="004B6F5F">
            <w:pPr>
              <w:jc w:val="center"/>
              <w:rPr>
                <w:rFonts w:cs="Calibri"/>
                <w:color w:val="000000"/>
                <w:sz w:val="18"/>
                <w:szCs w:val="18"/>
              </w:rPr>
            </w:pPr>
            <w:r w:rsidRPr="00847FAE">
              <w:rPr>
                <w:rFonts w:cs="Calibri"/>
                <w:color w:val="000000"/>
                <w:sz w:val="18"/>
                <w:szCs w:val="18"/>
              </w:rPr>
              <w:t>829</w:t>
            </w:r>
          </w:p>
        </w:tc>
        <w:tc>
          <w:tcPr>
            <w:tcW w:w="954" w:type="dxa"/>
            <w:tcBorders>
              <w:top w:val="nil"/>
              <w:left w:val="nil"/>
              <w:bottom w:val="nil"/>
              <w:right w:val="nil"/>
            </w:tcBorders>
            <w:noWrap/>
            <w:vAlign w:val="center"/>
          </w:tcPr>
          <w:p w14:paraId="5006183E" w14:textId="77777777" w:rsidR="0037416A" w:rsidRPr="00847FAE" w:rsidRDefault="0037416A" w:rsidP="004B6F5F">
            <w:pPr>
              <w:jc w:val="center"/>
              <w:rPr>
                <w:rFonts w:cs="Calibri"/>
                <w:color w:val="000000"/>
                <w:sz w:val="18"/>
                <w:szCs w:val="18"/>
              </w:rPr>
            </w:pPr>
            <w:r w:rsidRPr="00847FAE">
              <w:rPr>
                <w:rFonts w:cs="Calibri"/>
                <w:color w:val="000000"/>
                <w:sz w:val="18"/>
                <w:szCs w:val="18"/>
              </w:rPr>
              <w:t>871</w:t>
            </w:r>
          </w:p>
        </w:tc>
        <w:tc>
          <w:tcPr>
            <w:tcW w:w="1181" w:type="dxa"/>
            <w:tcBorders>
              <w:top w:val="nil"/>
              <w:left w:val="nil"/>
              <w:bottom w:val="nil"/>
              <w:right w:val="nil"/>
            </w:tcBorders>
            <w:noWrap/>
            <w:vAlign w:val="center"/>
          </w:tcPr>
          <w:p w14:paraId="14DCEF79" w14:textId="77777777" w:rsidR="0037416A" w:rsidRPr="00847FAE" w:rsidRDefault="0037416A" w:rsidP="004B6F5F">
            <w:pPr>
              <w:jc w:val="center"/>
              <w:rPr>
                <w:rFonts w:cs="Calibri"/>
                <w:color w:val="000000"/>
                <w:sz w:val="18"/>
                <w:szCs w:val="18"/>
              </w:rPr>
            </w:pPr>
            <w:r w:rsidRPr="00847FAE">
              <w:rPr>
                <w:rFonts w:cs="Calibri"/>
                <w:color w:val="000000"/>
                <w:sz w:val="18"/>
                <w:szCs w:val="18"/>
              </w:rPr>
              <w:t>5.0%</w:t>
            </w:r>
          </w:p>
        </w:tc>
      </w:tr>
      <w:tr w:rsidR="0037416A" w:rsidRPr="00847FAE" w14:paraId="2B7CD351" w14:textId="77777777" w:rsidTr="001F1F60">
        <w:trPr>
          <w:cantSplit/>
          <w:trHeight w:val="227"/>
        </w:trPr>
        <w:tc>
          <w:tcPr>
            <w:tcW w:w="3166" w:type="dxa"/>
            <w:gridSpan w:val="3"/>
            <w:tcBorders>
              <w:top w:val="nil"/>
              <w:left w:val="nil"/>
              <w:bottom w:val="nil"/>
              <w:right w:val="nil"/>
            </w:tcBorders>
            <w:noWrap/>
            <w:vAlign w:val="center"/>
          </w:tcPr>
          <w:p w14:paraId="5874B503" w14:textId="77777777" w:rsidR="0037416A" w:rsidRPr="00847FAE" w:rsidRDefault="0037416A" w:rsidP="004B6F5F">
            <w:pPr>
              <w:rPr>
                <w:rFonts w:cs="Calibri"/>
                <w:color w:val="000000"/>
                <w:sz w:val="18"/>
                <w:szCs w:val="18"/>
              </w:rPr>
            </w:pPr>
            <w:r w:rsidRPr="00847FAE">
              <w:rPr>
                <w:rFonts w:cs="Calibri"/>
                <w:iCs/>
                <w:color w:val="000000"/>
                <w:sz w:val="18"/>
                <w:szCs w:val="18"/>
              </w:rPr>
              <w:t xml:space="preserve">   Appeal Costs Fund Levy</w:t>
            </w:r>
          </w:p>
        </w:tc>
        <w:tc>
          <w:tcPr>
            <w:tcW w:w="860" w:type="dxa"/>
            <w:tcBorders>
              <w:top w:val="nil"/>
              <w:left w:val="nil"/>
              <w:bottom w:val="nil"/>
              <w:right w:val="nil"/>
            </w:tcBorders>
            <w:noWrap/>
            <w:vAlign w:val="center"/>
          </w:tcPr>
          <w:p w14:paraId="10511520" w14:textId="77777777" w:rsidR="0037416A" w:rsidRPr="00847FAE" w:rsidRDefault="0037416A" w:rsidP="004B6F5F">
            <w:pPr>
              <w:jc w:val="center"/>
              <w:rPr>
                <w:rFonts w:cs="Calibri"/>
                <w:color w:val="000000"/>
                <w:sz w:val="18"/>
                <w:szCs w:val="18"/>
              </w:rPr>
            </w:pPr>
            <w:r w:rsidRPr="00847FAE">
              <w:rPr>
                <w:rFonts w:cs="Calibri"/>
                <w:color w:val="000000"/>
                <w:sz w:val="18"/>
                <w:szCs w:val="18"/>
              </w:rPr>
              <w:t>25</w:t>
            </w:r>
          </w:p>
        </w:tc>
        <w:tc>
          <w:tcPr>
            <w:tcW w:w="860" w:type="dxa"/>
            <w:tcBorders>
              <w:top w:val="nil"/>
              <w:left w:val="nil"/>
              <w:bottom w:val="nil"/>
              <w:right w:val="nil"/>
            </w:tcBorders>
            <w:noWrap/>
            <w:vAlign w:val="center"/>
          </w:tcPr>
          <w:p w14:paraId="11A428B8" w14:textId="77777777" w:rsidR="0037416A" w:rsidRPr="00847FAE" w:rsidRDefault="0037416A" w:rsidP="004B6F5F">
            <w:pPr>
              <w:jc w:val="center"/>
              <w:rPr>
                <w:rFonts w:cs="Calibri"/>
                <w:color w:val="000000"/>
                <w:sz w:val="18"/>
                <w:szCs w:val="18"/>
              </w:rPr>
            </w:pPr>
            <w:r w:rsidRPr="00847FAE">
              <w:rPr>
                <w:rFonts w:cs="Calibri"/>
                <w:color w:val="000000"/>
                <w:sz w:val="18"/>
                <w:szCs w:val="18"/>
              </w:rPr>
              <w:t>28</w:t>
            </w:r>
          </w:p>
        </w:tc>
        <w:tc>
          <w:tcPr>
            <w:tcW w:w="860" w:type="dxa"/>
            <w:tcBorders>
              <w:top w:val="nil"/>
              <w:left w:val="nil"/>
              <w:bottom w:val="nil"/>
              <w:right w:val="nil"/>
            </w:tcBorders>
            <w:noWrap/>
            <w:vAlign w:val="center"/>
          </w:tcPr>
          <w:p w14:paraId="61BAE83E" w14:textId="77777777" w:rsidR="0037416A" w:rsidRPr="00847FAE" w:rsidRDefault="0037416A" w:rsidP="004B6F5F">
            <w:pPr>
              <w:jc w:val="center"/>
              <w:rPr>
                <w:rFonts w:cs="Calibri"/>
                <w:color w:val="000000"/>
                <w:sz w:val="18"/>
                <w:szCs w:val="18"/>
              </w:rPr>
            </w:pPr>
            <w:r w:rsidRPr="00847FAE">
              <w:rPr>
                <w:rFonts w:cs="Calibri"/>
                <w:color w:val="000000"/>
                <w:sz w:val="18"/>
                <w:szCs w:val="18"/>
              </w:rPr>
              <w:t>31</w:t>
            </w:r>
          </w:p>
        </w:tc>
        <w:tc>
          <w:tcPr>
            <w:tcW w:w="860" w:type="dxa"/>
            <w:tcBorders>
              <w:top w:val="nil"/>
              <w:left w:val="nil"/>
              <w:bottom w:val="nil"/>
              <w:right w:val="nil"/>
            </w:tcBorders>
            <w:noWrap/>
            <w:vAlign w:val="center"/>
          </w:tcPr>
          <w:p w14:paraId="5A6C84B6" w14:textId="77777777" w:rsidR="0037416A" w:rsidRPr="00847FAE" w:rsidRDefault="0037416A" w:rsidP="004B6F5F">
            <w:pPr>
              <w:jc w:val="center"/>
              <w:rPr>
                <w:rFonts w:cs="Calibri"/>
                <w:color w:val="000000"/>
                <w:sz w:val="18"/>
                <w:szCs w:val="18"/>
              </w:rPr>
            </w:pPr>
            <w:r w:rsidRPr="00847FAE">
              <w:rPr>
                <w:rFonts w:cs="Calibri"/>
                <w:color w:val="000000"/>
                <w:sz w:val="18"/>
                <w:szCs w:val="18"/>
              </w:rPr>
              <w:t>32</w:t>
            </w:r>
          </w:p>
        </w:tc>
        <w:tc>
          <w:tcPr>
            <w:tcW w:w="954" w:type="dxa"/>
            <w:tcBorders>
              <w:top w:val="nil"/>
              <w:left w:val="nil"/>
              <w:bottom w:val="nil"/>
              <w:right w:val="nil"/>
            </w:tcBorders>
            <w:noWrap/>
            <w:vAlign w:val="center"/>
          </w:tcPr>
          <w:p w14:paraId="102C336E" w14:textId="77777777" w:rsidR="0037416A" w:rsidRPr="00847FAE" w:rsidRDefault="0037416A" w:rsidP="004B6F5F">
            <w:pPr>
              <w:jc w:val="center"/>
              <w:rPr>
                <w:rFonts w:cs="Calibri"/>
                <w:color w:val="000000"/>
                <w:sz w:val="18"/>
                <w:szCs w:val="18"/>
              </w:rPr>
            </w:pPr>
            <w:r w:rsidRPr="00847FAE">
              <w:rPr>
                <w:rFonts w:cs="Calibri"/>
                <w:color w:val="000000"/>
                <w:sz w:val="18"/>
                <w:szCs w:val="18"/>
              </w:rPr>
              <w:t>33</w:t>
            </w:r>
          </w:p>
        </w:tc>
        <w:tc>
          <w:tcPr>
            <w:tcW w:w="1181" w:type="dxa"/>
            <w:tcBorders>
              <w:top w:val="nil"/>
              <w:left w:val="nil"/>
              <w:bottom w:val="nil"/>
              <w:right w:val="nil"/>
            </w:tcBorders>
            <w:noWrap/>
            <w:vAlign w:val="center"/>
          </w:tcPr>
          <w:p w14:paraId="0ABDB95D" w14:textId="77777777" w:rsidR="0037416A" w:rsidRPr="00847FAE" w:rsidRDefault="0037416A" w:rsidP="004B6F5F">
            <w:pPr>
              <w:jc w:val="center"/>
              <w:rPr>
                <w:rFonts w:cs="Calibri"/>
                <w:color w:val="000000"/>
                <w:sz w:val="18"/>
                <w:szCs w:val="18"/>
              </w:rPr>
            </w:pPr>
            <w:r w:rsidRPr="00847FAE">
              <w:rPr>
                <w:rFonts w:cs="Calibri"/>
                <w:color w:val="000000"/>
                <w:sz w:val="18"/>
                <w:szCs w:val="18"/>
              </w:rPr>
              <w:t>2.8%</w:t>
            </w:r>
          </w:p>
        </w:tc>
      </w:tr>
      <w:tr w:rsidR="0037416A" w:rsidRPr="00847FAE" w14:paraId="6AC552CF" w14:textId="77777777" w:rsidTr="001F1F60">
        <w:trPr>
          <w:cantSplit/>
          <w:trHeight w:val="227"/>
        </w:trPr>
        <w:tc>
          <w:tcPr>
            <w:tcW w:w="3166" w:type="dxa"/>
            <w:gridSpan w:val="3"/>
            <w:tcBorders>
              <w:top w:val="nil"/>
              <w:left w:val="nil"/>
              <w:bottom w:val="nil"/>
              <w:right w:val="nil"/>
            </w:tcBorders>
            <w:noWrap/>
            <w:vAlign w:val="center"/>
          </w:tcPr>
          <w:p w14:paraId="6EC39C8B" w14:textId="77777777" w:rsidR="0037416A" w:rsidRPr="00847FAE" w:rsidRDefault="0037416A" w:rsidP="004B6F5F">
            <w:pPr>
              <w:rPr>
                <w:rFonts w:cs="Calibri"/>
                <w:color w:val="000000"/>
                <w:sz w:val="18"/>
                <w:szCs w:val="18"/>
              </w:rPr>
            </w:pPr>
            <w:r w:rsidRPr="00847FAE">
              <w:rPr>
                <w:rFonts w:cs="Calibri"/>
                <w:iCs/>
                <w:color w:val="000000"/>
                <w:sz w:val="18"/>
                <w:szCs w:val="18"/>
              </w:rPr>
              <w:t xml:space="preserve">   Victims of Crime Compensation Levy</w:t>
            </w:r>
          </w:p>
        </w:tc>
        <w:tc>
          <w:tcPr>
            <w:tcW w:w="860" w:type="dxa"/>
            <w:tcBorders>
              <w:top w:val="nil"/>
              <w:left w:val="nil"/>
              <w:bottom w:val="nil"/>
              <w:right w:val="nil"/>
            </w:tcBorders>
            <w:noWrap/>
            <w:vAlign w:val="center"/>
          </w:tcPr>
          <w:p w14:paraId="615983B2" w14:textId="77777777" w:rsidR="0037416A" w:rsidRPr="00847FAE" w:rsidRDefault="0037416A" w:rsidP="004B6F5F">
            <w:pPr>
              <w:jc w:val="center"/>
              <w:rPr>
                <w:rFonts w:cs="Calibri"/>
                <w:color w:val="000000"/>
                <w:sz w:val="18"/>
                <w:szCs w:val="18"/>
              </w:rPr>
            </w:pPr>
            <w:r w:rsidRPr="00847FAE">
              <w:rPr>
                <w:rFonts w:cs="Calibri"/>
                <w:color w:val="000000"/>
                <w:sz w:val="18"/>
                <w:szCs w:val="18"/>
              </w:rPr>
              <w:t>251</w:t>
            </w:r>
          </w:p>
        </w:tc>
        <w:tc>
          <w:tcPr>
            <w:tcW w:w="860" w:type="dxa"/>
            <w:tcBorders>
              <w:top w:val="nil"/>
              <w:left w:val="nil"/>
              <w:bottom w:val="nil"/>
              <w:right w:val="nil"/>
            </w:tcBorders>
            <w:noWrap/>
            <w:vAlign w:val="center"/>
          </w:tcPr>
          <w:p w14:paraId="421E1F9A" w14:textId="77777777" w:rsidR="0037416A" w:rsidRPr="00847FAE" w:rsidRDefault="0037416A" w:rsidP="004B6F5F">
            <w:pPr>
              <w:jc w:val="center"/>
              <w:rPr>
                <w:rFonts w:cs="Calibri"/>
                <w:color w:val="000000"/>
                <w:sz w:val="18"/>
                <w:szCs w:val="18"/>
              </w:rPr>
            </w:pPr>
            <w:r w:rsidRPr="00847FAE">
              <w:rPr>
                <w:rFonts w:cs="Calibri"/>
                <w:color w:val="000000"/>
                <w:sz w:val="18"/>
                <w:szCs w:val="18"/>
              </w:rPr>
              <w:t>263</w:t>
            </w:r>
          </w:p>
        </w:tc>
        <w:tc>
          <w:tcPr>
            <w:tcW w:w="860" w:type="dxa"/>
            <w:tcBorders>
              <w:top w:val="nil"/>
              <w:left w:val="nil"/>
              <w:bottom w:val="nil"/>
              <w:right w:val="nil"/>
            </w:tcBorders>
            <w:noWrap/>
            <w:vAlign w:val="center"/>
          </w:tcPr>
          <w:p w14:paraId="18AF2BEB" w14:textId="77777777" w:rsidR="0037416A" w:rsidRPr="00847FAE" w:rsidRDefault="0037416A" w:rsidP="004B6F5F">
            <w:pPr>
              <w:jc w:val="center"/>
              <w:rPr>
                <w:rFonts w:cs="Calibri"/>
                <w:color w:val="000000"/>
                <w:sz w:val="18"/>
                <w:szCs w:val="18"/>
              </w:rPr>
            </w:pPr>
            <w:r w:rsidRPr="00847FAE">
              <w:rPr>
                <w:rFonts w:cs="Calibri"/>
                <w:color w:val="000000"/>
                <w:sz w:val="18"/>
                <w:szCs w:val="18"/>
              </w:rPr>
              <w:t>312</w:t>
            </w:r>
          </w:p>
        </w:tc>
        <w:tc>
          <w:tcPr>
            <w:tcW w:w="860" w:type="dxa"/>
            <w:tcBorders>
              <w:top w:val="nil"/>
              <w:left w:val="nil"/>
              <w:bottom w:val="nil"/>
              <w:right w:val="nil"/>
            </w:tcBorders>
            <w:noWrap/>
            <w:vAlign w:val="center"/>
          </w:tcPr>
          <w:p w14:paraId="1334891A" w14:textId="77777777" w:rsidR="0037416A" w:rsidRPr="00847FAE" w:rsidRDefault="0037416A" w:rsidP="004B6F5F">
            <w:pPr>
              <w:jc w:val="center"/>
              <w:rPr>
                <w:rFonts w:cs="Calibri"/>
                <w:color w:val="000000"/>
                <w:sz w:val="18"/>
                <w:szCs w:val="18"/>
              </w:rPr>
            </w:pPr>
            <w:r w:rsidRPr="00847FAE">
              <w:rPr>
                <w:rFonts w:cs="Calibri"/>
                <w:color w:val="000000"/>
                <w:sz w:val="18"/>
                <w:szCs w:val="18"/>
              </w:rPr>
              <w:t>288</w:t>
            </w:r>
          </w:p>
        </w:tc>
        <w:tc>
          <w:tcPr>
            <w:tcW w:w="954" w:type="dxa"/>
            <w:tcBorders>
              <w:top w:val="nil"/>
              <w:left w:val="nil"/>
              <w:bottom w:val="nil"/>
              <w:right w:val="nil"/>
            </w:tcBorders>
            <w:noWrap/>
            <w:vAlign w:val="center"/>
          </w:tcPr>
          <w:p w14:paraId="617C5CCC" w14:textId="77777777" w:rsidR="0037416A" w:rsidRPr="00847FAE" w:rsidRDefault="0037416A" w:rsidP="004B6F5F">
            <w:pPr>
              <w:jc w:val="center"/>
              <w:rPr>
                <w:rFonts w:cs="Calibri"/>
                <w:color w:val="000000"/>
                <w:sz w:val="18"/>
                <w:szCs w:val="18"/>
              </w:rPr>
            </w:pPr>
            <w:r w:rsidRPr="00847FAE">
              <w:rPr>
                <w:rFonts w:cs="Calibri"/>
                <w:color w:val="000000"/>
                <w:sz w:val="18"/>
                <w:szCs w:val="18"/>
              </w:rPr>
              <w:t>326</w:t>
            </w:r>
          </w:p>
        </w:tc>
        <w:tc>
          <w:tcPr>
            <w:tcW w:w="1181" w:type="dxa"/>
            <w:tcBorders>
              <w:top w:val="nil"/>
              <w:left w:val="nil"/>
              <w:bottom w:val="nil"/>
              <w:right w:val="nil"/>
            </w:tcBorders>
            <w:noWrap/>
            <w:vAlign w:val="center"/>
          </w:tcPr>
          <w:p w14:paraId="7B00DA58" w14:textId="77777777" w:rsidR="0037416A" w:rsidRPr="00847FAE" w:rsidRDefault="0037416A" w:rsidP="004B6F5F">
            <w:pPr>
              <w:jc w:val="center"/>
              <w:rPr>
                <w:rFonts w:cs="Calibri"/>
                <w:color w:val="000000"/>
                <w:sz w:val="18"/>
                <w:szCs w:val="18"/>
              </w:rPr>
            </w:pPr>
            <w:r w:rsidRPr="00847FAE">
              <w:rPr>
                <w:rFonts w:cs="Calibri"/>
                <w:color w:val="000000"/>
                <w:sz w:val="18"/>
                <w:szCs w:val="18"/>
              </w:rPr>
              <w:t>13.1%</w:t>
            </w:r>
          </w:p>
        </w:tc>
      </w:tr>
      <w:tr w:rsidR="0037416A" w:rsidRPr="00847FAE" w14:paraId="231EB78B" w14:textId="77777777" w:rsidTr="001F1F60">
        <w:trPr>
          <w:cantSplit/>
          <w:trHeight w:val="227"/>
        </w:trPr>
        <w:tc>
          <w:tcPr>
            <w:tcW w:w="3166" w:type="dxa"/>
            <w:gridSpan w:val="3"/>
            <w:tcBorders>
              <w:top w:val="nil"/>
              <w:left w:val="nil"/>
              <w:bottom w:val="single" w:sz="4" w:space="0" w:color="auto"/>
              <w:right w:val="nil"/>
            </w:tcBorders>
            <w:noWrap/>
          </w:tcPr>
          <w:p w14:paraId="2F06BE52" w14:textId="61514A98" w:rsidR="0037416A" w:rsidRPr="00FA2D13" w:rsidRDefault="0037416A" w:rsidP="004B6F5F">
            <w:pPr>
              <w:widowControl w:val="0"/>
              <w:rPr>
                <w:rFonts w:cs="Calibri"/>
                <w:iCs/>
                <w:color w:val="000000"/>
                <w:sz w:val="18"/>
                <w:szCs w:val="18"/>
                <w:vertAlign w:val="superscript"/>
              </w:rPr>
            </w:pPr>
            <w:r w:rsidRPr="00847FAE">
              <w:rPr>
                <w:rFonts w:cs="Calibri"/>
                <w:iCs/>
                <w:color w:val="000000"/>
                <w:sz w:val="18"/>
                <w:szCs w:val="18"/>
              </w:rPr>
              <w:t xml:space="preserve">   Other Costs</w:t>
            </w:r>
            <w:r w:rsidR="00FA2D13">
              <w:rPr>
                <w:rFonts w:cs="Calibri"/>
                <w:iCs/>
                <w:color w:val="000000"/>
                <w:sz w:val="18"/>
                <w:szCs w:val="18"/>
                <w:vertAlign w:val="superscript"/>
              </w:rPr>
              <w:t>1</w:t>
            </w:r>
          </w:p>
        </w:tc>
        <w:tc>
          <w:tcPr>
            <w:tcW w:w="860" w:type="dxa"/>
            <w:tcBorders>
              <w:top w:val="nil"/>
              <w:left w:val="nil"/>
              <w:bottom w:val="single" w:sz="4" w:space="0" w:color="auto"/>
              <w:right w:val="nil"/>
            </w:tcBorders>
            <w:noWrap/>
            <w:vAlign w:val="center"/>
          </w:tcPr>
          <w:p w14:paraId="30C011A7" w14:textId="77777777" w:rsidR="0037416A" w:rsidRPr="00847FAE" w:rsidRDefault="0037416A" w:rsidP="004B6F5F">
            <w:pPr>
              <w:jc w:val="center"/>
              <w:rPr>
                <w:rFonts w:cs="Calibri"/>
                <w:color w:val="000000"/>
                <w:sz w:val="18"/>
                <w:szCs w:val="18"/>
              </w:rPr>
            </w:pPr>
            <w:r w:rsidRPr="00847FAE">
              <w:rPr>
                <w:rFonts w:cs="Calibri"/>
                <w:color w:val="000000"/>
                <w:sz w:val="18"/>
                <w:szCs w:val="18"/>
              </w:rPr>
              <w:t>272</w:t>
            </w:r>
          </w:p>
        </w:tc>
        <w:tc>
          <w:tcPr>
            <w:tcW w:w="860" w:type="dxa"/>
            <w:tcBorders>
              <w:top w:val="nil"/>
              <w:left w:val="nil"/>
              <w:bottom w:val="single" w:sz="4" w:space="0" w:color="auto"/>
              <w:right w:val="nil"/>
            </w:tcBorders>
            <w:noWrap/>
            <w:vAlign w:val="center"/>
          </w:tcPr>
          <w:p w14:paraId="5372008B" w14:textId="77777777" w:rsidR="0037416A" w:rsidRPr="00847FAE" w:rsidRDefault="0037416A" w:rsidP="004B6F5F">
            <w:pPr>
              <w:jc w:val="center"/>
              <w:rPr>
                <w:rFonts w:cs="Calibri"/>
                <w:color w:val="000000"/>
                <w:sz w:val="18"/>
                <w:szCs w:val="18"/>
              </w:rPr>
            </w:pPr>
            <w:r w:rsidRPr="00847FAE">
              <w:rPr>
                <w:rFonts w:cs="Calibri"/>
                <w:color w:val="000000"/>
                <w:sz w:val="18"/>
                <w:szCs w:val="18"/>
              </w:rPr>
              <w:t>250</w:t>
            </w:r>
          </w:p>
        </w:tc>
        <w:tc>
          <w:tcPr>
            <w:tcW w:w="860" w:type="dxa"/>
            <w:tcBorders>
              <w:top w:val="nil"/>
              <w:left w:val="nil"/>
              <w:bottom w:val="single" w:sz="4" w:space="0" w:color="auto"/>
              <w:right w:val="nil"/>
            </w:tcBorders>
            <w:noWrap/>
            <w:vAlign w:val="center"/>
          </w:tcPr>
          <w:p w14:paraId="578BBC45" w14:textId="77777777" w:rsidR="0037416A" w:rsidRPr="00847FAE" w:rsidRDefault="0037416A" w:rsidP="004B6F5F">
            <w:pPr>
              <w:jc w:val="center"/>
              <w:rPr>
                <w:rFonts w:cs="Calibri"/>
                <w:color w:val="000000"/>
                <w:sz w:val="18"/>
                <w:szCs w:val="18"/>
              </w:rPr>
            </w:pPr>
            <w:r w:rsidRPr="00847FAE">
              <w:rPr>
                <w:rFonts w:cs="Calibri"/>
                <w:color w:val="000000"/>
                <w:sz w:val="18"/>
                <w:szCs w:val="18"/>
              </w:rPr>
              <w:t>272</w:t>
            </w:r>
          </w:p>
        </w:tc>
        <w:tc>
          <w:tcPr>
            <w:tcW w:w="860" w:type="dxa"/>
            <w:tcBorders>
              <w:top w:val="nil"/>
              <w:left w:val="nil"/>
              <w:bottom w:val="single" w:sz="4" w:space="0" w:color="auto"/>
              <w:right w:val="nil"/>
            </w:tcBorders>
            <w:noWrap/>
            <w:vAlign w:val="center"/>
          </w:tcPr>
          <w:p w14:paraId="26C292DC" w14:textId="77777777" w:rsidR="0037416A" w:rsidRPr="00847FAE" w:rsidRDefault="0037416A" w:rsidP="004B6F5F">
            <w:pPr>
              <w:jc w:val="center"/>
              <w:rPr>
                <w:rFonts w:cs="Calibri"/>
                <w:color w:val="000000"/>
                <w:sz w:val="18"/>
                <w:szCs w:val="18"/>
              </w:rPr>
            </w:pPr>
            <w:r w:rsidRPr="00847FAE">
              <w:rPr>
                <w:rFonts w:cs="Calibri"/>
                <w:color w:val="000000"/>
                <w:sz w:val="18"/>
                <w:szCs w:val="18"/>
              </w:rPr>
              <w:t>155</w:t>
            </w:r>
          </w:p>
        </w:tc>
        <w:tc>
          <w:tcPr>
            <w:tcW w:w="954" w:type="dxa"/>
            <w:tcBorders>
              <w:top w:val="nil"/>
              <w:left w:val="nil"/>
              <w:bottom w:val="single" w:sz="4" w:space="0" w:color="auto"/>
              <w:right w:val="nil"/>
            </w:tcBorders>
            <w:noWrap/>
            <w:vAlign w:val="center"/>
          </w:tcPr>
          <w:p w14:paraId="1188DC10" w14:textId="77777777" w:rsidR="0037416A" w:rsidRPr="00847FAE" w:rsidRDefault="0037416A" w:rsidP="004B6F5F">
            <w:pPr>
              <w:jc w:val="center"/>
              <w:rPr>
                <w:rFonts w:cs="Calibri"/>
                <w:color w:val="000000"/>
                <w:sz w:val="18"/>
                <w:szCs w:val="18"/>
              </w:rPr>
            </w:pPr>
            <w:r w:rsidRPr="00847FAE">
              <w:rPr>
                <w:rFonts w:cs="Calibri"/>
                <w:color w:val="000000"/>
                <w:sz w:val="18"/>
                <w:szCs w:val="18"/>
              </w:rPr>
              <w:t>247</w:t>
            </w:r>
          </w:p>
        </w:tc>
        <w:tc>
          <w:tcPr>
            <w:tcW w:w="1181" w:type="dxa"/>
            <w:tcBorders>
              <w:top w:val="nil"/>
              <w:left w:val="nil"/>
              <w:bottom w:val="single" w:sz="4" w:space="0" w:color="auto"/>
              <w:right w:val="nil"/>
            </w:tcBorders>
            <w:noWrap/>
            <w:vAlign w:val="center"/>
          </w:tcPr>
          <w:p w14:paraId="4A6F18FE" w14:textId="77777777" w:rsidR="0037416A" w:rsidRPr="00847FAE" w:rsidRDefault="0037416A" w:rsidP="004B6F5F">
            <w:pPr>
              <w:jc w:val="center"/>
              <w:rPr>
                <w:rFonts w:cs="Calibri"/>
                <w:color w:val="000000"/>
                <w:sz w:val="18"/>
                <w:szCs w:val="18"/>
              </w:rPr>
            </w:pPr>
            <w:r w:rsidRPr="00847FAE">
              <w:rPr>
                <w:rFonts w:cs="Calibri"/>
                <w:color w:val="000000"/>
                <w:sz w:val="18"/>
                <w:szCs w:val="18"/>
              </w:rPr>
              <w:t>59.3%</w:t>
            </w:r>
          </w:p>
        </w:tc>
      </w:tr>
      <w:tr w:rsidR="0037416A" w:rsidRPr="00847FAE" w14:paraId="3C5B2DC0" w14:textId="77777777" w:rsidTr="001F1F60">
        <w:trPr>
          <w:cantSplit/>
          <w:trHeight w:val="20"/>
        </w:trPr>
        <w:tc>
          <w:tcPr>
            <w:tcW w:w="3166" w:type="dxa"/>
            <w:gridSpan w:val="3"/>
            <w:tcBorders>
              <w:top w:val="single" w:sz="4" w:space="0" w:color="auto"/>
              <w:left w:val="nil"/>
              <w:bottom w:val="single" w:sz="4" w:space="0" w:color="auto"/>
              <w:right w:val="nil"/>
            </w:tcBorders>
            <w:shd w:val="clear" w:color="auto" w:fill="D9D9D9" w:themeFill="background1" w:themeFillShade="D9"/>
            <w:noWrap/>
            <w:vAlign w:val="center"/>
          </w:tcPr>
          <w:p w14:paraId="6C741F38" w14:textId="77777777" w:rsidR="0037416A" w:rsidRPr="00847FAE" w:rsidRDefault="0037416A" w:rsidP="004B6F5F">
            <w:pPr>
              <w:widowControl w:val="0"/>
              <w:rPr>
                <w:rFonts w:cs="Calibri"/>
                <w:color w:val="000000"/>
                <w:sz w:val="18"/>
                <w:szCs w:val="18"/>
              </w:rPr>
            </w:pPr>
            <w:r w:rsidRPr="00847FAE">
              <w:rPr>
                <w:rFonts w:cs="Calibri"/>
                <w:color w:val="000000"/>
                <w:sz w:val="18"/>
                <w:szCs w:val="18"/>
              </w:rPr>
              <w:t>CIVIL</w:t>
            </w:r>
          </w:p>
        </w:tc>
        <w:tc>
          <w:tcPr>
            <w:tcW w:w="860" w:type="dxa"/>
            <w:tcBorders>
              <w:top w:val="single" w:sz="4" w:space="0" w:color="auto"/>
              <w:left w:val="nil"/>
              <w:bottom w:val="single" w:sz="4" w:space="0" w:color="auto"/>
              <w:right w:val="nil"/>
            </w:tcBorders>
            <w:shd w:val="clear" w:color="auto" w:fill="D9D9D9" w:themeFill="background1" w:themeFillShade="D9"/>
            <w:noWrap/>
            <w:vAlign w:val="center"/>
          </w:tcPr>
          <w:p w14:paraId="3DDE8B60" w14:textId="77777777" w:rsidR="0037416A" w:rsidRPr="00847FAE" w:rsidRDefault="0037416A" w:rsidP="004B6F5F">
            <w:pPr>
              <w:widowControl w:val="0"/>
              <w:jc w:val="center"/>
              <w:rPr>
                <w:rFonts w:cs="Calibri"/>
                <w:color w:val="000000"/>
                <w:sz w:val="18"/>
                <w:szCs w:val="18"/>
              </w:rPr>
            </w:pPr>
          </w:p>
        </w:tc>
        <w:tc>
          <w:tcPr>
            <w:tcW w:w="860" w:type="dxa"/>
            <w:tcBorders>
              <w:top w:val="single" w:sz="4" w:space="0" w:color="auto"/>
              <w:left w:val="nil"/>
              <w:bottom w:val="single" w:sz="4" w:space="0" w:color="auto"/>
              <w:right w:val="nil"/>
            </w:tcBorders>
            <w:shd w:val="clear" w:color="auto" w:fill="D9D9D9" w:themeFill="background1" w:themeFillShade="D9"/>
            <w:noWrap/>
            <w:vAlign w:val="center"/>
          </w:tcPr>
          <w:p w14:paraId="1D95A83C" w14:textId="77777777" w:rsidR="0037416A" w:rsidRPr="00847FAE" w:rsidRDefault="0037416A" w:rsidP="004B6F5F">
            <w:pPr>
              <w:widowControl w:val="0"/>
              <w:jc w:val="center"/>
              <w:rPr>
                <w:rFonts w:cs="Calibri"/>
                <w:color w:val="000000"/>
                <w:sz w:val="18"/>
                <w:szCs w:val="18"/>
              </w:rPr>
            </w:pPr>
          </w:p>
        </w:tc>
        <w:tc>
          <w:tcPr>
            <w:tcW w:w="860" w:type="dxa"/>
            <w:tcBorders>
              <w:top w:val="single" w:sz="4" w:space="0" w:color="auto"/>
              <w:left w:val="nil"/>
              <w:bottom w:val="single" w:sz="4" w:space="0" w:color="auto"/>
              <w:right w:val="nil"/>
            </w:tcBorders>
            <w:shd w:val="clear" w:color="auto" w:fill="D9D9D9" w:themeFill="background1" w:themeFillShade="D9"/>
            <w:noWrap/>
            <w:vAlign w:val="center"/>
          </w:tcPr>
          <w:p w14:paraId="1163CEC8" w14:textId="77777777" w:rsidR="0037416A" w:rsidRPr="00847FAE" w:rsidRDefault="0037416A" w:rsidP="004B6F5F">
            <w:pPr>
              <w:widowControl w:val="0"/>
              <w:jc w:val="center"/>
              <w:rPr>
                <w:rFonts w:cs="Calibri"/>
                <w:color w:val="000000"/>
                <w:sz w:val="18"/>
                <w:szCs w:val="18"/>
              </w:rPr>
            </w:pPr>
          </w:p>
        </w:tc>
        <w:tc>
          <w:tcPr>
            <w:tcW w:w="860" w:type="dxa"/>
            <w:tcBorders>
              <w:top w:val="single" w:sz="4" w:space="0" w:color="auto"/>
              <w:left w:val="nil"/>
              <w:bottom w:val="single" w:sz="4" w:space="0" w:color="auto"/>
              <w:right w:val="nil"/>
            </w:tcBorders>
            <w:shd w:val="clear" w:color="auto" w:fill="D9D9D9" w:themeFill="background1" w:themeFillShade="D9"/>
            <w:noWrap/>
            <w:vAlign w:val="center"/>
          </w:tcPr>
          <w:p w14:paraId="3D007EFC" w14:textId="77777777" w:rsidR="0037416A" w:rsidRPr="00847FAE" w:rsidRDefault="0037416A" w:rsidP="004B6F5F">
            <w:pPr>
              <w:widowControl w:val="0"/>
              <w:jc w:val="center"/>
              <w:rPr>
                <w:rFonts w:cs="Calibri"/>
                <w:color w:val="000000"/>
                <w:sz w:val="18"/>
                <w:szCs w:val="18"/>
              </w:rPr>
            </w:pPr>
          </w:p>
        </w:tc>
        <w:tc>
          <w:tcPr>
            <w:tcW w:w="954" w:type="dxa"/>
            <w:tcBorders>
              <w:top w:val="single" w:sz="4" w:space="0" w:color="auto"/>
              <w:left w:val="nil"/>
              <w:bottom w:val="single" w:sz="4" w:space="0" w:color="auto"/>
              <w:right w:val="nil"/>
            </w:tcBorders>
            <w:shd w:val="clear" w:color="auto" w:fill="D9D9D9" w:themeFill="background1" w:themeFillShade="D9"/>
            <w:noWrap/>
            <w:vAlign w:val="center"/>
          </w:tcPr>
          <w:p w14:paraId="57146974" w14:textId="77777777" w:rsidR="0037416A" w:rsidRPr="00847FAE" w:rsidRDefault="0037416A" w:rsidP="004B6F5F">
            <w:pPr>
              <w:widowControl w:val="0"/>
              <w:jc w:val="center"/>
              <w:rPr>
                <w:rFonts w:cs="Calibri"/>
                <w:color w:val="000000"/>
                <w:sz w:val="18"/>
                <w:szCs w:val="18"/>
              </w:rPr>
            </w:pPr>
          </w:p>
        </w:tc>
        <w:tc>
          <w:tcPr>
            <w:tcW w:w="1181" w:type="dxa"/>
            <w:tcBorders>
              <w:top w:val="single" w:sz="4" w:space="0" w:color="auto"/>
              <w:left w:val="nil"/>
              <w:bottom w:val="single" w:sz="4" w:space="0" w:color="auto"/>
              <w:right w:val="nil"/>
            </w:tcBorders>
            <w:shd w:val="clear" w:color="auto" w:fill="D9D9D9" w:themeFill="background1" w:themeFillShade="D9"/>
            <w:noWrap/>
            <w:vAlign w:val="center"/>
          </w:tcPr>
          <w:p w14:paraId="451E7429" w14:textId="77777777" w:rsidR="0037416A" w:rsidRPr="00847FAE" w:rsidRDefault="0037416A" w:rsidP="004B6F5F">
            <w:pPr>
              <w:widowControl w:val="0"/>
              <w:jc w:val="center"/>
              <w:rPr>
                <w:rFonts w:cs="Calibri"/>
                <w:color w:val="000000"/>
                <w:sz w:val="18"/>
                <w:szCs w:val="18"/>
              </w:rPr>
            </w:pPr>
          </w:p>
        </w:tc>
      </w:tr>
      <w:tr w:rsidR="0037416A" w:rsidRPr="00847FAE" w14:paraId="1D5E30F1" w14:textId="77777777" w:rsidTr="001F1F60">
        <w:trPr>
          <w:cantSplit/>
          <w:trHeight w:val="20"/>
        </w:trPr>
        <w:tc>
          <w:tcPr>
            <w:tcW w:w="3166" w:type="dxa"/>
            <w:gridSpan w:val="3"/>
            <w:tcBorders>
              <w:top w:val="single" w:sz="4" w:space="0" w:color="auto"/>
              <w:left w:val="nil"/>
              <w:bottom w:val="single" w:sz="4" w:space="0" w:color="auto"/>
              <w:right w:val="nil"/>
            </w:tcBorders>
            <w:noWrap/>
            <w:vAlign w:val="center"/>
          </w:tcPr>
          <w:p w14:paraId="10F6E4F6" w14:textId="77777777" w:rsidR="0037416A" w:rsidRPr="00847FAE" w:rsidRDefault="0037416A" w:rsidP="004B6F5F">
            <w:pPr>
              <w:widowControl w:val="0"/>
              <w:rPr>
                <w:rFonts w:cs="Calibri"/>
                <w:color w:val="000000"/>
                <w:sz w:val="18"/>
                <w:szCs w:val="18"/>
              </w:rPr>
            </w:pPr>
            <w:r w:rsidRPr="00847FAE">
              <w:rPr>
                <w:rFonts w:cs="Calibri"/>
                <w:iCs/>
                <w:color w:val="000000"/>
                <w:sz w:val="18"/>
                <w:szCs w:val="18"/>
              </w:rPr>
              <w:t xml:space="preserve">   Civil Court Fees</w:t>
            </w:r>
          </w:p>
        </w:tc>
        <w:tc>
          <w:tcPr>
            <w:tcW w:w="860" w:type="dxa"/>
            <w:tcBorders>
              <w:top w:val="single" w:sz="4" w:space="0" w:color="auto"/>
              <w:left w:val="nil"/>
              <w:bottom w:val="single" w:sz="4" w:space="0" w:color="auto"/>
              <w:right w:val="nil"/>
            </w:tcBorders>
            <w:noWrap/>
            <w:vAlign w:val="center"/>
          </w:tcPr>
          <w:p w14:paraId="6ABA6C69" w14:textId="77777777" w:rsidR="0037416A" w:rsidRPr="00847FAE" w:rsidRDefault="0037416A" w:rsidP="004B6F5F">
            <w:pPr>
              <w:widowControl w:val="0"/>
              <w:jc w:val="center"/>
              <w:rPr>
                <w:rFonts w:cs="Calibri"/>
                <w:color w:val="000000"/>
                <w:sz w:val="18"/>
                <w:szCs w:val="18"/>
              </w:rPr>
            </w:pPr>
            <w:r w:rsidRPr="00847FAE">
              <w:rPr>
                <w:rFonts w:cs="Calibri"/>
                <w:color w:val="000000"/>
                <w:sz w:val="18"/>
                <w:szCs w:val="18"/>
              </w:rPr>
              <w:t>574</w:t>
            </w:r>
          </w:p>
        </w:tc>
        <w:tc>
          <w:tcPr>
            <w:tcW w:w="860" w:type="dxa"/>
            <w:tcBorders>
              <w:top w:val="single" w:sz="4" w:space="0" w:color="auto"/>
              <w:left w:val="nil"/>
              <w:bottom w:val="single" w:sz="4" w:space="0" w:color="auto"/>
              <w:right w:val="nil"/>
            </w:tcBorders>
            <w:noWrap/>
            <w:vAlign w:val="center"/>
          </w:tcPr>
          <w:p w14:paraId="0CDDD715" w14:textId="77777777" w:rsidR="0037416A" w:rsidRPr="00847FAE" w:rsidRDefault="0037416A" w:rsidP="004B6F5F">
            <w:pPr>
              <w:widowControl w:val="0"/>
              <w:jc w:val="center"/>
              <w:rPr>
                <w:rFonts w:cs="Calibri"/>
                <w:color w:val="000000"/>
                <w:sz w:val="18"/>
                <w:szCs w:val="18"/>
              </w:rPr>
            </w:pPr>
            <w:r w:rsidRPr="00847FAE">
              <w:rPr>
                <w:rFonts w:cs="Calibri"/>
                <w:color w:val="000000"/>
                <w:sz w:val="18"/>
                <w:szCs w:val="18"/>
              </w:rPr>
              <w:t>649</w:t>
            </w:r>
          </w:p>
        </w:tc>
        <w:tc>
          <w:tcPr>
            <w:tcW w:w="860" w:type="dxa"/>
            <w:tcBorders>
              <w:top w:val="single" w:sz="4" w:space="0" w:color="auto"/>
              <w:left w:val="nil"/>
              <w:bottom w:val="single" w:sz="4" w:space="0" w:color="auto"/>
              <w:right w:val="nil"/>
            </w:tcBorders>
            <w:noWrap/>
            <w:vAlign w:val="center"/>
          </w:tcPr>
          <w:p w14:paraId="3590F96D" w14:textId="77777777" w:rsidR="0037416A" w:rsidRPr="00847FAE" w:rsidRDefault="0037416A" w:rsidP="004B6F5F">
            <w:pPr>
              <w:widowControl w:val="0"/>
              <w:jc w:val="center"/>
              <w:rPr>
                <w:rFonts w:cs="Calibri"/>
                <w:color w:val="000000"/>
                <w:sz w:val="18"/>
                <w:szCs w:val="18"/>
              </w:rPr>
            </w:pPr>
            <w:r w:rsidRPr="00847FAE">
              <w:rPr>
                <w:rFonts w:cs="Calibri"/>
                <w:color w:val="000000"/>
                <w:sz w:val="18"/>
                <w:szCs w:val="18"/>
              </w:rPr>
              <w:t>608</w:t>
            </w:r>
          </w:p>
        </w:tc>
        <w:tc>
          <w:tcPr>
            <w:tcW w:w="860" w:type="dxa"/>
            <w:tcBorders>
              <w:top w:val="single" w:sz="4" w:space="0" w:color="auto"/>
              <w:left w:val="nil"/>
              <w:bottom w:val="single" w:sz="4" w:space="0" w:color="auto"/>
              <w:right w:val="nil"/>
            </w:tcBorders>
            <w:noWrap/>
            <w:vAlign w:val="center"/>
          </w:tcPr>
          <w:p w14:paraId="15BD984D" w14:textId="77777777" w:rsidR="0037416A" w:rsidRPr="00847FAE" w:rsidRDefault="0037416A" w:rsidP="004B6F5F">
            <w:pPr>
              <w:widowControl w:val="0"/>
              <w:jc w:val="center"/>
              <w:rPr>
                <w:rFonts w:cs="Calibri"/>
                <w:color w:val="000000"/>
                <w:sz w:val="18"/>
                <w:szCs w:val="18"/>
              </w:rPr>
            </w:pPr>
            <w:r w:rsidRPr="00847FAE">
              <w:rPr>
                <w:rFonts w:cs="Calibri"/>
                <w:color w:val="000000"/>
                <w:sz w:val="18"/>
                <w:szCs w:val="18"/>
              </w:rPr>
              <w:t>592</w:t>
            </w:r>
          </w:p>
        </w:tc>
        <w:tc>
          <w:tcPr>
            <w:tcW w:w="954" w:type="dxa"/>
            <w:tcBorders>
              <w:top w:val="single" w:sz="4" w:space="0" w:color="auto"/>
              <w:left w:val="nil"/>
              <w:bottom w:val="single" w:sz="4" w:space="0" w:color="auto"/>
              <w:right w:val="nil"/>
            </w:tcBorders>
            <w:noWrap/>
            <w:vAlign w:val="center"/>
          </w:tcPr>
          <w:p w14:paraId="25888350" w14:textId="77777777" w:rsidR="0037416A" w:rsidRPr="00847FAE" w:rsidRDefault="0037416A" w:rsidP="004B6F5F">
            <w:pPr>
              <w:widowControl w:val="0"/>
              <w:jc w:val="center"/>
              <w:rPr>
                <w:rFonts w:cs="Calibri"/>
                <w:color w:val="000000"/>
                <w:sz w:val="18"/>
                <w:szCs w:val="18"/>
              </w:rPr>
            </w:pPr>
            <w:r w:rsidRPr="00847FAE">
              <w:rPr>
                <w:rFonts w:cs="Calibri"/>
                <w:color w:val="000000"/>
                <w:sz w:val="18"/>
                <w:szCs w:val="18"/>
              </w:rPr>
              <w:t>593</w:t>
            </w:r>
          </w:p>
        </w:tc>
        <w:tc>
          <w:tcPr>
            <w:tcW w:w="1181" w:type="dxa"/>
            <w:tcBorders>
              <w:top w:val="single" w:sz="4" w:space="0" w:color="auto"/>
              <w:left w:val="nil"/>
              <w:bottom w:val="single" w:sz="4" w:space="0" w:color="auto"/>
              <w:right w:val="nil"/>
            </w:tcBorders>
            <w:noWrap/>
            <w:vAlign w:val="center"/>
          </w:tcPr>
          <w:p w14:paraId="01225687" w14:textId="77777777" w:rsidR="0037416A" w:rsidRPr="00847FAE" w:rsidRDefault="0037416A" w:rsidP="004B6F5F">
            <w:pPr>
              <w:widowControl w:val="0"/>
              <w:jc w:val="center"/>
              <w:rPr>
                <w:rFonts w:cs="Calibri"/>
                <w:color w:val="000000"/>
                <w:sz w:val="18"/>
                <w:szCs w:val="18"/>
              </w:rPr>
            </w:pPr>
            <w:r w:rsidRPr="00847FAE">
              <w:rPr>
                <w:rFonts w:cs="Calibri"/>
                <w:color w:val="000000"/>
                <w:sz w:val="18"/>
                <w:szCs w:val="18"/>
              </w:rPr>
              <w:t>17.6%</w:t>
            </w:r>
          </w:p>
        </w:tc>
      </w:tr>
      <w:tr w:rsidR="0037416A" w:rsidRPr="00847FAE" w14:paraId="2619255A" w14:textId="77777777" w:rsidTr="001F1F60">
        <w:trPr>
          <w:cantSplit/>
          <w:trHeight w:val="20"/>
        </w:trPr>
        <w:tc>
          <w:tcPr>
            <w:tcW w:w="8741" w:type="dxa"/>
            <w:gridSpan w:val="9"/>
            <w:tcBorders>
              <w:top w:val="single" w:sz="4" w:space="0" w:color="auto"/>
              <w:left w:val="nil"/>
              <w:bottom w:val="nil"/>
              <w:right w:val="nil"/>
            </w:tcBorders>
            <w:noWrap/>
            <w:vAlign w:val="center"/>
          </w:tcPr>
          <w:p w14:paraId="1FC881AE" w14:textId="77777777" w:rsidR="0009776C" w:rsidRPr="0009776C" w:rsidRDefault="0009776C" w:rsidP="0009776C">
            <w:pPr>
              <w:widowControl w:val="0"/>
              <w:rPr>
                <w:rFonts w:cs="Calibri"/>
                <w:i/>
                <w:color w:val="000000"/>
                <w:sz w:val="15"/>
                <w:szCs w:val="15"/>
              </w:rPr>
            </w:pPr>
            <w:r w:rsidRPr="0009776C">
              <w:rPr>
                <w:rFonts w:cs="Calibri"/>
                <w:iCs/>
                <w:color w:val="000000"/>
                <w:sz w:val="15"/>
                <w:szCs w:val="15"/>
                <w:vertAlign w:val="superscript"/>
              </w:rPr>
              <w:t>1 ‘</w:t>
            </w:r>
            <w:r w:rsidRPr="0009776C">
              <w:rPr>
                <w:rFonts w:cs="Calibri"/>
                <w:color w:val="000000"/>
                <w:sz w:val="15"/>
                <w:szCs w:val="15"/>
              </w:rPr>
              <w:t>Other costs’ includes special penalties, analysis fees, and other party costs.</w:t>
            </w:r>
          </w:p>
          <w:p w14:paraId="4188545C" w14:textId="671E6C10" w:rsidR="0037416A" w:rsidRPr="00847FAE" w:rsidRDefault="0037416A" w:rsidP="004B6F5F">
            <w:pPr>
              <w:widowControl w:val="0"/>
              <w:rPr>
                <w:rFonts w:cs="Calibri"/>
                <w:color w:val="000000"/>
                <w:sz w:val="18"/>
                <w:szCs w:val="18"/>
              </w:rPr>
            </w:pPr>
            <w:r w:rsidRPr="00847FAE">
              <w:rPr>
                <w:rFonts w:cs="Calibri"/>
                <w:i/>
                <w:color w:val="000000"/>
                <w:sz w:val="15"/>
                <w:szCs w:val="15"/>
              </w:rPr>
              <w:t>Source: CRIMESStats database, Civil Registry Management System (CRMS), FinanceOne</w:t>
            </w:r>
          </w:p>
        </w:tc>
      </w:tr>
    </w:tbl>
    <w:p w14:paraId="2DBABA46" w14:textId="77777777" w:rsidR="0037416A" w:rsidRPr="00847FAE" w:rsidRDefault="0037416A" w:rsidP="0037416A">
      <w:pPr>
        <w:rPr>
          <w:rFonts w:eastAsiaTheme="minorHAnsi"/>
          <w:lang w:eastAsia="en-US"/>
        </w:rPr>
      </w:pPr>
    </w:p>
    <w:p w14:paraId="1650913B" w14:textId="77777777" w:rsidR="0037416A" w:rsidRDefault="0037416A" w:rsidP="000D3B2B">
      <w:pPr>
        <w:pStyle w:val="Caption"/>
      </w:pPr>
    </w:p>
    <w:p w14:paraId="4E4D7AE2" w14:textId="2C3FDB66" w:rsidR="00DF59A8" w:rsidRDefault="00DF59A8" w:rsidP="000D3B2B">
      <w:pPr>
        <w:pStyle w:val="Caption"/>
      </w:pPr>
      <w:r w:rsidRPr="000D3B2B">
        <w:t xml:space="preserve">Table </w:t>
      </w:r>
      <w:r w:rsidR="000D3B2B" w:rsidRPr="000D3B2B">
        <w:t xml:space="preserve">22: </w:t>
      </w:r>
      <w:r w:rsidRPr="000D3B2B">
        <w:t>Expenditure by outlay - Magistrates Court Services</w:t>
      </w:r>
      <w:bookmarkEnd w:id="410"/>
    </w:p>
    <w:tbl>
      <w:tblPr>
        <w:tblStyle w:val="TableGrid1"/>
        <w:tblW w:w="7797" w:type="dxa"/>
        <w:tblLayout w:type="fixed"/>
        <w:tblCellMar>
          <w:top w:w="11" w:type="dxa"/>
          <w:bottom w:w="11" w:type="dxa"/>
        </w:tblCellMar>
        <w:tblLook w:val="04A0" w:firstRow="1" w:lastRow="0" w:firstColumn="1" w:lastColumn="0" w:noHBand="0" w:noVBand="1"/>
        <w:tblCaption w:val="Table22Expenditurebyoutlay_MagistratesCourtServices"/>
        <w:tblDescription w:val="TabledescribingExpenditurebyoutlay_MagistratesCourtServices"/>
      </w:tblPr>
      <w:tblGrid>
        <w:gridCol w:w="326"/>
        <w:gridCol w:w="977"/>
        <w:gridCol w:w="824"/>
        <w:gridCol w:w="1275"/>
        <w:gridCol w:w="879"/>
        <w:gridCol w:w="879"/>
        <w:gridCol w:w="879"/>
        <w:gridCol w:w="879"/>
        <w:gridCol w:w="879"/>
      </w:tblGrid>
      <w:tr w:rsidR="001E13D1" w:rsidRPr="00847FAE" w14:paraId="292EACEE" w14:textId="77777777" w:rsidTr="004E3DB0">
        <w:trPr>
          <w:cantSplit/>
          <w:trHeight w:val="20"/>
          <w:tblHeader/>
        </w:trPr>
        <w:tc>
          <w:tcPr>
            <w:tcW w:w="326" w:type="dxa"/>
            <w:tcBorders>
              <w:top w:val="single" w:sz="4" w:space="0" w:color="auto"/>
              <w:left w:val="nil"/>
              <w:bottom w:val="single" w:sz="4" w:space="0" w:color="auto"/>
              <w:right w:val="nil"/>
            </w:tcBorders>
            <w:noWrap/>
            <w:hideMark/>
          </w:tcPr>
          <w:p w14:paraId="4158453D" w14:textId="77777777" w:rsidR="001E13D1" w:rsidRPr="00847FAE" w:rsidRDefault="001E13D1" w:rsidP="00470D3C">
            <w:pPr>
              <w:widowControl w:val="0"/>
              <w:rPr>
                <w:rFonts w:cs="Calibri"/>
                <w:color w:val="000000"/>
                <w:sz w:val="18"/>
                <w:szCs w:val="18"/>
              </w:rPr>
            </w:pPr>
            <w:r w:rsidRPr="00847FAE">
              <w:rPr>
                <w:rFonts w:cs="Calibri"/>
                <w:color w:val="000000"/>
                <w:sz w:val="18"/>
                <w:szCs w:val="18"/>
              </w:rPr>
              <w:t> </w:t>
            </w:r>
          </w:p>
        </w:tc>
        <w:tc>
          <w:tcPr>
            <w:tcW w:w="977" w:type="dxa"/>
            <w:tcBorders>
              <w:top w:val="single" w:sz="4" w:space="0" w:color="auto"/>
              <w:left w:val="nil"/>
              <w:bottom w:val="single" w:sz="4" w:space="0" w:color="auto"/>
              <w:right w:val="nil"/>
            </w:tcBorders>
            <w:noWrap/>
            <w:hideMark/>
          </w:tcPr>
          <w:p w14:paraId="726504BB" w14:textId="77777777" w:rsidR="001E13D1" w:rsidRPr="00847FAE" w:rsidRDefault="001E13D1" w:rsidP="00470D3C">
            <w:pPr>
              <w:widowControl w:val="0"/>
              <w:rPr>
                <w:rFonts w:cs="Calibri"/>
                <w:color w:val="000000"/>
                <w:sz w:val="18"/>
                <w:szCs w:val="18"/>
              </w:rPr>
            </w:pPr>
            <w:r w:rsidRPr="00847FAE">
              <w:rPr>
                <w:rFonts w:cs="Calibri"/>
                <w:color w:val="000000"/>
                <w:sz w:val="18"/>
                <w:szCs w:val="18"/>
              </w:rPr>
              <w:t> </w:t>
            </w:r>
          </w:p>
        </w:tc>
        <w:tc>
          <w:tcPr>
            <w:tcW w:w="824" w:type="dxa"/>
            <w:tcBorders>
              <w:top w:val="single" w:sz="4" w:space="0" w:color="auto"/>
              <w:left w:val="nil"/>
              <w:bottom w:val="single" w:sz="4" w:space="0" w:color="auto"/>
              <w:right w:val="nil"/>
            </w:tcBorders>
            <w:noWrap/>
            <w:hideMark/>
          </w:tcPr>
          <w:p w14:paraId="28737664" w14:textId="77777777" w:rsidR="001E13D1" w:rsidRPr="00847FAE" w:rsidRDefault="001E13D1" w:rsidP="00470D3C">
            <w:pPr>
              <w:widowControl w:val="0"/>
              <w:rPr>
                <w:rFonts w:cs="Calibri"/>
                <w:color w:val="000000"/>
                <w:sz w:val="18"/>
                <w:szCs w:val="18"/>
              </w:rPr>
            </w:pPr>
            <w:r w:rsidRPr="00847FAE">
              <w:rPr>
                <w:rFonts w:cs="Calibri"/>
                <w:color w:val="000000"/>
                <w:sz w:val="18"/>
                <w:szCs w:val="18"/>
              </w:rPr>
              <w:t> </w:t>
            </w:r>
          </w:p>
        </w:tc>
        <w:tc>
          <w:tcPr>
            <w:tcW w:w="1275" w:type="dxa"/>
            <w:tcBorders>
              <w:top w:val="single" w:sz="4" w:space="0" w:color="auto"/>
              <w:left w:val="nil"/>
              <w:bottom w:val="single" w:sz="4" w:space="0" w:color="auto"/>
              <w:right w:val="nil"/>
            </w:tcBorders>
            <w:noWrap/>
            <w:hideMark/>
          </w:tcPr>
          <w:p w14:paraId="7091A8ED" w14:textId="77777777" w:rsidR="001E13D1" w:rsidRPr="00847FAE" w:rsidRDefault="001E13D1" w:rsidP="00470D3C">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bottom"/>
            <w:hideMark/>
          </w:tcPr>
          <w:p w14:paraId="1F0A7AB2" w14:textId="77777777" w:rsidR="001E13D1" w:rsidRPr="00847FAE" w:rsidRDefault="001E13D1" w:rsidP="00470D3C">
            <w:pPr>
              <w:widowControl w:val="0"/>
              <w:jc w:val="right"/>
              <w:rPr>
                <w:rFonts w:cs="Calibri"/>
                <w:bCs/>
                <w:color w:val="000000"/>
                <w:sz w:val="18"/>
                <w:szCs w:val="18"/>
                <w:vertAlign w:val="superscript"/>
              </w:rPr>
            </w:pPr>
            <w:r w:rsidRPr="00847FAE">
              <w:rPr>
                <w:rFonts w:cs="Calibri"/>
                <w:bCs/>
                <w:color w:val="000000"/>
                <w:sz w:val="18"/>
                <w:szCs w:val="18"/>
              </w:rPr>
              <w:t>2013-14</w:t>
            </w:r>
          </w:p>
        </w:tc>
        <w:tc>
          <w:tcPr>
            <w:tcW w:w="879" w:type="dxa"/>
            <w:tcBorders>
              <w:top w:val="single" w:sz="4" w:space="0" w:color="auto"/>
              <w:left w:val="nil"/>
              <w:bottom w:val="single" w:sz="4" w:space="0" w:color="auto"/>
              <w:right w:val="nil"/>
            </w:tcBorders>
            <w:noWrap/>
            <w:vAlign w:val="bottom"/>
            <w:hideMark/>
          </w:tcPr>
          <w:p w14:paraId="7011B609" w14:textId="77777777" w:rsidR="001E13D1" w:rsidRPr="00847FAE" w:rsidRDefault="001E13D1" w:rsidP="00470D3C">
            <w:pPr>
              <w:widowControl w:val="0"/>
              <w:jc w:val="right"/>
              <w:rPr>
                <w:rFonts w:cs="Calibri"/>
                <w:bCs/>
                <w:color w:val="000000"/>
                <w:sz w:val="18"/>
                <w:szCs w:val="18"/>
              </w:rPr>
            </w:pPr>
            <w:r w:rsidRPr="00847FAE">
              <w:rPr>
                <w:rFonts w:cs="Calibri"/>
                <w:bCs/>
                <w:color w:val="000000"/>
                <w:sz w:val="18"/>
                <w:szCs w:val="18"/>
              </w:rPr>
              <w:t>2014-15</w:t>
            </w:r>
          </w:p>
        </w:tc>
        <w:tc>
          <w:tcPr>
            <w:tcW w:w="879" w:type="dxa"/>
            <w:tcBorders>
              <w:top w:val="single" w:sz="4" w:space="0" w:color="auto"/>
              <w:left w:val="nil"/>
              <w:bottom w:val="single" w:sz="4" w:space="0" w:color="auto"/>
              <w:right w:val="nil"/>
            </w:tcBorders>
            <w:noWrap/>
            <w:vAlign w:val="bottom"/>
            <w:hideMark/>
          </w:tcPr>
          <w:p w14:paraId="72815A06" w14:textId="77777777" w:rsidR="001E13D1" w:rsidRPr="00847FAE" w:rsidRDefault="001E13D1" w:rsidP="00470D3C">
            <w:pPr>
              <w:widowControl w:val="0"/>
              <w:jc w:val="right"/>
              <w:rPr>
                <w:rFonts w:cs="Calibri"/>
                <w:bCs/>
                <w:color w:val="000000"/>
                <w:sz w:val="18"/>
                <w:szCs w:val="18"/>
              </w:rPr>
            </w:pPr>
            <w:r w:rsidRPr="00847FAE">
              <w:rPr>
                <w:rFonts w:cs="Calibri"/>
                <w:bCs/>
                <w:color w:val="000000"/>
                <w:sz w:val="18"/>
                <w:szCs w:val="18"/>
              </w:rPr>
              <w:t>2015-16</w:t>
            </w:r>
          </w:p>
        </w:tc>
        <w:tc>
          <w:tcPr>
            <w:tcW w:w="879" w:type="dxa"/>
            <w:tcBorders>
              <w:top w:val="single" w:sz="4" w:space="0" w:color="auto"/>
              <w:left w:val="nil"/>
              <w:bottom w:val="single" w:sz="4" w:space="0" w:color="auto"/>
              <w:right w:val="nil"/>
            </w:tcBorders>
            <w:noWrap/>
            <w:vAlign w:val="bottom"/>
            <w:hideMark/>
          </w:tcPr>
          <w:p w14:paraId="6767819A" w14:textId="77777777" w:rsidR="001E13D1" w:rsidRPr="00847FAE" w:rsidRDefault="001E13D1" w:rsidP="00470D3C">
            <w:pPr>
              <w:widowControl w:val="0"/>
              <w:jc w:val="right"/>
              <w:rPr>
                <w:rFonts w:cs="Calibri"/>
                <w:bCs/>
                <w:color w:val="000000"/>
                <w:sz w:val="18"/>
                <w:szCs w:val="18"/>
              </w:rPr>
            </w:pPr>
            <w:r w:rsidRPr="00847FAE">
              <w:rPr>
                <w:rFonts w:cs="Calibri"/>
                <w:bCs/>
                <w:color w:val="000000"/>
                <w:sz w:val="18"/>
                <w:szCs w:val="18"/>
              </w:rPr>
              <w:t>2016-17</w:t>
            </w:r>
          </w:p>
        </w:tc>
        <w:tc>
          <w:tcPr>
            <w:tcW w:w="879" w:type="dxa"/>
            <w:tcBorders>
              <w:top w:val="single" w:sz="4" w:space="0" w:color="auto"/>
              <w:left w:val="nil"/>
              <w:bottom w:val="single" w:sz="4" w:space="0" w:color="auto"/>
              <w:right w:val="nil"/>
            </w:tcBorders>
            <w:noWrap/>
            <w:vAlign w:val="bottom"/>
            <w:hideMark/>
          </w:tcPr>
          <w:p w14:paraId="08E3E0AB" w14:textId="77777777" w:rsidR="001E13D1" w:rsidRPr="00847FAE" w:rsidRDefault="001E13D1" w:rsidP="00470D3C">
            <w:pPr>
              <w:widowControl w:val="0"/>
              <w:rPr>
                <w:rFonts w:cs="Calibri"/>
                <w:bCs/>
                <w:color w:val="000000"/>
                <w:sz w:val="18"/>
                <w:szCs w:val="18"/>
              </w:rPr>
            </w:pPr>
            <w:r w:rsidRPr="00847FAE">
              <w:rPr>
                <w:rFonts w:cs="Calibri"/>
                <w:bCs/>
                <w:color w:val="000000"/>
                <w:sz w:val="18"/>
                <w:szCs w:val="18"/>
              </w:rPr>
              <w:t>2017-18</w:t>
            </w:r>
          </w:p>
        </w:tc>
      </w:tr>
      <w:tr w:rsidR="002E60E7" w:rsidRPr="00847FAE" w14:paraId="593E01CD" w14:textId="77777777" w:rsidTr="001F1F60">
        <w:trPr>
          <w:cantSplit/>
          <w:trHeight w:val="255"/>
        </w:trPr>
        <w:tc>
          <w:tcPr>
            <w:tcW w:w="3402" w:type="dxa"/>
            <w:gridSpan w:val="4"/>
            <w:tcBorders>
              <w:top w:val="single" w:sz="4" w:space="0" w:color="auto"/>
              <w:left w:val="nil"/>
              <w:bottom w:val="single" w:sz="4" w:space="0" w:color="auto"/>
              <w:right w:val="nil"/>
            </w:tcBorders>
            <w:noWrap/>
            <w:vAlign w:val="center"/>
            <w:hideMark/>
          </w:tcPr>
          <w:p w14:paraId="7EACF1C3" w14:textId="77777777" w:rsidR="002E60E7" w:rsidRPr="00847FAE" w:rsidRDefault="002E60E7" w:rsidP="002E60E7">
            <w:pPr>
              <w:widowControl w:val="0"/>
              <w:rPr>
                <w:rFonts w:cs="Calibri"/>
                <w:color w:val="000000"/>
                <w:sz w:val="18"/>
                <w:szCs w:val="18"/>
              </w:rPr>
            </w:pPr>
            <w:r w:rsidRPr="00847FAE">
              <w:rPr>
                <w:rFonts w:cs="Calibri"/>
                <w:color w:val="000000"/>
                <w:sz w:val="18"/>
                <w:szCs w:val="18"/>
              </w:rPr>
              <w:t> </w:t>
            </w:r>
          </w:p>
        </w:tc>
        <w:tc>
          <w:tcPr>
            <w:tcW w:w="879" w:type="dxa"/>
            <w:tcBorders>
              <w:top w:val="single" w:sz="4" w:space="0" w:color="auto"/>
              <w:left w:val="nil"/>
              <w:bottom w:val="single" w:sz="4" w:space="0" w:color="auto"/>
              <w:right w:val="nil"/>
            </w:tcBorders>
            <w:noWrap/>
            <w:vAlign w:val="center"/>
            <w:hideMark/>
          </w:tcPr>
          <w:p w14:paraId="4BC3B4BC" w14:textId="40D9DD39" w:rsidR="002E60E7" w:rsidRPr="00847FAE" w:rsidRDefault="002E60E7" w:rsidP="002E60E7">
            <w:pPr>
              <w:widowControl w:val="0"/>
              <w:jc w:val="center"/>
              <w:rPr>
                <w:rFonts w:cs="Calibri"/>
                <w:color w:val="000000"/>
                <w:sz w:val="18"/>
                <w:szCs w:val="18"/>
              </w:rPr>
            </w:pPr>
            <w:r>
              <w:rPr>
                <w:rFonts w:cs="Calibri"/>
                <w:color w:val="000000"/>
                <w:sz w:val="18"/>
                <w:szCs w:val="18"/>
              </w:rPr>
              <w:t>Actual $,000</w:t>
            </w:r>
          </w:p>
        </w:tc>
        <w:tc>
          <w:tcPr>
            <w:tcW w:w="879" w:type="dxa"/>
            <w:tcBorders>
              <w:top w:val="single" w:sz="4" w:space="0" w:color="auto"/>
              <w:left w:val="nil"/>
              <w:bottom w:val="single" w:sz="4" w:space="0" w:color="auto"/>
              <w:right w:val="nil"/>
            </w:tcBorders>
            <w:noWrap/>
            <w:vAlign w:val="center"/>
            <w:hideMark/>
          </w:tcPr>
          <w:p w14:paraId="2DF9638B" w14:textId="3822A3EF" w:rsidR="002E60E7" w:rsidRPr="00847FAE" w:rsidRDefault="002E60E7" w:rsidP="002E60E7">
            <w:pPr>
              <w:widowControl w:val="0"/>
              <w:jc w:val="center"/>
              <w:rPr>
                <w:rFonts w:cs="Calibri"/>
                <w:color w:val="000000"/>
                <w:sz w:val="18"/>
                <w:szCs w:val="18"/>
              </w:rPr>
            </w:pPr>
            <w:r>
              <w:rPr>
                <w:rFonts w:cs="Calibri"/>
                <w:color w:val="000000"/>
                <w:sz w:val="18"/>
                <w:szCs w:val="18"/>
              </w:rPr>
              <w:t>Actual $,000</w:t>
            </w:r>
          </w:p>
        </w:tc>
        <w:tc>
          <w:tcPr>
            <w:tcW w:w="879" w:type="dxa"/>
            <w:tcBorders>
              <w:top w:val="single" w:sz="4" w:space="0" w:color="auto"/>
              <w:left w:val="nil"/>
              <w:bottom w:val="single" w:sz="4" w:space="0" w:color="auto"/>
              <w:right w:val="nil"/>
            </w:tcBorders>
            <w:noWrap/>
            <w:vAlign w:val="center"/>
            <w:hideMark/>
          </w:tcPr>
          <w:p w14:paraId="536C9DC4" w14:textId="38393501" w:rsidR="002E60E7" w:rsidRPr="00847FAE" w:rsidRDefault="002E60E7" w:rsidP="002E60E7">
            <w:pPr>
              <w:widowControl w:val="0"/>
              <w:jc w:val="center"/>
              <w:rPr>
                <w:rFonts w:cs="Calibri"/>
                <w:color w:val="000000"/>
                <w:sz w:val="18"/>
                <w:szCs w:val="18"/>
              </w:rPr>
            </w:pPr>
            <w:r>
              <w:rPr>
                <w:rFonts w:cs="Calibri"/>
                <w:color w:val="000000"/>
                <w:sz w:val="18"/>
                <w:szCs w:val="18"/>
              </w:rPr>
              <w:t>Actual $,000</w:t>
            </w:r>
          </w:p>
        </w:tc>
        <w:tc>
          <w:tcPr>
            <w:tcW w:w="879" w:type="dxa"/>
            <w:tcBorders>
              <w:top w:val="single" w:sz="4" w:space="0" w:color="auto"/>
              <w:left w:val="nil"/>
              <w:bottom w:val="single" w:sz="4" w:space="0" w:color="auto"/>
              <w:right w:val="nil"/>
            </w:tcBorders>
            <w:noWrap/>
            <w:vAlign w:val="center"/>
            <w:hideMark/>
          </w:tcPr>
          <w:p w14:paraId="08ED52FB" w14:textId="44BF8B3B" w:rsidR="002E60E7" w:rsidRPr="00847FAE" w:rsidRDefault="002E60E7" w:rsidP="002E60E7">
            <w:pPr>
              <w:widowControl w:val="0"/>
              <w:jc w:val="center"/>
              <w:rPr>
                <w:rFonts w:cs="Calibri"/>
                <w:color w:val="000000"/>
                <w:sz w:val="18"/>
                <w:szCs w:val="18"/>
              </w:rPr>
            </w:pPr>
            <w:r>
              <w:rPr>
                <w:rFonts w:cs="Calibri"/>
                <w:color w:val="000000"/>
                <w:sz w:val="18"/>
                <w:szCs w:val="18"/>
              </w:rPr>
              <w:t>Actual $,000</w:t>
            </w:r>
          </w:p>
        </w:tc>
        <w:tc>
          <w:tcPr>
            <w:tcW w:w="879" w:type="dxa"/>
            <w:tcBorders>
              <w:top w:val="single" w:sz="4" w:space="0" w:color="auto"/>
              <w:left w:val="nil"/>
              <w:bottom w:val="single" w:sz="4" w:space="0" w:color="auto"/>
              <w:right w:val="nil"/>
            </w:tcBorders>
            <w:noWrap/>
            <w:vAlign w:val="center"/>
            <w:hideMark/>
          </w:tcPr>
          <w:p w14:paraId="13951471" w14:textId="2B7B218A" w:rsidR="002E60E7" w:rsidRPr="00847FAE" w:rsidRDefault="002E60E7" w:rsidP="002E60E7">
            <w:pPr>
              <w:widowControl w:val="0"/>
              <w:jc w:val="center"/>
              <w:rPr>
                <w:rFonts w:cs="Calibri"/>
                <w:color w:val="000000"/>
                <w:sz w:val="18"/>
                <w:szCs w:val="18"/>
              </w:rPr>
            </w:pPr>
            <w:r>
              <w:rPr>
                <w:rFonts w:cs="Calibri"/>
                <w:color w:val="000000"/>
                <w:sz w:val="18"/>
                <w:szCs w:val="18"/>
              </w:rPr>
              <w:t>Actual $,000</w:t>
            </w:r>
          </w:p>
        </w:tc>
      </w:tr>
      <w:tr w:rsidR="002E60E7" w:rsidRPr="00847FAE" w14:paraId="51380961" w14:textId="77777777" w:rsidTr="001F1F60">
        <w:trPr>
          <w:cantSplit/>
          <w:trHeight w:val="255"/>
        </w:trPr>
        <w:tc>
          <w:tcPr>
            <w:tcW w:w="3402" w:type="dxa"/>
            <w:gridSpan w:val="4"/>
            <w:tcBorders>
              <w:top w:val="single" w:sz="4" w:space="0" w:color="auto"/>
              <w:left w:val="nil"/>
              <w:bottom w:val="nil"/>
              <w:right w:val="nil"/>
            </w:tcBorders>
            <w:shd w:val="clear" w:color="auto" w:fill="D9D9D9" w:themeFill="background1" w:themeFillShade="D9"/>
            <w:noWrap/>
            <w:hideMark/>
          </w:tcPr>
          <w:p w14:paraId="3AD7EBA4" w14:textId="72097668" w:rsidR="002E60E7" w:rsidRPr="00847FAE" w:rsidRDefault="002E60E7" w:rsidP="002E60E7">
            <w:pPr>
              <w:widowControl w:val="0"/>
              <w:rPr>
                <w:rFonts w:cs="Calibri"/>
                <w:color w:val="000000"/>
                <w:sz w:val="18"/>
                <w:szCs w:val="18"/>
                <w:vertAlign w:val="superscript"/>
              </w:rPr>
            </w:pPr>
            <w:r>
              <w:rPr>
                <w:rFonts w:cs="Calibri"/>
                <w:color w:val="000000"/>
                <w:sz w:val="18"/>
                <w:szCs w:val="18"/>
              </w:rPr>
              <w:t>Expenditure</w:t>
            </w:r>
          </w:p>
        </w:tc>
        <w:tc>
          <w:tcPr>
            <w:tcW w:w="879" w:type="dxa"/>
            <w:tcBorders>
              <w:top w:val="single" w:sz="4" w:space="0" w:color="auto"/>
              <w:left w:val="nil"/>
              <w:bottom w:val="nil"/>
              <w:right w:val="nil"/>
            </w:tcBorders>
            <w:shd w:val="clear" w:color="auto" w:fill="D9D9D9" w:themeFill="background1" w:themeFillShade="D9"/>
            <w:noWrap/>
            <w:vAlign w:val="center"/>
          </w:tcPr>
          <w:p w14:paraId="0877C813" w14:textId="77777777" w:rsidR="002E60E7" w:rsidRPr="00847FAE" w:rsidRDefault="002E60E7" w:rsidP="002E60E7">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76433E0A" w14:textId="77777777" w:rsidR="002E60E7" w:rsidRPr="00847FAE" w:rsidRDefault="002E60E7" w:rsidP="002E60E7">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0CB00E3B" w14:textId="77777777" w:rsidR="002E60E7" w:rsidRPr="00847FAE" w:rsidRDefault="002E60E7" w:rsidP="002E60E7">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591EA601" w14:textId="77777777" w:rsidR="002E60E7" w:rsidRPr="00847FAE" w:rsidRDefault="002E60E7" w:rsidP="002E60E7">
            <w:pPr>
              <w:jc w:val="right"/>
              <w:rPr>
                <w:rFonts w:cs="Calibri"/>
                <w:iCs/>
                <w:color w:val="000000"/>
                <w:sz w:val="18"/>
                <w:szCs w:val="18"/>
              </w:rPr>
            </w:pPr>
          </w:p>
        </w:tc>
        <w:tc>
          <w:tcPr>
            <w:tcW w:w="879" w:type="dxa"/>
            <w:tcBorders>
              <w:top w:val="single" w:sz="4" w:space="0" w:color="auto"/>
              <w:left w:val="nil"/>
              <w:bottom w:val="nil"/>
              <w:right w:val="nil"/>
            </w:tcBorders>
            <w:shd w:val="clear" w:color="auto" w:fill="D9D9D9" w:themeFill="background1" w:themeFillShade="D9"/>
            <w:noWrap/>
            <w:vAlign w:val="center"/>
          </w:tcPr>
          <w:p w14:paraId="07D35387" w14:textId="77777777" w:rsidR="002E60E7" w:rsidRPr="00847FAE" w:rsidRDefault="002E60E7" w:rsidP="002E60E7">
            <w:pPr>
              <w:jc w:val="right"/>
              <w:rPr>
                <w:rFonts w:cs="Calibri"/>
                <w:iCs/>
                <w:color w:val="000000"/>
                <w:sz w:val="18"/>
                <w:szCs w:val="18"/>
              </w:rPr>
            </w:pPr>
          </w:p>
        </w:tc>
      </w:tr>
      <w:tr w:rsidR="002E60E7" w:rsidRPr="00847FAE" w14:paraId="68636624" w14:textId="77777777" w:rsidTr="001F1F60">
        <w:trPr>
          <w:cantSplit/>
          <w:trHeight w:val="255"/>
        </w:trPr>
        <w:tc>
          <w:tcPr>
            <w:tcW w:w="3402" w:type="dxa"/>
            <w:gridSpan w:val="4"/>
            <w:tcBorders>
              <w:top w:val="nil"/>
              <w:left w:val="nil"/>
              <w:bottom w:val="nil"/>
              <w:right w:val="nil"/>
            </w:tcBorders>
            <w:noWrap/>
            <w:vAlign w:val="center"/>
          </w:tcPr>
          <w:p w14:paraId="6DCCB5F0" w14:textId="36839E82" w:rsidR="002E60E7" w:rsidRPr="00847FAE" w:rsidRDefault="002E60E7" w:rsidP="002E60E7">
            <w:pPr>
              <w:widowControl w:val="0"/>
              <w:tabs>
                <w:tab w:val="left" w:pos="180"/>
              </w:tabs>
              <w:rPr>
                <w:rFonts w:cs="Calibri"/>
                <w:color w:val="000000"/>
                <w:sz w:val="18"/>
                <w:szCs w:val="18"/>
              </w:rPr>
            </w:pPr>
            <w:r>
              <w:rPr>
                <w:rFonts w:eastAsia="Calibri"/>
                <w:sz w:val="18"/>
                <w:szCs w:val="18"/>
              </w:rPr>
              <w:tab/>
            </w:r>
            <w:r w:rsidRPr="001E13D1">
              <w:rPr>
                <w:rFonts w:eastAsia="Calibri"/>
                <w:sz w:val="18"/>
                <w:szCs w:val="18"/>
              </w:rPr>
              <w:t>Salaries  of magistrates and staff</w:t>
            </w:r>
          </w:p>
        </w:tc>
        <w:tc>
          <w:tcPr>
            <w:tcW w:w="879" w:type="dxa"/>
            <w:tcBorders>
              <w:top w:val="nil"/>
              <w:left w:val="nil"/>
              <w:bottom w:val="nil"/>
              <w:right w:val="nil"/>
            </w:tcBorders>
            <w:noWrap/>
            <w:vAlign w:val="center"/>
          </w:tcPr>
          <w:p w14:paraId="616CA103" w14:textId="348F913B" w:rsidR="002E60E7" w:rsidRPr="00847FAE" w:rsidRDefault="002E60E7" w:rsidP="002E60E7">
            <w:pPr>
              <w:jc w:val="center"/>
              <w:rPr>
                <w:rFonts w:cs="Calibri"/>
                <w:color w:val="000000"/>
                <w:sz w:val="18"/>
                <w:szCs w:val="18"/>
              </w:rPr>
            </w:pPr>
            <w:r w:rsidRPr="001E13D1">
              <w:rPr>
                <w:rFonts w:eastAsia="Calibri"/>
                <w:sz w:val="18"/>
                <w:szCs w:val="18"/>
              </w:rPr>
              <w:t>8,585</w:t>
            </w:r>
          </w:p>
        </w:tc>
        <w:tc>
          <w:tcPr>
            <w:tcW w:w="879" w:type="dxa"/>
            <w:tcBorders>
              <w:top w:val="nil"/>
              <w:left w:val="nil"/>
              <w:bottom w:val="nil"/>
              <w:right w:val="nil"/>
            </w:tcBorders>
            <w:noWrap/>
            <w:vAlign w:val="center"/>
          </w:tcPr>
          <w:p w14:paraId="1F69CE6D" w14:textId="02C353C9" w:rsidR="002E60E7" w:rsidRPr="00847FAE" w:rsidRDefault="002E60E7" w:rsidP="002E60E7">
            <w:pPr>
              <w:jc w:val="center"/>
              <w:rPr>
                <w:rFonts w:cs="Calibri"/>
                <w:color w:val="000000"/>
                <w:sz w:val="18"/>
                <w:szCs w:val="18"/>
              </w:rPr>
            </w:pPr>
            <w:r w:rsidRPr="001E13D1">
              <w:rPr>
                <w:rFonts w:eastAsia="Calibri"/>
                <w:sz w:val="18"/>
                <w:szCs w:val="18"/>
              </w:rPr>
              <w:t>8,589</w:t>
            </w:r>
          </w:p>
        </w:tc>
        <w:tc>
          <w:tcPr>
            <w:tcW w:w="879" w:type="dxa"/>
            <w:tcBorders>
              <w:top w:val="nil"/>
              <w:left w:val="nil"/>
              <w:bottom w:val="nil"/>
              <w:right w:val="nil"/>
            </w:tcBorders>
            <w:noWrap/>
            <w:vAlign w:val="center"/>
          </w:tcPr>
          <w:p w14:paraId="3920F960" w14:textId="1A720736" w:rsidR="002E60E7" w:rsidRPr="00847FAE" w:rsidRDefault="002E60E7" w:rsidP="002E60E7">
            <w:pPr>
              <w:jc w:val="center"/>
              <w:rPr>
                <w:rFonts w:cs="Calibri"/>
                <w:color w:val="000000"/>
                <w:sz w:val="18"/>
                <w:szCs w:val="18"/>
              </w:rPr>
            </w:pPr>
            <w:r w:rsidRPr="001E13D1">
              <w:rPr>
                <w:rFonts w:eastAsia="Calibri"/>
                <w:sz w:val="18"/>
                <w:szCs w:val="18"/>
              </w:rPr>
              <w:t>8,664</w:t>
            </w:r>
          </w:p>
        </w:tc>
        <w:tc>
          <w:tcPr>
            <w:tcW w:w="879" w:type="dxa"/>
            <w:tcBorders>
              <w:top w:val="nil"/>
              <w:left w:val="nil"/>
              <w:bottom w:val="nil"/>
              <w:right w:val="nil"/>
            </w:tcBorders>
            <w:noWrap/>
            <w:vAlign w:val="center"/>
          </w:tcPr>
          <w:p w14:paraId="410BA02E" w14:textId="238B5725" w:rsidR="002E60E7" w:rsidRPr="00847FAE" w:rsidRDefault="002E60E7" w:rsidP="002E60E7">
            <w:pPr>
              <w:jc w:val="center"/>
              <w:rPr>
                <w:rFonts w:cs="Calibri"/>
                <w:color w:val="000000"/>
                <w:sz w:val="18"/>
                <w:szCs w:val="18"/>
              </w:rPr>
            </w:pPr>
            <w:r w:rsidRPr="001E13D1">
              <w:rPr>
                <w:rFonts w:eastAsia="Calibri"/>
                <w:sz w:val="18"/>
                <w:szCs w:val="18"/>
              </w:rPr>
              <w:t>8,721</w:t>
            </w:r>
          </w:p>
        </w:tc>
        <w:tc>
          <w:tcPr>
            <w:tcW w:w="879" w:type="dxa"/>
            <w:tcBorders>
              <w:top w:val="nil"/>
              <w:left w:val="nil"/>
              <w:bottom w:val="nil"/>
              <w:right w:val="nil"/>
            </w:tcBorders>
            <w:noWrap/>
          </w:tcPr>
          <w:p w14:paraId="760CE969" w14:textId="71C3C747" w:rsidR="002E60E7" w:rsidRPr="00847FAE" w:rsidRDefault="002E60E7" w:rsidP="002E60E7">
            <w:pPr>
              <w:jc w:val="center"/>
              <w:rPr>
                <w:rFonts w:cs="Calibri"/>
                <w:color w:val="000000"/>
                <w:sz w:val="18"/>
                <w:szCs w:val="18"/>
              </w:rPr>
            </w:pPr>
            <w:r w:rsidRPr="001E13D1">
              <w:rPr>
                <w:sz w:val="18"/>
                <w:szCs w:val="18"/>
              </w:rPr>
              <w:t>9,302</w:t>
            </w:r>
          </w:p>
        </w:tc>
      </w:tr>
      <w:tr w:rsidR="002E60E7" w:rsidRPr="00847FAE" w14:paraId="41A19BF1" w14:textId="77777777" w:rsidTr="001F1F60">
        <w:trPr>
          <w:cantSplit/>
          <w:trHeight w:val="255"/>
        </w:trPr>
        <w:tc>
          <w:tcPr>
            <w:tcW w:w="3402" w:type="dxa"/>
            <w:gridSpan w:val="4"/>
            <w:tcBorders>
              <w:top w:val="nil"/>
              <w:left w:val="nil"/>
              <w:bottom w:val="nil"/>
              <w:right w:val="nil"/>
            </w:tcBorders>
            <w:noWrap/>
            <w:vAlign w:val="center"/>
          </w:tcPr>
          <w:p w14:paraId="48525CCD" w14:textId="74A57992" w:rsidR="002E60E7" w:rsidRPr="00847FAE" w:rsidRDefault="002E60E7" w:rsidP="002E60E7">
            <w:pPr>
              <w:widowControl w:val="0"/>
              <w:tabs>
                <w:tab w:val="left" w:pos="180"/>
              </w:tabs>
              <w:rPr>
                <w:rFonts w:cs="Calibri"/>
                <w:iCs/>
                <w:color w:val="000000"/>
                <w:sz w:val="18"/>
                <w:szCs w:val="18"/>
              </w:rPr>
            </w:pPr>
            <w:r>
              <w:rPr>
                <w:rFonts w:eastAsia="Calibri"/>
                <w:sz w:val="18"/>
                <w:szCs w:val="18"/>
              </w:rPr>
              <w:tab/>
            </w:r>
            <w:r w:rsidRPr="001E13D1">
              <w:rPr>
                <w:rFonts w:eastAsia="Calibri"/>
                <w:sz w:val="18"/>
                <w:szCs w:val="18"/>
              </w:rPr>
              <w:t>Other Employee Related Expenses</w:t>
            </w:r>
          </w:p>
        </w:tc>
        <w:tc>
          <w:tcPr>
            <w:tcW w:w="879" w:type="dxa"/>
            <w:tcBorders>
              <w:top w:val="nil"/>
              <w:left w:val="nil"/>
              <w:bottom w:val="nil"/>
              <w:right w:val="nil"/>
            </w:tcBorders>
            <w:noWrap/>
            <w:vAlign w:val="center"/>
          </w:tcPr>
          <w:p w14:paraId="1ABF09A1" w14:textId="658E0957" w:rsidR="002E60E7" w:rsidRDefault="002E60E7" w:rsidP="002E60E7">
            <w:pPr>
              <w:jc w:val="center"/>
              <w:rPr>
                <w:rFonts w:cs="Calibri"/>
                <w:color w:val="000000"/>
                <w:sz w:val="18"/>
                <w:szCs w:val="18"/>
              </w:rPr>
            </w:pPr>
            <w:r w:rsidRPr="001E13D1">
              <w:rPr>
                <w:rFonts w:eastAsia="Calibri"/>
                <w:sz w:val="18"/>
                <w:szCs w:val="18"/>
              </w:rPr>
              <w:t>182</w:t>
            </w:r>
          </w:p>
        </w:tc>
        <w:tc>
          <w:tcPr>
            <w:tcW w:w="879" w:type="dxa"/>
            <w:tcBorders>
              <w:top w:val="nil"/>
              <w:left w:val="nil"/>
              <w:bottom w:val="nil"/>
              <w:right w:val="nil"/>
            </w:tcBorders>
            <w:noWrap/>
            <w:vAlign w:val="center"/>
          </w:tcPr>
          <w:p w14:paraId="2DE12135" w14:textId="150935B6" w:rsidR="002E60E7" w:rsidRDefault="002E60E7" w:rsidP="002E60E7">
            <w:pPr>
              <w:jc w:val="center"/>
              <w:rPr>
                <w:rFonts w:cs="Calibri"/>
                <w:color w:val="000000"/>
                <w:sz w:val="18"/>
                <w:szCs w:val="18"/>
              </w:rPr>
            </w:pPr>
            <w:r w:rsidRPr="001E13D1">
              <w:rPr>
                <w:rFonts w:eastAsia="Calibri"/>
                <w:sz w:val="18"/>
                <w:szCs w:val="18"/>
              </w:rPr>
              <w:t>225</w:t>
            </w:r>
          </w:p>
        </w:tc>
        <w:tc>
          <w:tcPr>
            <w:tcW w:w="879" w:type="dxa"/>
            <w:tcBorders>
              <w:top w:val="nil"/>
              <w:left w:val="nil"/>
              <w:bottom w:val="nil"/>
              <w:right w:val="nil"/>
            </w:tcBorders>
            <w:noWrap/>
            <w:vAlign w:val="center"/>
          </w:tcPr>
          <w:p w14:paraId="30C3BF2D" w14:textId="1D5E3833" w:rsidR="002E60E7" w:rsidRDefault="002E60E7" w:rsidP="002E60E7">
            <w:pPr>
              <w:jc w:val="center"/>
              <w:rPr>
                <w:rFonts w:cs="Calibri"/>
                <w:color w:val="000000"/>
                <w:sz w:val="18"/>
                <w:szCs w:val="18"/>
              </w:rPr>
            </w:pPr>
            <w:r w:rsidRPr="001E13D1">
              <w:rPr>
                <w:rFonts w:eastAsia="Calibri"/>
                <w:sz w:val="18"/>
                <w:szCs w:val="18"/>
              </w:rPr>
              <w:t>274</w:t>
            </w:r>
          </w:p>
        </w:tc>
        <w:tc>
          <w:tcPr>
            <w:tcW w:w="879" w:type="dxa"/>
            <w:tcBorders>
              <w:top w:val="nil"/>
              <w:left w:val="nil"/>
              <w:bottom w:val="nil"/>
              <w:right w:val="nil"/>
            </w:tcBorders>
            <w:noWrap/>
            <w:vAlign w:val="center"/>
          </w:tcPr>
          <w:p w14:paraId="608A01C7" w14:textId="429EAF07" w:rsidR="002E60E7" w:rsidRDefault="002E60E7" w:rsidP="002E60E7">
            <w:pPr>
              <w:jc w:val="center"/>
              <w:rPr>
                <w:rFonts w:cs="Calibri"/>
                <w:color w:val="000000"/>
                <w:sz w:val="18"/>
                <w:szCs w:val="18"/>
              </w:rPr>
            </w:pPr>
            <w:r w:rsidRPr="001E13D1">
              <w:rPr>
                <w:rFonts w:eastAsia="Calibri"/>
                <w:sz w:val="18"/>
                <w:szCs w:val="18"/>
              </w:rPr>
              <w:t>278</w:t>
            </w:r>
          </w:p>
        </w:tc>
        <w:tc>
          <w:tcPr>
            <w:tcW w:w="879" w:type="dxa"/>
            <w:tcBorders>
              <w:top w:val="nil"/>
              <w:left w:val="nil"/>
              <w:bottom w:val="nil"/>
              <w:right w:val="nil"/>
            </w:tcBorders>
            <w:noWrap/>
          </w:tcPr>
          <w:p w14:paraId="297326BB" w14:textId="3B3537CF" w:rsidR="002E60E7" w:rsidRDefault="002E60E7" w:rsidP="002E60E7">
            <w:pPr>
              <w:jc w:val="center"/>
              <w:rPr>
                <w:rFonts w:cs="Calibri"/>
                <w:color w:val="000000"/>
                <w:sz w:val="18"/>
                <w:szCs w:val="18"/>
              </w:rPr>
            </w:pPr>
            <w:r w:rsidRPr="001E13D1">
              <w:rPr>
                <w:sz w:val="18"/>
                <w:szCs w:val="18"/>
              </w:rPr>
              <w:t>353</w:t>
            </w:r>
          </w:p>
        </w:tc>
      </w:tr>
      <w:tr w:rsidR="002E60E7" w:rsidRPr="00847FAE" w14:paraId="77E19C51" w14:textId="77777777" w:rsidTr="001F1F60">
        <w:trPr>
          <w:cantSplit/>
          <w:trHeight w:val="255"/>
        </w:trPr>
        <w:tc>
          <w:tcPr>
            <w:tcW w:w="3402" w:type="dxa"/>
            <w:gridSpan w:val="4"/>
            <w:tcBorders>
              <w:top w:val="nil"/>
              <w:left w:val="nil"/>
              <w:bottom w:val="nil"/>
              <w:right w:val="nil"/>
            </w:tcBorders>
            <w:noWrap/>
            <w:vAlign w:val="center"/>
          </w:tcPr>
          <w:p w14:paraId="6FE83561" w14:textId="6B5E0035" w:rsidR="002E60E7" w:rsidRDefault="002E60E7" w:rsidP="002E60E7">
            <w:pPr>
              <w:widowControl w:val="0"/>
              <w:tabs>
                <w:tab w:val="left" w:pos="180"/>
              </w:tabs>
              <w:rPr>
                <w:rFonts w:cs="Calibri"/>
                <w:iCs/>
                <w:color w:val="000000"/>
                <w:sz w:val="18"/>
                <w:szCs w:val="18"/>
              </w:rPr>
            </w:pPr>
            <w:r>
              <w:rPr>
                <w:rFonts w:eastAsia="Calibri"/>
                <w:sz w:val="18"/>
                <w:szCs w:val="18"/>
              </w:rPr>
              <w:tab/>
            </w:r>
            <w:r w:rsidRPr="001E13D1">
              <w:rPr>
                <w:rFonts w:eastAsia="Calibri"/>
                <w:sz w:val="18"/>
                <w:szCs w:val="18"/>
              </w:rPr>
              <w:t>Information Technology</w:t>
            </w:r>
          </w:p>
        </w:tc>
        <w:tc>
          <w:tcPr>
            <w:tcW w:w="879" w:type="dxa"/>
            <w:tcBorders>
              <w:top w:val="nil"/>
              <w:left w:val="nil"/>
              <w:bottom w:val="nil"/>
              <w:right w:val="nil"/>
            </w:tcBorders>
            <w:noWrap/>
            <w:vAlign w:val="center"/>
          </w:tcPr>
          <w:p w14:paraId="3A54B95C" w14:textId="0EBA60FD" w:rsidR="002E60E7" w:rsidRDefault="002E60E7" w:rsidP="002E60E7">
            <w:pPr>
              <w:jc w:val="center"/>
              <w:rPr>
                <w:rFonts w:cs="Calibri"/>
                <w:color w:val="000000"/>
                <w:sz w:val="18"/>
                <w:szCs w:val="18"/>
              </w:rPr>
            </w:pPr>
            <w:r w:rsidRPr="001E13D1">
              <w:rPr>
                <w:rFonts w:eastAsia="Calibri"/>
                <w:sz w:val="18"/>
                <w:szCs w:val="18"/>
              </w:rPr>
              <w:t>250</w:t>
            </w:r>
          </w:p>
        </w:tc>
        <w:tc>
          <w:tcPr>
            <w:tcW w:w="879" w:type="dxa"/>
            <w:tcBorders>
              <w:top w:val="nil"/>
              <w:left w:val="nil"/>
              <w:bottom w:val="nil"/>
              <w:right w:val="nil"/>
            </w:tcBorders>
            <w:noWrap/>
            <w:vAlign w:val="center"/>
          </w:tcPr>
          <w:p w14:paraId="5F57C048" w14:textId="1F2776B8" w:rsidR="002E60E7" w:rsidRDefault="002E60E7" w:rsidP="002E60E7">
            <w:pPr>
              <w:jc w:val="center"/>
              <w:rPr>
                <w:rFonts w:cs="Calibri"/>
                <w:color w:val="000000"/>
                <w:sz w:val="18"/>
                <w:szCs w:val="18"/>
              </w:rPr>
            </w:pPr>
            <w:r w:rsidRPr="001E13D1">
              <w:rPr>
                <w:rFonts w:eastAsia="Calibri"/>
                <w:sz w:val="18"/>
                <w:szCs w:val="18"/>
              </w:rPr>
              <w:t>280</w:t>
            </w:r>
          </w:p>
        </w:tc>
        <w:tc>
          <w:tcPr>
            <w:tcW w:w="879" w:type="dxa"/>
            <w:tcBorders>
              <w:top w:val="nil"/>
              <w:left w:val="nil"/>
              <w:bottom w:val="nil"/>
              <w:right w:val="nil"/>
            </w:tcBorders>
            <w:noWrap/>
            <w:vAlign w:val="center"/>
          </w:tcPr>
          <w:p w14:paraId="44787D65" w14:textId="48023C26" w:rsidR="002E60E7" w:rsidRDefault="002E60E7" w:rsidP="002E60E7">
            <w:pPr>
              <w:jc w:val="center"/>
              <w:rPr>
                <w:rFonts w:cs="Calibri"/>
                <w:color w:val="000000"/>
                <w:sz w:val="18"/>
                <w:szCs w:val="18"/>
              </w:rPr>
            </w:pPr>
            <w:r w:rsidRPr="001E13D1">
              <w:rPr>
                <w:rFonts w:eastAsia="Calibri"/>
                <w:sz w:val="18"/>
                <w:szCs w:val="18"/>
              </w:rPr>
              <w:t>290</w:t>
            </w:r>
          </w:p>
        </w:tc>
        <w:tc>
          <w:tcPr>
            <w:tcW w:w="879" w:type="dxa"/>
            <w:tcBorders>
              <w:top w:val="nil"/>
              <w:left w:val="nil"/>
              <w:bottom w:val="nil"/>
              <w:right w:val="nil"/>
            </w:tcBorders>
            <w:noWrap/>
            <w:vAlign w:val="center"/>
          </w:tcPr>
          <w:p w14:paraId="5D6F7377" w14:textId="18CA4657" w:rsidR="002E60E7" w:rsidRDefault="002E60E7" w:rsidP="002E60E7">
            <w:pPr>
              <w:jc w:val="center"/>
              <w:rPr>
                <w:rFonts w:cs="Calibri"/>
                <w:color w:val="000000"/>
                <w:sz w:val="18"/>
                <w:szCs w:val="18"/>
              </w:rPr>
            </w:pPr>
            <w:r w:rsidRPr="001E13D1">
              <w:rPr>
                <w:rFonts w:eastAsia="Calibri"/>
                <w:sz w:val="18"/>
                <w:szCs w:val="18"/>
              </w:rPr>
              <w:t>309</w:t>
            </w:r>
          </w:p>
        </w:tc>
        <w:tc>
          <w:tcPr>
            <w:tcW w:w="879" w:type="dxa"/>
            <w:tcBorders>
              <w:top w:val="nil"/>
              <w:left w:val="nil"/>
              <w:bottom w:val="nil"/>
              <w:right w:val="nil"/>
            </w:tcBorders>
            <w:noWrap/>
          </w:tcPr>
          <w:p w14:paraId="17AD8C07" w14:textId="14A8DEA7" w:rsidR="002E60E7" w:rsidRDefault="002E60E7" w:rsidP="002E60E7">
            <w:pPr>
              <w:jc w:val="center"/>
              <w:rPr>
                <w:rFonts w:cs="Calibri"/>
                <w:color w:val="000000"/>
                <w:sz w:val="18"/>
                <w:szCs w:val="18"/>
              </w:rPr>
            </w:pPr>
            <w:r w:rsidRPr="001E13D1">
              <w:rPr>
                <w:sz w:val="18"/>
                <w:szCs w:val="18"/>
              </w:rPr>
              <w:t>349</w:t>
            </w:r>
          </w:p>
        </w:tc>
      </w:tr>
      <w:tr w:rsidR="002E60E7" w:rsidRPr="00847FAE" w14:paraId="5B22BE52" w14:textId="77777777" w:rsidTr="001F1F60">
        <w:trPr>
          <w:cantSplit/>
          <w:trHeight w:val="255"/>
        </w:trPr>
        <w:tc>
          <w:tcPr>
            <w:tcW w:w="3402" w:type="dxa"/>
            <w:gridSpan w:val="4"/>
            <w:tcBorders>
              <w:top w:val="nil"/>
              <w:left w:val="nil"/>
              <w:bottom w:val="nil"/>
              <w:right w:val="nil"/>
            </w:tcBorders>
            <w:noWrap/>
            <w:vAlign w:val="center"/>
          </w:tcPr>
          <w:p w14:paraId="2536BCF9" w14:textId="154D27D9" w:rsidR="002E60E7" w:rsidRDefault="002E60E7" w:rsidP="002E60E7">
            <w:pPr>
              <w:widowControl w:val="0"/>
              <w:tabs>
                <w:tab w:val="left" w:pos="180"/>
              </w:tabs>
              <w:rPr>
                <w:rFonts w:cs="Calibri"/>
                <w:iCs/>
                <w:color w:val="000000"/>
                <w:sz w:val="18"/>
                <w:szCs w:val="18"/>
              </w:rPr>
            </w:pPr>
            <w:r>
              <w:rPr>
                <w:rFonts w:eastAsia="Calibri"/>
                <w:sz w:val="18"/>
                <w:szCs w:val="18"/>
              </w:rPr>
              <w:tab/>
            </w:r>
            <w:r w:rsidRPr="001E13D1">
              <w:rPr>
                <w:rFonts w:eastAsia="Calibri"/>
                <w:sz w:val="18"/>
                <w:szCs w:val="18"/>
              </w:rPr>
              <w:t>Materials Supplies &amp; Equipment</w:t>
            </w:r>
          </w:p>
        </w:tc>
        <w:tc>
          <w:tcPr>
            <w:tcW w:w="879" w:type="dxa"/>
            <w:tcBorders>
              <w:top w:val="nil"/>
              <w:left w:val="nil"/>
              <w:bottom w:val="nil"/>
              <w:right w:val="nil"/>
            </w:tcBorders>
            <w:noWrap/>
            <w:vAlign w:val="center"/>
          </w:tcPr>
          <w:p w14:paraId="3FFC6583" w14:textId="65BC7AFB" w:rsidR="002E60E7" w:rsidRDefault="002E60E7" w:rsidP="002E60E7">
            <w:pPr>
              <w:jc w:val="center"/>
              <w:rPr>
                <w:rFonts w:cs="Calibri"/>
                <w:color w:val="000000"/>
                <w:sz w:val="18"/>
                <w:szCs w:val="18"/>
              </w:rPr>
            </w:pPr>
            <w:r w:rsidRPr="001E13D1">
              <w:rPr>
                <w:rFonts w:eastAsia="Calibri"/>
                <w:sz w:val="18"/>
                <w:szCs w:val="18"/>
              </w:rPr>
              <w:t>102</w:t>
            </w:r>
          </w:p>
        </w:tc>
        <w:tc>
          <w:tcPr>
            <w:tcW w:w="879" w:type="dxa"/>
            <w:tcBorders>
              <w:top w:val="nil"/>
              <w:left w:val="nil"/>
              <w:bottom w:val="nil"/>
              <w:right w:val="nil"/>
            </w:tcBorders>
            <w:noWrap/>
            <w:vAlign w:val="center"/>
          </w:tcPr>
          <w:p w14:paraId="50CF3040" w14:textId="0AC6E92C" w:rsidR="002E60E7" w:rsidRDefault="002E60E7" w:rsidP="002E60E7">
            <w:pPr>
              <w:jc w:val="center"/>
              <w:rPr>
                <w:rFonts w:cs="Calibri"/>
                <w:color w:val="000000"/>
                <w:sz w:val="18"/>
                <w:szCs w:val="18"/>
              </w:rPr>
            </w:pPr>
            <w:r w:rsidRPr="001E13D1">
              <w:rPr>
                <w:rFonts w:eastAsia="Calibri"/>
                <w:sz w:val="18"/>
                <w:szCs w:val="18"/>
              </w:rPr>
              <w:t>105</w:t>
            </w:r>
          </w:p>
        </w:tc>
        <w:tc>
          <w:tcPr>
            <w:tcW w:w="879" w:type="dxa"/>
            <w:tcBorders>
              <w:top w:val="nil"/>
              <w:left w:val="nil"/>
              <w:bottom w:val="nil"/>
              <w:right w:val="nil"/>
            </w:tcBorders>
            <w:noWrap/>
            <w:vAlign w:val="center"/>
          </w:tcPr>
          <w:p w14:paraId="377AE30A" w14:textId="0BEBE560" w:rsidR="002E60E7" w:rsidRDefault="002E60E7" w:rsidP="002E60E7">
            <w:pPr>
              <w:jc w:val="center"/>
              <w:rPr>
                <w:rFonts w:cs="Calibri"/>
                <w:color w:val="000000"/>
                <w:sz w:val="18"/>
                <w:szCs w:val="18"/>
              </w:rPr>
            </w:pPr>
            <w:r w:rsidRPr="001E13D1">
              <w:rPr>
                <w:rFonts w:eastAsia="Calibri"/>
                <w:sz w:val="18"/>
                <w:szCs w:val="18"/>
              </w:rPr>
              <w:t>121</w:t>
            </w:r>
          </w:p>
        </w:tc>
        <w:tc>
          <w:tcPr>
            <w:tcW w:w="879" w:type="dxa"/>
            <w:tcBorders>
              <w:top w:val="nil"/>
              <w:left w:val="nil"/>
              <w:bottom w:val="nil"/>
              <w:right w:val="nil"/>
            </w:tcBorders>
            <w:noWrap/>
            <w:vAlign w:val="center"/>
          </w:tcPr>
          <w:p w14:paraId="0064BDAB" w14:textId="73CB43AD" w:rsidR="002E60E7" w:rsidRDefault="002E60E7" w:rsidP="002E60E7">
            <w:pPr>
              <w:jc w:val="center"/>
              <w:rPr>
                <w:rFonts w:cs="Calibri"/>
                <w:color w:val="000000"/>
                <w:sz w:val="18"/>
                <w:szCs w:val="18"/>
              </w:rPr>
            </w:pPr>
            <w:r w:rsidRPr="001E13D1">
              <w:rPr>
                <w:rFonts w:eastAsia="Calibri"/>
                <w:sz w:val="18"/>
                <w:szCs w:val="18"/>
              </w:rPr>
              <w:t>103</w:t>
            </w:r>
          </w:p>
        </w:tc>
        <w:tc>
          <w:tcPr>
            <w:tcW w:w="879" w:type="dxa"/>
            <w:tcBorders>
              <w:top w:val="nil"/>
              <w:left w:val="nil"/>
              <w:bottom w:val="nil"/>
              <w:right w:val="nil"/>
            </w:tcBorders>
            <w:noWrap/>
          </w:tcPr>
          <w:p w14:paraId="33CD0417" w14:textId="31AFEA30" w:rsidR="002E60E7" w:rsidRDefault="002E60E7" w:rsidP="002E60E7">
            <w:pPr>
              <w:jc w:val="center"/>
              <w:rPr>
                <w:rFonts w:cs="Calibri"/>
                <w:color w:val="000000"/>
                <w:sz w:val="18"/>
                <w:szCs w:val="18"/>
              </w:rPr>
            </w:pPr>
            <w:r w:rsidRPr="001E13D1">
              <w:rPr>
                <w:sz w:val="18"/>
                <w:szCs w:val="18"/>
              </w:rPr>
              <w:t>119</w:t>
            </w:r>
          </w:p>
        </w:tc>
      </w:tr>
      <w:tr w:rsidR="002E60E7" w:rsidRPr="00847FAE" w14:paraId="23219A16" w14:textId="77777777" w:rsidTr="001F1F60">
        <w:trPr>
          <w:cantSplit/>
          <w:trHeight w:val="255"/>
        </w:trPr>
        <w:tc>
          <w:tcPr>
            <w:tcW w:w="3402" w:type="dxa"/>
            <w:gridSpan w:val="4"/>
            <w:tcBorders>
              <w:top w:val="nil"/>
              <w:left w:val="nil"/>
              <w:bottom w:val="nil"/>
              <w:right w:val="nil"/>
            </w:tcBorders>
            <w:noWrap/>
            <w:vAlign w:val="center"/>
          </w:tcPr>
          <w:p w14:paraId="5EEC4174" w14:textId="0965C353" w:rsidR="002E60E7" w:rsidRDefault="002E60E7" w:rsidP="002E60E7">
            <w:pPr>
              <w:widowControl w:val="0"/>
              <w:tabs>
                <w:tab w:val="left" w:pos="180"/>
              </w:tabs>
              <w:rPr>
                <w:rFonts w:cs="Calibri"/>
                <w:iCs/>
                <w:color w:val="000000"/>
                <w:sz w:val="18"/>
                <w:szCs w:val="18"/>
              </w:rPr>
            </w:pPr>
            <w:r>
              <w:rPr>
                <w:rFonts w:eastAsia="Calibri"/>
                <w:sz w:val="18"/>
                <w:szCs w:val="18"/>
              </w:rPr>
              <w:tab/>
            </w:r>
            <w:r w:rsidRPr="001E13D1">
              <w:rPr>
                <w:rFonts w:eastAsia="Calibri"/>
                <w:sz w:val="18"/>
                <w:szCs w:val="18"/>
              </w:rPr>
              <w:t>Travel and Transport</w:t>
            </w:r>
          </w:p>
        </w:tc>
        <w:tc>
          <w:tcPr>
            <w:tcW w:w="879" w:type="dxa"/>
            <w:tcBorders>
              <w:top w:val="nil"/>
              <w:left w:val="nil"/>
              <w:bottom w:val="nil"/>
              <w:right w:val="nil"/>
            </w:tcBorders>
            <w:noWrap/>
            <w:vAlign w:val="center"/>
          </w:tcPr>
          <w:p w14:paraId="2897EE09" w14:textId="4E79764B" w:rsidR="002E60E7" w:rsidRDefault="002E60E7" w:rsidP="002E60E7">
            <w:pPr>
              <w:jc w:val="center"/>
              <w:rPr>
                <w:rFonts w:cs="Calibri"/>
                <w:color w:val="000000"/>
                <w:sz w:val="18"/>
                <w:szCs w:val="18"/>
              </w:rPr>
            </w:pPr>
            <w:r w:rsidRPr="001E13D1">
              <w:rPr>
                <w:rFonts w:eastAsia="Calibri"/>
                <w:sz w:val="18"/>
                <w:szCs w:val="18"/>
              </w:rPr>
              <w:t>291</w:t>
            </w:r>
          </w:p>
        </w:tc>
        <w:tc>
          <w:tcPr>
            <w:tcW w:w="879" w:type="dxa"/>
            <w:tcBorders>
              <w:top w:val="nil"/>
              <w:left w:val="nil"/>
              <w:bottom w:val="nil"/>
              <w:right w:val="nil"/>
            </w:tcBorders>
            <w:noWrap/>
            <w:vAlign w:val="center"/>
          </w:tcPr>
          <w:p w14:paraId="6793A283" w14:textId="24BBF5FC" w:rsidR="002E60E7" w:rsidRDefault="002E60E7" w:rsidP="002E60E7">
            <w:pPr>
              <w:jc w:val="center"/>
              <w:rPr>
                <w:rFonts w:cs="Calibri"/>
                <w:color w:val="000000"/>
                <w:sz w:val="18"/>
                <w:szCs w:val="18"/>
              </w:rPr>
            </w:pPr>
            <w:r w:rsidRPr="001E13D1">
              <w:rPr>
                <w:rFonts w:eastAsia="Calibri"/>
                <w:sz w:val="18"/>
                <w:szCs w:val="18"/>
              </w:rPr>
              <w:t>268</w:t>
            </w:r>
          </w:p>
        </w:tc>
        <w:tc>
          <w:tcPr>
            <w:tcW w:w="879" w:type="dxa"/>
            <w:tcBorders>
              <w:top w:val="nil"/>
              <w:left w:val="nil"/>
              <w:bottom w:val="nil"/>
              <w:right w:val="nil"/>
            </w:tcBorders>
            <w:noWrap/>
            <w:vAlign w:val="center"/>
          </w:tcPr>
          <w:p w14:paraId="25CE743A" w14:textId="59D89D1C" w:rsidR="002E60E7" w:rsidRDefault="002E60E7" w:rsidP="002E60E7">
            <w:pPr>
              <w:jc w:val="center"/>
              <w:rPr>
                <w:rFonts w:cs="Calibri"/>
                <w:color w:val="000000"/>
                <w:sz w:val="18"/>
                <w:szCs w:val="18"/>
              </w:rPr>
            </w:pPr>
            <w:r w:rsidRPr="001E13D1">
              <w:rPr>
                <w:rFonts w:eastAsia="Calibri"/>
                <w:sz w:val="18"/>
                <w:szCs w:val="18"/>
              </w:rPr>
              <w:t>273</w:t>
            </w:r>
          </w:p>
        </w:tc>
        <w:tc>
          <w:tcPr>
            <w:tcW w:w="879" w:type="dxa"/>
            <w:tcBorders>
              <w:top w:val="nil"/>
              <w:left w:val="nil"/>
              <w:bottom w:val="nil"/>
              <w:right w:val="nil"/>
            </w:tcBorders>
            <w:noWrap/>
            <w:vAlign w:val="center"/>
          </w:tcPr>
          <w:p w14:paraId="7C4D997A" w14:textId="66102FD5" w:rsidR="002E60E7" w:rsidRDefault="002E60E7" w:rsidP="002E60E7">
            <w:pPr>
              <w:jc w:val="center"/>
              <w:rPr>
                <w:rFonts w:cs="Calibri"/>
                <w:color w:val="000000"/>
                <w:sz w:val="18"/>
                <w:szCs w:val="18"/>
              </w:rPr>
            </w:pPr>
            <w:r w:rsidRPr="001E13D1">
              <w:rPr>
                <w:rFonts w:eastAsia="Calibri"/>
                <w:sz w:val="18"/>
                <w:szCs w:val="18"/>
              </w:rPr>
              <w:t>303</w:t>
            </w:r>
          </w:p>
        </w:tc>
        <w:tc>
          <w:tcPr>
            <w:tcW w:w="879" w:type="dxa"/>
            <w:tcBorders>
              <w:top w:val="nil"/>
              <w:left w:val="nil"/>
              <w:bottom w:val="nil"/>
              <w:right w:val="nil"/>
            </w:tcBorders>
            <w:noWrap/>
          </w:tcPr>
          <w:p w14:paraId="4805D74E" w14:textId="2ECBE4C1" w:rsidR="002E60E7" w:rsidRDefault="002E60E7" w:rsidP="002E60E7">
            <w:pPr>
              <w:jc w:val="center"/>
              <w:rPr>
                <w:rFonts w:cs="Calibri"/>
                <w:color w:val="000000"/>
                <w:sz w:val="18"/>
                <w:szCs w:val="18"/>
              </w:rPr>
            </w:pPr>
            <w:r w:rsidRPr="001E13D1">
              <w:rPr>
                <w:sz w:val="18"/>
                <w:szCs w:val="18"/>
              </w:rPr>
              <w:t>311</w:t>
            </w:r>
          </w:p>
        </w:tc>
      </w:tr>
      <w:tr w:rsidR="002E60E7" w:rsidRPr="00847FAE" w14:paraId="0421644C" w14:textId="77777777" w:rsidTr="001F1F60">
        <w:trPr>
          <w:cantSplit/>
          <w:trHeight w:val="255"/>
        </w:trPr>
        <w:tc>
          <w:tcPr>
            <w:tcW w:w="3402" w:type="dxa"/>
            <w:gridSpan w:val="4"/>
            <w:tcBorders>
              <w:top w:val="nil"/>
              <w:left w:val="nil"/>
              <w:bottom w:val="nil"/>
              <w:right w:val="nil"/>
            </w:tcBorders>
            <w:noWrap/>
            <w:vAlign w:val="center"/>
          </w:tcPr>
          <w:p w14:paraId="5B211429" w14:textId="700387D9" w:rsidR="002E60E7" w:rsidRDefault="002E60E7" w:rsidP="002E60E7">
            <w:pPr>
              <w:widowControl w:val="0"/>
              <w:tabs>
                <w:tab w:val="left" w:pos="180"/>
              </w:tabs>
              <w:rPr>
                <w:rFonts w:cs="Calibri"/>
                <w:iCs/>
                <w:color w:val="000000"/>
                <w:sz w:val="18"/>
                <w:szCs w:val="18"/>
              </w:rPr>
            </w:pPr>
            <w:r>
              <w:rPr>
                <w:rFonts w:eastAsia="Calibri"/>
                <w:sz w:val="18"/>
                <w:szCs w:val="18"/>
              </w:rPr>
              <w:tab/>
            </w:r>
            <w:r w:rsidRPr="001E13D1">
              <w:rPr>
                <w:rFonts w:eastAsia="Calibri"/>
                <w:sz w:val="18"/>
                <w:szCs w:val="18"/>
              </w:rPr>
              <w:t>Property Expenses</w:t>
            </w:r>
          </w:p>
        </w:tc>
        <w:tc>
          <w:tcPr>
            <w:tcW w:w="879" w:type="dxa"/>
            <w:tcBorders>
              <w:top w:val="nil"/>
              <w:left w:val="nil"/>
              <w:bottom w:val="nil"/>
              <w:right w:val="nil"/>
            </w:tcBorders>
            <w:noWrap/>
            <w:vAlign w:val="center"/>
          </w:tcPr>
          <w:p w14:paraId="1F0F3E64" w14:textId="7719253F" w:rsidR="002E60E7" w:rsidRDefault="002E60E7" w:rsidP="002E60E7">
            <w:pPr>
              <w:jc w:val="center"/>
              <w:rPr>
                <w:rFonts w:cs="Calibri"/>
                <w:color w:val="000000"/>
                <w:sz w:val="18"/>
                <w:szCs w:val="18"/>
              </w:rPr>
            </w:pPr>
            <w:r w:rsidRPr="001E13D1">
              <w:rPr>
                <w:rFonts w:eastAsia="Calibri"/>
                <w:sz w:val="18"/>
                <w:szCs w:val="18"/>
              </w:rPr>
              <w:t>1,567</w:t>
            </w:r>
          </w:p>
        </w:tc>
        <w:tc>
          <w:tcPr>
            <w:tcW w:w="879" w:type="dxa"/>
            <w:tcBorders>
              <w:top w:val="nil"/>
              <w:left w:val="nil"/>
              <w:bottom w:val="nil"/>
              <w:right w:val="nil"/>
            </w:tcBorders>
            <w:noWrap/>
            <w:vAlign w:val="center"/>
          </w:tcPr>
          <w:p w14:paraId="26D93F79" w14:textId="1AB6D940" w:rsidR="002E60E7" w:rsidRDefault="002E60E7" w:rsidP="002E60E7">
            <w:pPr>
              <w:jc w:val="center"/>
              <w:rPr>
                <w:rFonts w:cs="Calibri"/>
                <w:color w:val="000000"/>
                <w:sz w:val="18"/>
                <w:szCs w:val="18"/>
              </w:rPr>
            </w:pPr>
            <w:r w:rsidRPr="001E13D1">
              <w:rPr>
                <w:rFonts w:eastAsia="Calibri"/>
                <w:sz w:val="18"/>
                <w:szCs w:val="18"/>
              </w:rPr>
              <w:t>1,565</w:t>
            </w:r>
          </w:p>
        </w:tc>
        <w:tc>
          <w:tcPr>
            <w:tcW w:w="879" w:type="dxa"/>
            <w:tcBorders>
              <w:top w:val="nil"/>
              <w:left w:val="nil"/>
              <w:bottom w:val="nil"/>
              <w:right w:val="nil"/>
            </w:tcBorders>
            <w:noWrap/>
            <w:vAlign w:val="center"/>
          </w:tcPr>
          <w:p w14:paraId="7764C0D2" w14:textId="73B92D5C" w:rsidR="002E60E7" w:rsidRDefault="002E60E7" w:rsidP="002E60E7">
            <w:pPr>
              <w:jc w:val="center"/>
              <w:rPr>
                <w:rFonts w:cs="Calibri"/>
                <w:color w:val="000000"/>
                <w:sz w:val="18"/>
                <w:szCs w:val="18"/>
              </w:rPr>
            </w:pPr>
            <w:r w:rsidRPr="001E13D1">
              <w:rPr>
                <w:rFonts w:eastAsia="Calibri"/>
                <w:sz w:val="18"/>
                <w:szCs w:val="18"/>
              </w:rPr>
              <w:t>1,639</w:t>
            </w:r>
          </w:p>
        </w:tc>
        <w:tc>
          <w:tcPr>
            <w:tcW w:w="879" w:type="dxa"/>
            <w:tcBorders>
              <w:top w:val="nil"/>
              <w:left w:val="nil"/>
              <w:bottom w:val="nil"/>
              <w:right w:val="nil"/>
            </w:tcBorders>
            <w:noWrap/>
            <w:vAlign w:val="center"/>
          </w:tcPr>
          <w:p w14:paraId="6F463D82" w14:textId="220E1CB5" w:rsidR="002E60E7" w:rsidRDefault="002E60E7" w:rsidP="002E60E7">
            <w:pPr>
              <w:jc w:val="center"/>
              <w:rPr>
                <w:rFonts w:cs="Calibri"/>
                <w:color w:val="000000"/>
                <w:sz w:val="18"/>
                <w:szCs w:val="18"/>
              </w:rPr>
            </w:pPr>
            <w:r w:rsidRPr="001E13D1">
              <w:rPr>
                <w:rFonts w:eastAsia="Calibri"/>
                <w:sz w:val="18"/>
                <w:szCs w:val="18"/>
              </w:rPr>
              <w:t>1,600</w:t>
            </w:r>
          </w:p>
        </w:tc>
        <w:tc>
          <w:tcPr>
            <w:tcW w:w="879" w:type="dxa"/>
            <w:tcBorders>
              <w:top w:val="nil"/>
              <w:left w:val="nil"/>
              <w:bottom w:val="nil"/>
              <w:right w:val="nil"/>
            </w:tcBorders>
            <w:noWrap/>
          </w:tcPr>
          <w:p w14:paraId="74B2A2ED" w14:textId="01E5A423" w:rsidR="002E60E7" w:rsidRDefault="002E60E7" w:rsidP="002E60E7">
            <w:pPr>
              <w:jc w:val="center"/>
              <w:rPr>
                <w:rFonts w:cs="Calibri"/>
                <w:color w:val="000000"/>
                <w:sz w:val="18"/>
                <w:szCs w:val="18"/>
              </w:rPr>
            </w:pPr>
            <w:r w:rsidRPr="001E13D1">
              <w:rPr>
                <w:sz w:val="18"/>
                <w:szCs w:val="18"/>
              </w:rPr>
              <w:t>1,903</w:t>
            </w:r>
          </w:p>
        </w:tc>
      </w:tr>
      <w:tr w:rsidR="002E60E7" w:rsidRPr="00847FAE" w14:paraId="684176DF" w14:textId="77777777" w:rsidTr="001F1F60">
        <w:trPr>
          <w:cantSplit/>
          <w:trHeight w:val="255"/>
        </w:trPr>
        <w:tc>
          <w:tcPr>
            <w:tcW w:w="3402" w:type="dxa"/>
            <w:gridSpan w:val="4"/>
            <w:tcBorders>
              <w:top w:val="nil"/>
              <w:left w:val="nil"/>
              <w:bottom w:val="nil"/>
              <w:right w:val="nil"/>
            </w:tcBorders>
            <w:noWrap/>
            <w:vAlign w:val="center"/>
          </w:tcPr>
          <w:p w14:paraId="10117760" w14:textId="3FEA8331" w:rsidR="002E60E7" w:rsidRDefault="002E60E7" w:rsidP="002E60E7">
            <w:pPr>
              <w:widowControl w:val="0"/>
              <w:tabs>
                <w:tab w:val="left" w:pos="180"/>
              </w:tabs>
              <w:rPr>
                <w:rFonts w:cs="Calibri"/>
                <w:iCs/>
                <w:color w:val="000000"/>
                <w:sz w:val="18"/>
                <w:szCs w:val="18"/>
              </w:rPr>
            </w:pPr>
            <w:r>
              <w:rPr>
                <w:rFonts w:eastAsia="Calibri"/>
                <w:sz w:val="18"/>
                <w:szCs w:val="18"/>
              </w:rPr>
              <w:tab/>
            </w:r>
            <w:r w:rsidRPr="001E13D1">
              <w:rPr>
                <w:rFonts w:eastAsia="Calibri"/>
                <w:sz w:val="18"/>
                <w:szCs w:val="18"/>
              </w:rPr>
              <w:t>Other Expenditure</w:t>
            </w:r>
          </w:p>
        </w:tc>
        <w:tc>
          <w:tcPr>
            <w:tcW w:w="879" w:type="dxa"/>
            <w:tcBorders>
              <w:top w:val="nil"/>
              <w:left w:val="nil"/>
              <w:bottom w:val="nil"/>
              <w:right w:val="nil"/>
            </w:tcBorders>
            <w:noWrap/>
            <w:vAlign w:val="center"/>
          </w:tcPr>
          <w:p w14:paraId="091D6775" w14:textId="10D428B6" w:rsidR="002E60E7" w:rsidRDefault="002E60E7" w:rsidP="002E60E7">
            <w:pPr>
              <w:jc w:val="center"/>
              <w:rPr>
                <w:rFonts w:cs="Calibri"/>
                <w:color w:val="000000"/>
                <w:sz w:val="18"/>
                <w:szCs w:val="18"/>
              </w:rPr>
            </w:pPr>
            <w:r w:rsidRPr="001E13D1">
              <w:rPr>
                <w:rFonts w:eastAsia="Calibri"/>
                <w:sz w:val="18"/>
                <w:szCs w:val="18"/>
              </w:rPr>
              <w:t>762</w:t>
            </w:r>
          </w:p>
        </w:tc>
        <w:tc>
          <w:tcPr>
            <w:tcW w:w="879" w:type="dxa"/>
            <w:tcBorders>
              <w:top w:val="nil"/>
              <w:left w:val="nil"/>
              <w:bottom w:val="nil"/>
              <w:right w:val="nil"/>
            </w:tcBorders>
            <w:noWrap/>
            <w:vAlign w:val="center"/>
          </w:tcPr>
          <w:p w14:paraId="4816B537" w14:textId="362A7D3F" w:rsidR="002E60E7" w:rsidRDefault="002E60E7" w:rsidP="002E60E7">
            <w:pPr>
              <w:jc w:val="center"/>
              <w:rPr>
                <w:rFonts w:cs="Calibri"/>
                <w:color w:val="000000"/>
                <w:sz w:val="18"/>
                <w:szCs w:val="18"/>
              </w:rPr>
            </w:pPr>
            <w:r w:rsidRPr="001E13D1">
              <w:rPr>
                <w:rFonts w:eastAsia="Calibri"/>
                <w:sz w:val="18"/>
                <w:szCs w:val="18"/>
              </w:rPr>
              <w:t>374</w:t>
            </w:r>
          </w:p>
        </w:tc>
        <w:tc>
          <w:tcPr>
            <w:tcW w:w="879" w:type="dxa"/>
            <w:tcBorders>
              <w:top w:val="nil"/>
              <w:left w:val="nil"/>
              <w:bottom w:val="nil"/>
              <w:right w:val="nil"/>
            </w:tcBorders>
            <w:noWrap/>
            <w:vAlign w:val="center"/>
          </w:tcPr>
          <w:p w14:paraId="2A32E449" w14:textId="1713BD65" w:rsidR="002E60E7" w:rsidRDefault="002E60E7" w:rsidP="002E60E7">
            <w:pPr>
              <w:jc w:val="center"/>
              <w:rPr>
                <w:rFonts w:cs="Calibri"/>
                <w:color w:val="000000"/>
                <w:sz w:val="18"/>
                <w:szCs w:val="18"/>
              </w:rPr>
            </w:pPr>
            <w:r w:rsidRPr="001E13D1">
              <w:rPr>
                <w:rFonts w:eastAsia="Calibri"/>
                <w:sz w:val="18"/>
                <w:szCs w:val="18"/>
              </w:rPr>
              <w:t>510</w:t>
            </w:r>
          </w:p>
        </w:tc>
        <w:tc>
          <w:tcPr>
            <w:tcW w:w="879" w:type="dxa"/>
            <w:tcBorders>
              <w:top w:val="nil"/>
              <w:left w:val="nil"/>
              <w:bottom w:val="nil"/>
              <w:right w:val="nil"/>
            </w:tcBorders>
            <w:noWrap/>
            <w:vAlign w:val="center"/>
          </w:tcPr>
          <w:p w14:paraId="7D6C8E2C" w14:textId="6B55878F" w:rsidR="002E60E7" w:rsidRDefault="002E60E7" w:rsidP="002E60E7">
            <w:pPr>
              <w:jc w:val="center"/>
              <w:rPr>
                <w:rFonts w:cs="Calibri"/>
                <w:color w:val="000000"/>
                <w:sz w:val="18"/>
                <w:szCs w:val="18"/>
              </w:rPr>
            </w:pPr>
            <w:r w:rsidRPr="001E13D1">
              <w:rPr>
                <w:rFonts w:eastAsia="Calibri"/>
                <w:sz w:val="18"/>
                <w:szCs w:val="18"/>
              </w:rPr>
              <w:t>731</w:t>
            </w:r>
          </w:p>
        </w:tc>
        <w:tc>
          <w:tcPr>
            <w:tcW w:w="879" w:type="dxa"/>
            <w:tcBorders>
              <w:top w:val="nil"/>
              <w:left w:val="nil"/>
              <w:bottom w:val="nil"/>
              <w:right w:val="nil"/>
            </w:tcBorders>
            <w:noWrap/>
          </w:tcPr>
          <w:p w14:paraId="48971D07" w14:textId="31662A9D" w:rsidR="002E60E7" w:rsidRDefault="002E60E7" w:rsidP="002E60E7">
            <w:pPr>
              <w:jc w:val="center"/>
              <w:rPr>
                <w:rFonts w:cs="Calibri"/>
                <w:color w:val="000000"/>
                <w:sz w:val="18"/>
                <w:szCs w:val="18"/>
              </w:rPr>
            </w:pPr>
            <w:r w:rsidRPr="001E13D1">
              <w:rPr>
                <w:sz w:val="18"/>
                <w:szCs w:val="18"/>
              </w:rPr>
              <w:t>1,377</w:t>
            </w:r>
          </w:p>
        </w:tc>
      </w:tr>
      <w:tr w:rsidR="002E60E7" w:rsidRPr="00847FAE" w14:paraId="4DD2DA7F" w14:textId="77777777" w:rsidTr="001F1F60">
        <w:trPr>
          <w:cantSplit/>
          <w:trHeight w:val="255"/>
        </w:trPr>
        <w:tc>
          <w:tcPr>
            <w:tcW w:w="3402" w:type="dxa"/>
            <w:gridSpan w:val="4"/>
            <w:tcBorders>
              <w:top w:val="nil"/>
              <w:left w:val="nil"/>
              <w:bottom w:val="nil"/>
              <w:right w:val="nil"/>
            </w:tcBorders>
            <w:noWrap/>
            <w:vAlign w:val="center"/>
          </w:tcPr>
          <w:p w14:paraId="327A4758" w14:textId="34FF2A21" w:rsidR="002E60E7" w:rsidRDefault="002E60E7" w:rsidP="002E60E7">
            <w:pPr>
              <w:widowControl w:val="0"/>
              <w:tabs>
                <w:tab w:val="left" w:pos="180"/>
              </w:tabs>
              <w:rPr>
                <w:rFonts w:cs="Calibri"/>
                <w:iCs/>
                <w:color w:val="000000"/>
                <w:sz w:val="18"/>
                <w:szCs w:val="18"/>
              </w:rPr>
            </w:pPr>
            <w:r>
              <w:rPr>
                <w:rFonts w:eastAsia="Calibri"/>
                <w:sz w:val="18"/>
                <w:szCs w:val="18"/>
              </w:rPr>
              <w:tab/>
            </w:r>
            <w:r w:rsidRPr="001E13D1">
              <w:rPr>
                <w:rFonts w:eastAsia="Calibri"/>
                <w:sz w:val="18"/>
                <w:szCs w:val="18"/>
              </w:rPr>
              <w:t>Consultants</w:t>
            </w:r>
          </w:p>
        </w:tc>
        <w:tc>
          <w:tcPr>
            <w:tcW w:w="879" w:type="dxa"/>
            <w:tcBorders>
              <w:top w:val="nil"/>
              <w:left w:val="nil"/>
              <w:bottom w:val="nil"/>
              <w:right w:val="nil"/>
            </w:tcBorders>
            <w:noWrap/>
            <w:vAlign w:val="center"/>
          </w:tcPr>
          <w:p w14:paraId="180FB7E3" w14:textId="000C25E5" w:rsidR="002E60E7" w:rsidRDefault="002E60E7" w:rsidP="002E60E7">
            <w:pPr>
              <w:jc w:val="center"/>
              <w:rPr>
                <w:rFonts w:cs="Calibri"/>
                <w:color w:val="000000"/>
                <w:sz w:val="18"/>
                <w:szCs w:val="18"/>
              </w:rPr>
            </w:pPr>
            <w:r w:rsidRPr="001E13D1">
              <w:rPr>
                <w:rFonts w:eastAsia="Calibri"/>
                <w:sz w:val="18"/>
                <w:szCs w:val="18"/>
              </w:rPr>
              <w:t>4</w:t>
            </w:r>
          </w:p>
        </w:tc>
        <w:tc>
          <w:tcPr>
            <w:tcW w:w="879" w:type="dxa"/>
            <w:tcBorders>
              <w:top w:val="nil"/>
              <w:left w:val="nil"/>
              <w:bottom w:val="nil"/>
              <w:right w:val="nil"/>
            </w:tcBorders>
            <w:noWrap/>
            <w:vAlign w:val="center"/>
          </w:tcPr>
          <w:p w14:paraId="2E0E4CCB" w14:textId="6D167AE9" w:rsidR="002E60E7" w:rsidRDefault="002E60E7" w:rsidP="002E60E7">
            <w:pPr>
              <w:jc w:val="center"/>
              <w:rPr>
                <w:rFonts w:cs="Calibri"/>
                <w:color w:val="000000"/>
                <w:sz w:val="18"/>
                <w:szCs w:val="18"/>
              </w:rPr>
            </w:pPr>
            <w:r w:rsidRPr="001E13D1">
              <w:rPr>
                <w:rFonts w:eastAsia="Calibri"/>
                <w:sz w:val="18"/>
                <w:szCs w:val="18"/>
              </w:rPr>
              <w:t>8</w:t>
            </w:r>
          </w:p>
        </w:tc>
        <w:tc>
          <w:tcPr>
            <w:tcW w:w="879" w:type="dxa"/>
            <w:tcBorders>
              <w:top w:val="nil"/>
              <w:left w:val="nil"/>
              <w:bottom w:val="nil"/>
              <w:right w:val="nil"/>
            </w:tcBorders>
            <w:noWrap/>
            <w:vAlign w:val="center"/>
          </w:tcPr>
          <w:p w14:paraId="75A4CC9A" w14:textId="127629BF" w:rsidR="002E60E7" w:rsidRDefault="002E60E7" w:rsidP="002E60E7">
            <w:pPr>
              <w:jc w:val="center"/>
              <w:rPr>
                <w:rFonts w:cs="Calibri"/>
                <w:color w:val="000000"/>
                <w:sz w:val="18"/>
                <w:szCs w:val="18"/>
              </w:rPr>
            </w:pPr>
            <w:r w:rsidRPr="001E13D1">
              <w:rPr>
                <w:rFonts w:eastAsia="Calibri"/>
                <w:sz w:val="18"/>
                <w:szCs w:val="18"/>
              </w:rPr>
              <w:t>21</w:t>
            </w:r>
          </w:p>
        </w:tc>
        <w:tc>
          <w:tcPr>
            <w:tcW w:w="879" w:type="dxa"/>
            <w:tcBorders>
              <w:top w:val="nil"/>
              <w:left w:val="nil"/>
              <w:bottom w:val="nil"/>
              <w:right w:val="nil"/>
            </w:tcBorders>
            <w:noWrap/>
            <w:vAlign w:val="center"/>
          </w:tcPr>
          <w:p w14:paraId="4E4A2D60" w14:textId="5A2C3144" w:rsidR="002E60E7" w:rsidRDefault="002E60E7" w:rsidP="002E60E7">
            <w:pPr>
              <w:jc w:val="center"/>
              <w:rPr>
                <w:rFonts w:cs="Calibri"/>
                <w:color w:val="000000"/>
                <w:sz w:val="18"/>
                <w:szCs w:val="18"/>
              </w:rPr>
            </w:pPr>
            <w:r w:rsidRPr="001E13D1">
              <w:rPr>
                <w:rFonts w:eastAsia="Calibri"/>
                <w:sz w:val="18"/>
                <w:szCs w:val="18"/>
              </w:rPr>
              <w:t>1</w:t>
            </w:r>
          </w:p>
        </w:tc>
        <w:tc>
          <w:tcPr>
            <w:tcW w:w="879" w:type="dxa"/>
            <w:tcBorders>
              <w:top w:val="nil"/>
              <w:left w:val="nil"/>
              <w:bottom w:val="nil"/>
              <w:right w:val="nil"/>
            </w:tcBorders>
            <w:noWrap/>
          </w:tcPr>
          <w:p w14:paraId="0EBB986A" w14:textId="6B70FF0F" w:rsidR="002E60E7" w:rsidRDefault="002E60E7" w:rsidP="002E60E7">
            <w:pPr>
              <w:jc w:val="center"/>
              <w:rPr>
                <w:rFonts w:cs="Calibri"/>
                <w:color w:val="000000"/>
                <w:sz w:val="18"/>
                <w:szCs w:val="18"/>
              </w:rPr>
            </w:pPr>
            <w:r w:rsidRPr="001E13D1">
              <w:rPr>
                <w:sz w:val="18"/>
                <w:szCs w:val="18"/>
              </w:rPr>
              <w:t>5</w:t>
            </w:r>
          </w:p>
        </w:tc>
      </w:tr>
      <w:tr w:rsidR="002E60E7" w:rsidRPr="00847FAE" w14:paraId="0238D5D3" w14:textId="77777777" w:rsidTr="001F1F60">
        <w:trPr>
          <w:cantSplit/>
          <w:trHeight w:val="255"/>
        </w:trPr>
        <w:tc>
          <w:tcPr>
            <w:tcW w:w="3402" w:type="dxa"/>
            <w:gridSpan w:val="4"/>
            <w:tcBorders>
              <w:top w:val="nil"/>
              <w:left w:val="nil"/>
              <w:bottom w:val="single" w:sz="4" w:space="0" w:color="auto"/>
              <w:right w:val="nil"/>
            </w:tcBorders>
            <w:shd w:val="clear" w:color="auto" w:fill="D9D9D9" w:themeFill="background1" w:themeFillShade="D9"/>
            <w:noWrap/>
          </w:tcPr>
          <w:p w14:paraId="12253FA3" w14:textId="77777777" w:rsidR="002E60E7" w:rsidRPr="00847FAE" w:rsidRDefault="002E60E7" w:rsidP="002E60E7">
            <w:pPr>
              <w:widowControl w:val="0"/>
              <w:rPr>
                <w:rFonts w:cs="Calibri"/>
                <w:color w:val="000000"/>
                <w:sz w:val="18"/>
                <w:szCs w:val="18"/>
              </w:rPr>
            </w:pPr>
            <w:r>
              <w:rPr>
                <w:rFonts w:cs="Calibri"/>
                <w:iCs/>
                <w:color w:val="000000"/>
                <w:sz w:val="18"/>
                <w:szCs w:val="18"/>
              </w:rPr>
              <w:t>TOTAL</w:t>
            </w:r>
          </w:p>
        </w:tc>
        <w:tc>
          <w:tcPr>
            <w:tcW w:w="879" w:type="dxa"/>
            <w:tcBorders>
              <w:top w:val="nil"/>
              <w:left w:val="nil"/>
              <w:bottom w:val="single" w:sz="4" w:space="0" w:color="auto"/>
              <w:right w:val="nil"/>
            </w:tcBorders>
            <w:shd w:val="clear" w:color="auto" w:fill="D9D9D9" w:themeFill="background1" w:themeFillShade="D9"/>
            <w:noWrap/>
            <w:vAlign w:val="center"/>
          </w:tcPr>
          <w:p w14:paraId="3A070A23" w14:textId="5188BC3E" w:rsidR="002E60E7" w:rsidRPr="00847FAE" w:rsidRDefault="002E60E7" w:rsidP="002E60E7">
            <w:pPr>
              <w:jc w:val="center"/>
              <w:rPr>
                <w:rFonts w:cs="Calibri"/>
                <w:color w:val="000000"/>
                <w:sz w:val="18"/>
                <w:szCs w:val="18"/>
              </w:rPr>
            </w:pPr>
            <w:r w:rsidRPr="002E60E7">
              <w:rPr>
                <w:rFonts w:eastAsia="Calibri"/>
                <w:sz w:val="18"/>
                <w:szCs w:val="18"/>
              </w:rPr>
              <w:t>11,743</w:t>
            </w:r>
          </w:p>
        </w:tc>
        <w:tc>
          <w:tcPr>
            <w:tcW w:w="879" w:type="dxa"/>
            <w:tcBorders>
              <w:top w:val="nil"/>
              <w:left w:val="nil"/>
              <w:bottom w:val="single" w:sz="4" w:space="0" w:color="auto"/>
              <w:right w:val="nil"/>
            </w:tcBorders>
            <w:shd w:val="clear" w:color="auto" w:fill="D9D9D9" w:themeFill="background1" w:themeFillShade="D9"/>
            <w:noWrap/>
            <w:vAlign w:val="center"/>
          </w:tcPr>
          <w:p w14:paraId="3B1CA3DA" w14:textId="05AA87AB" w:rsidR="002E60E7" w:rsidRPr="00847FAE" w:rsidRDefault="002E60E7" w:rsidP="002E60E7">
            <w:pPr>
              <w:jc w:val="center"/>
              <w:rPr>
                <w:rFonts w:cs="Calibri"/>
                <w:color w:val="000000"/>
                <w:sz w:val="18"/>
                <w:szCs w:val="18"/>
              </w:rPr>
            </w:pPr>
            <w:r w:rsidRPr="002E60E7">
              <w:rPr>
                <w:rFonts w:eastAsia="Calibri"/>
                <w:sz w:val="18"/>
                <w:szCs w:val="18"/>
              </w:rPr>
              <w:t>11,414</w:t>
            </w:r>
          </w:p>
        </w:tc>
        <w:tc>
          <w:tcPr>
            <w:tcW w:w="879" w:type="dxa"/>
            <w:tcBorders>
              <w:top w:val="nil"/>
              <w:left w:val="nil"/>
              <w:bottom w:val="single" w:sz="4" w:space="0" w:color="auto"/>
              <w:right w:val="nil"/>
            </w:tcBorders>
            <w:shd w:val="clear" w:color="auto" w:fill="D9D9D9" w:themeFill="background1" w:themeFillShade="D9"/>
            <w:noWrap/>
            <w:vAlign w:val="center"/>
          </w:tcPr>
          <w:p w14:paraId="54C6B271" w14:textId="7A23693C" w:rsidR="002E60E7" w:rsidRPr="00847FAE" w:rsidRDefault="002E60E7" w:rsidP="002E60E7">
            <w:pPr>
              <w:jc w:val="center"/>
              <w:rPr>
                <w:rFonts w:cs="Calibri"/>
                <w:color w:val="000000"/>
                <w:sz w:val="18"/>
                <w:szCs w:val="18"/>
              </w:rPr>
            </w:pPr>
            <w:r w:rsidRPr="002E60E7">
              <w:rPr>
                <w:rFonts w:eastAsia="Calibri"/>
                <w:sz w:val="18"/>
                <w:szCs w:val="18"/>
              </w:rPr>
              <w:t>11,792</w:t>
            </w:r>
          </w:p>
        </w:tc>
        <w:tc>
          <w:tcPr>
            <w:tcW w:w="879" w:type="dxa"/>
            <w:tcBorders>
              <w:top w:val="nil"/>
              <w:left w:val="nil"/>
              <w:bottom w:val="single" w:sz="4" w:space="0" w:color="auto"/>
              <w:right w:val="nil"/>
            </w:tcBorders>
            <w:shd w:val="clear" w:color="auto" w:fill="D9D9D9" w:themeFill="background1" w:themeFillShade="D9"/>
            <w:noWrap/>
            <w:vAlign w:val="center"/>
          </w:tcPr>
          <w:p w14:paraId="65B8877E" w14:textId="3B8912E4" w:rsidR="002E60E7" w:rsidRPr="00847FAE" w:rsidRDefault="002E60E7" w:rsidP="002E60E7">
            <w:pPr>
              <w:jc w:val="center"/>
              <w:rPr>
                <w:rFonts w:cs="Calibri"/>
                <w:color w:val="000000"/>
                <w:sz w:val="18"/>
                <w:szCs w:val="18"/>
              </w:rPr>
            </w:pPr>
            <w:r w:rsidRPr="002E60E7">
              <w:rPr>
                <w:rFonts w:eastAsia="Calibri"/>
                <w:sz w:val="18"/>
                <w:szCs w:val="18"/>
              </w:rPr>
              <w:t>12,046</w:t>
            </w:r>
          </w:p>
        </w:tc>
        <w:tc>
          <w:tcPr>
            <w:tcW w:w="879" w:type="dxa"/>
            <w:tcBorders>
              <w:top w:val="nil"/>
              <w:left w:val="nil"/>
              <w:bottom w:val="single" w:sz="4" w:space="0" w:color="auto"/>
              <w:right w:val="nil"/>
            </w:tcBorders>
            <w:shd w:val="clear" w:color="auto" w:fill="D9D9D9" w:themeFill="background1" w:themeFillShade="D9"/>
            <w:noWrap/>
            <w:vAlign w:val="center"/>
          </w:tcPr>
          <w:p w14:paraId="7332E2EF" w14:textId="683FB325" w:rsidR="002E60E7" w:rsidRPr="00847FAE" w:rsidRDefault="002E60E7" w:rsidP="002E60E7">
            <w:pPr>
              <w:jc w:val="center"/>
              <w:rPr>
                <w:rFonts w:cs="Calibri"/>
                <w:color w:val="000000"/>
                <w:sz w:val="18"/>
                <w:szCs w:val="18"/>
              </w:rPr>
            </w:pPr>
            <w:r>
              <w:rPr>
                <w:rFonts w:cs="Calibri"/>
                <w:color w:val="000000"/>
                <w:sz w:val="18"/>
                <w:szCs w:val="18"/>
              </w:rPr>
              <w:t>13,719</w:t>
            </w:r>
          </w:p>
        </w:tc>
      </w:tr>
    </w:tbl>
    <w:p w14:paraId="28D099FE" w14:textId="77777777" w:rsidR="001E13D1" w:rsidRPr="001E13D1" w:rsidRDefault="001E13D1" w:rsidP="001E13D1">
      <w:pPr>
        <w:rPr>
          <w:lang w:eastAsia="en-US"/>
        </w:rPr>
      </w:pPr>
    </w:p>
    <w:p w14:paraId="3AF7F757" w14:textId="77777777" w:rsidR="00DF59A8" w:rsidRPr="00847FAE" w:rsidRDefault="00DF59A8" w:rsidP="00DF59A8">
      <w:pPr>
        <w:rPr>
          <w:lang w:eastAsia="en-US"/>
        </w:rPr>
      </w:pPr>
    </w:p>
    <w:sectPr w:rsidR="00DF59A8" w:rsidRPr="00847FAE" w:rsidSect="000C231D">
      <w:footnotePr>
        <w:pos w:val="beneathText"/>
      </w:footnotePr>
      <w:pgSz w:w="11906" w:h="16838"/>
      <w:pgMar w:top="719" w:right="1800" w:bottom="53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29A8" w14:textId="77777777" w:rsidR="00A00D95" w:rsidRDefault="00A00D95" w:rsidP="00BD2A8D">
      <w:r>
        <w:separator/>
      </w:r>
    </w:p>
    <w:p w14:paraId="2055D10C" w14:textId="77777777" w:rsidR="00A00D95" w:rsidRDefault="00A00D95" w:rsidP="00BD2A8D"/>
  </w:endnote>
  <w:endnote w:type="continuationSeparator" w:id="0">
    <w:p w14:paraId="48574D1B" w14:textId="77777777" w:rsidR="00A00D95" w:rsidRDefault="00A00D95" w:rsidP="00BD2A8D">
      <w:r>
        <w:continuationSeparator/>
      </w:r>
    </w:p>
    <w:p w14:paraId="5835E65D" w14:textId="77777777" w:rsidR="00A00D95" w:rsidRDefault="00A00D95" w:rsidP="00BD2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1F56" w14:textId="502B1BB5" w:rsidR="003F43C6" w:rsidRPr="00FA6763" w:rsidRDefault="003F43C6" w:rsidP="00E12710">
    <w:pPr>
      <w:pStyle w:val="Footer"/>
      <w:jc w:val="right"/>
    </w:pPr>
    <w:r w:rsidRPr="00FA6763">
      <w:t xml:space="preserve">Page </w:t>
    </w:r>
    <w:r w:rsidRPr="00FA6763">
      <w:fldChar w:fldCharType="begin"/>
    </w:r>
    <w:r w:rsidRPr="00FA6763">
      <w:instrText xml:space="preserve"> PAGE </w:instrText>
    </w:r>
    <w:r w:rsidRPr="00FA6763">
      <w:fldChar w:fldCharType="separate"/>
    </w:r>
    <w:r w:rsidR="00AD725B">
      <w:rPr>
        <w:noProof/>
      </w:rPr>
      <w:t>28</w:t>
    </w:r>
    <w:r w:rsidRPr="00FA676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6797" w14:textId="77777777" w:rsidR="00A00D95" w:rsidRDefault="00A00D95" w:rsidP="00BD2A8D">
      <w:r>
        <w:separator/>
      </w:r>
    </w:p>
    <w:p w14:paraId="0F37EDB7" w14:textId="77777777" w:rsidR="00A00D95" w:rsidRDefault="00A00D95" w:rsidP="00BD2A8D"/>
  </w:footnote>
  <w:footnote w:type="continuationSeparator" w:id="0">
    <w:p w14:paraId="7E8891EE" w14:textId="77777777" w:rsidR="00A00D95" w:rsidRDefault="00A00D95" w:rsidP="00BD2A8D">
      <w:r>
        <w:continuationSeparator/>
      </w:r>
    </w:p>
    <w:p w14:paraId="58534DC6" w14:textId="77777777" w:rsidR="00A00D95" w:rsidRDefault="00A00D95" w:rsidP="00BD2A8D"/>
  </w:footnote>
  <w:footnote w:id="1">
    <w:p w14:paraId="033C447C" w14:textId="5D7CE4FE" w:rsidR="003F43C6" w:rsidRPr="00F91FF2" w:rsidRDefault="003F43C6">
      <w:pPr>
        <w:pStyle w:val="FootnoteText"/>
      </w:pPr>
      <w:r>
        <w:rPr>
          <w:rStyle w:val="FootnoteReference"/>
        </w:rPr>
        <w:footnoteRef/>
      </w:r>
      <w:r>
        <w:t xml:space="preserve"> </w:t>
      </w:r>
      <w:r w:rsidRPr="00F91FF2">
        <w:t>Staffing numbers exclude magistrates as they are not Tasmanian State Service employees.</w:t>
      </w:r>
      <w:r>
        <w:t xml:space="preserve">  There are 14.8 full time equivalent magistrates.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B62"/>
    <w:multiLevelType w:val="hybridMultilevel"/>
    <w:tmpl w:val="CBA0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3654A"/>
    <w:multiLevelType w:val="hybridMultilevel"/>
    <w:tmpl w:val="04C45148"/>
    <w:lvl w:ilvl="0" w:tplc="4DA2A2DA">
      <w:start w:val="1"/>
      <w:numFmt w:val="bullet"/>
      <w:pStyle w:val="NormalDot2"/>
      <w:lvlText w:val=""/>
      <w:lvlJc w:val="left"/>
      <w:pPr>
        <w:tabs>
          <w:tab w:val="num" w:pos="1741"/>
        </w:tabs>
        <w:ind w:left="1741" w:hanging="360"/>
      </w:pPr>
      <w:rPr>
        <w:rFonts w:ascii="Wingdings" w:hAnsi="Wingdings" w:hint="default"/>
        <w:sz w:val="16"/>
      </w:rPr>
    </w:lvl>
    <w:lvl w:ilvl="1" w:tplc="0C090003" w:tentative="1">
      <w:start w:val="1"/>
      <w:numFmt w:val="bullet"/>
      <w:lvlText w:val="o"/>
      <w:lvlJc w:val="left"/>
      <w:pPr>
        <w:tabs>
          <w:tab w:val="num" w:pos="2461"/>
        </w:tabs>
        <w:ind w:left="2461" w:hanging="360"/>
      </w:pPr>
      <w:rPr>
        <w:rFonts w:ascii="Courier New" w:hAnsi="Courier New" w:cs="Courier New" w:hint="default"/>
      </w:rPr>
    </w:lvl>
    <w:lvl w:ilvl="2" w:tplc="0C090005" w:tentative="1">
      <w:start w:val="1"/>
      <w:numFmt w:val="bullet"/>
      <w:lvlText w:val=""/>
      <w:lvlJc w:val="left"/>
      <w:pPr>
        <w:tabs>
          <w:tab w:val="num" w:pos="3181"/>
        </w:tabs>
        <w:ind w:left="3181" w:hanging="360"/>
      </w:pPr>
      <w:rPr>
        <w:rFonts w:ascii="Wingdings" w:hAnsi="Wingdings" w:hint="default"/>
      </w:rPr>
    </w:lvl>
    <w:lvl w:ilvl="3" w:tplc="0C090001" w:tentative="1">
      <w:start w:val="1"/>
      <w:numFmt w:val="bullet"/>
      <w:lvlText w:val=""/>
      <w:lvlJc w:val="left"/>
      <w:pPr>
        <w:tabs>
          <w:tab w:val="num" w:pos="3901"/>
        </w:tabs>
        <w:ind w:left="3901" w:hanging="360"/>
      </w:pPr>
      <w:rPr>
        <w:rFonts w:ascii="Symbol" w:hAnsi="Symbol" w:hint="default"/>
      </w:rPr>
    </w:lvl>
    <w:lvl w:ilvl="4" w:tplc="0C090003" w:tentative="1">
      <w:start w:val="1"/>
      <w:numFmt w:val="bullet"/>
      <w:lvlText w:val="o"/>
      <w:lvlJc w:val="left"/>
      <w:pPr>
        <w:tabs>
          <w:tab w:val="num" w:pos="4621"/>
        </w:tabs>
        <w:ind w:left="4621" w:hanging="360"/>
      </w:pPr>
      <w:rPr>
        <w:rFonts w:ascii="Courier New" w:hAnsi="Courier New" w:cs="Courier New" w:hint="default"/>
      </w:rPr>
    </w:lvl>
    <w:lvl w:ilvl="5" w:tplc="0C090005" w:tentative="1">
      <w:start w:val="1"/>
      <w:numFmt w:val="bullet"/>
      <w:lvlText w:val=""/>
      <w:lvlJc w:val="left"/>
      <w:pPr>
        <w:tabs>
          <w:tab w:val="num" w:pos="5341"/>
        </w:tabs>
        <w:ind w:left="5341" w:hanging="360"/>
      </w:pPr>
      <w:rPr>
        <w:rFonts w:ascii="Wingdings" w:hAnsi="Wingdings" w:hint="default"/>
      </w:rPr>
    </w:lvl>
    <w:lvl w:ilvl="6" w:tplc="0C090001" w:tentative="1">
      <w:start w:val="1"/>
      <w:numFmt w:val="bullet"/>
      <w:lvlText w:val=""/>
      <w:lvlJc w:val="left"/>
      <w:pPr>
        <w:tabs>
          <w:tab w:val="num" w:pos="6061"/>
        </w:tabs>
        <w:ind w:left="6061" w:hanging="360"/>
      </w:pPr>
      <w:rPr>
        <w:rFonts w:ascii="Symbol" w:hAnsi="Symbol" w:hint="default"/>
      </w:rPr>
    </w:lvl>
    <w:lvl w:ilvl="7" w:tplc="0C090003" w:tentative="1">
      <w:start w:val="1"/>
      <w:numFmt w:val="bullet"/>
      <w:lvlText w:val="o"/>
      <w:lvlJc w:val="left"/>
      <w:pPr>
        <w:tabs>
          <w:tab w:val="num" w:pos="6781"/>
        </w:tabs>
        <w:ind w:left="6781" w:hanging="360"/>
      </w:pPr>
      <w:rPr>
        <w:rFonts w:ascii="Courier New" w:hAnsi="Courier New" w:cs="Courier New" w:hint="default"/>
      </w:rPr>
    </w:lvl>
    <w:lvl w:ilvl="8" w:tplc="0C090005" w:tentative="1">
      <w:start w:val="1"/>
      <w:numFmt w:val="bullet"/>
      <w:lvlText w:val=""/>
      <w:lvlJc w:val="left"/>
      <w:pPr>
        <w:tabs>
          <w:tab w:val="num" w:pos="7501"/>
        </w:tabs>
        <w:ind w:left="7501" w:hanging="360"/>
      </w:pPr>
      <w:rPr>
        <w:rFonts w:ascii="Wingdings" w:hAnsi="Wingdings" w:hint="default"/>
      </w:rPr>
    </w:lvl>
  </w:abstractNum>
  <w:abstractNum w:abstractNumId="2" w15:restartNumberingAfterBreak="0">
    <w:nsid w:val="05E42F73"/>
    <w:multiLevelType w:val="hybridMultilevel"/>
    <w:tmpl w:val="12B8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E0089"/>
    <w:multiLevelType w:val="hybridMultilevel"/>
    <w:tmpl w:val="604C98BE"/>
    <w:lvl w:ilvl="0" w:tplc="586CC0AC">
      <w:start w:val="1"/>
      <w:numFmt w:val="decimal"/>
      <w:pStyle w:val="NormalNum2"/>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 w15:restartNumberingAfterBreak="0">
    <w:nsid w:val="0A9402D9"/>
    <w:multiLevelType w:val="hybridMultilevel"/>
    <w:tmpl w:val="F296F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F2DE2"/>
    <w:multiLevelType w:val="hybridMultilevel"/>
    <w:tmpl w:val="C5E0A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0675B"/>
    <w:multiLevelType w:val="hybridMultilevel"/>
    <w:tmpl w:val="B9A4411C"/>
    <w:lvl w:ilvl="0" w:tplc="65283C42">
      <w:start w:val="1"/>
      <w:numFmt w:val="decimal"/>
      <w:pStyle w:val="NormalNum3"/>
      <w:lvlText w:val="%1."/>
      <w:lvlJc w:val="left"/>
      <w:pPr>
        <w:tabs>
          <w:tab w:val="num" w:pos="2160"/>
        </w:tabs>
        <w:ind w:left="2160" w:hanging="360"/>
      </w:p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7" w15:restartNumberingAfterBreak="0">
    <w:nsid w:val="16A444ED"/>
    <w:multiLevelType w:val="hybridMultilevel"/>
    <w:tmpl w:val="9C96CAA8"/>
    <w:lvl w:ilvl="0" w:tplc="4A2A83D2">
      <w:start w:val="1"/>
      <w:numFmt w:val="bullet"/>
      <w:pStyle w:val="NormalDot1"/>
      <w:lvlText w:val=""/>
      <w:lvlJc w:val="left"/>
      <w:pPr>
        <w:tabs>
          <w:tab w:val="num" w:pos="700"/>
        </w:tabs>
        <w:ind w:left="680" w:hanging="340"/>
      </w:pPr>
      <w:rPr>
        <w:rFonts w:ascii="Symbol" w:hAnsi="Symbol" w:hint="default"/>
      </w:rPr>
    </w:lvl>
    <w:lvl w:ilvl="1" w:tplc="0C090003">
      <w:start w:val="1"/>
      <w:numFmt w:val="bullet"/>
      <w:lvlText w:val="o"/>
      <w:lvlJc w:val="left"/>
      <w:pPr>
        <w:tabs>
          <w:tab w:val="num" w:pos="1780"/>
        </w:tabs>
        <w:ind w:left="1780" w:hanging="360"/>
      </w:pPr>
      <w:rPr>
        <w:rFonts w:ascii="Courier New" w:hAnsi="Courier New" w:cs="Courier New" w:hint="default"/>
      </w:rPr>
    </w:lvl>
    <w:lvl w:ilvl="2" w:tplc="0C090005" w:tentative="1">
      <w:start w:val="1"/>
      <w:numFmt w:val="bullet"/>
      <w:lvlText w:val=""/>
      <w:lvlJc w:val="left"/>
      <w:pPr>
        <w:tabs>
          <w:tab w:val="num" w:pos="2500"/>
        </w:tabs>
        <w:ind w:left="2500" w:hanging="360"/>
      </w:pPr>
      <w:rPr>
        <w:rFonts w:ascii="Wingdings" w:hAnsi="Wingdings" w:hint="default"/>
      </w:rPr>
    </w:lvl>
    <w:lvl w:ilvl="3" w:tplc="0C090001" w:tentative="1">
      <w:start w:val="1"/>
      <w:numFmt w:val="bullet"/>
      <w:lvlText w:val=""/>
      <w:lvlJc w:val="left"/>
      <w:pPr>
        <w:tabs>
          <w:tab w:val="num" w:pos="3220"/>
        </w:tabs>
        <w:ind w:left="3220" w:hanging="360"/>
      </w:pPr>
      <w:rPr>
        <w:rFonts w:ascii="Symbol" w:hAnsi="Symbol" w:hint="default"/>
      </w:rPr>
    </w:lvl>
    <w:lvl w:ilvl="4" w:tplc="0C090003" w:tentative="1">
      <w:start w:val="1"/>
      <w:numFmt w:val="bullet"/>
      <w:lvlText w:val="o"/>
      <w:lvlJc w:val="left"/>
      <w:pPr>
        <w:tabs>
          <w:tab w:val="num" w:pos="3940"/>
        </w:tabs>
        <w:ind w:left="3940" w:hanging="360"/>
      </w:pPr>
      <w:rPr>
        <w:rFonts w:ascii="Courier New" w:hAnsi="Courier New" w:cs="Courier New" w:hint="default"/>
      </w:rPr>
    </w:lvl>
    <w:lvl w:ilvl="5" w:tplc="0C090005" w:tentative="1">
      <w:start w:val="1"/>
      <w:numFmt w:val="bullet"/>
      <w:lvlText w:val=""/>
      <w:lvlJc w:val="left"/>
      <w:pPr>
        <w:tabs>
          <w:tab w:val="num" w:pos="4660"/>
        </w:tabs>
        <w:ind w:left="4660" w:hanging="360"/>
      </w:pPr>
      <w:rPr>
        <w:rFonts w:ascii="Wingdings" w:hAnsi="Wingdings" w:hint="default"/>
      </w:rPr>
    </w:lvl>
    <w:lvl w:ilvl="6" w:tplc="0C090001" w:tentative="1">
      <w:start w:val="1"/>
      <w:numFmt w:val="bullet"/>
      <w:lvlText w:val=""/>
      <w:lvlJc w:val="left"/>
      <w:pPr>
        <w:tabs>
          <w:tab w:val="num" w:pos="5380"/>
        </w:tabs>
        <w:ind w:left="5380" w:hanging="360"/>
      </w:pPr>
      <w:rPr>
        <w:rFonts w:ascii="Symbol" w:hAnsi="Symbol" w:hint="default"/>
      </w:rPr>
    </w:lvl>
    <w:lvl w:ilvl="7" w:tplc="0C090003" w:tentative="1">
      <w:start w:val="1"/>
      <w:numFmt w:val="bullet"/>
      <w:lvlText w:val="o"/>
      <w:lvlJc w:val="left"/>
      <w:pPr>
        <w:tabs>
          <w:tab w:val="num" w:pos="6100"/>
        </w:tabs>
        <w:ind w:left="6100" w:hanging="360"/>
      </w:pPr>
      <w:rPr>
        <w:rFonts w:ascii="Courier New" w:hAnsi="Courier New" w:cs="Courier New" w:hint="default"/>
      </w:rPr>
    </w:lvl>
    <w:lvl w:ilvl="8" w:tplc="0C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171E0D72"/>
    <w:multiLevelType w:val="hybridMultilevel"/>
    <w:tmpl w:val="F432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42BB7"/>
    <w:multiLevelType w:val="hybridMultilevel"/>
    <w:tmpl w:val="7C7C3632"/>
    <w:lvl w:ilvl="0" w:tplc="4A2A83D2">
      <w:start w:val="1"/>
      <w:numFmt w:val="bullet"/>
      <w:lvlText w:val=""/>
      <w:lvlJc w:val="left"/>
      <w:pPr>
        <w:tabs>
          <w:tab w:val="num" w:pos="360"/>
        </w:tabs>
        <w:ind w:left="340" w:hanging="340"/>
      </w:pPr>
      <w:rPr>
        <w:rFonts w:ascii="Symbol" w:hAnsi="Symbol" w:hint="default"/>
      </w:rPr>
    </w:lvl>
    <w:lvl w:ilvl="1" w:tplc="BB7AB880">
      <w:start w:val="1"/>
      <w:numFmt w:val="bullet"/>
      <w:lvlText w:val=""/>
      <w:lvlJc w:val="left"/>
      <w:pPr>
        <w:tabs>
          <w:tab w:val="num" w:pos="1440"/>
        </w:tabs>
        <w:ind w:left="1440" w:hanging="360"/>
      </w:pPr>
      <w:rPr>
        <w:rFonts w:ascii="Symbol" w:hAnsi="Symbol" w:hint="default"/>
        <w:sz w:val="2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B0B48"/>
    <w:multiLevelType w:val="singleLevel"/>
    <w:tmpl w:val="BDF4B62E"/>
    <w:lvl w:ilvl="0">
      <w:start w:val="1"/>
      <w:numFmt w:val="decimal"/>
      <w:lvlText w:val="%1."/>
      <w:legacy w:legacy="1" w:legacySpace="0" w:legacyIndent="283"/>
      <w:lvlJc w:val="left"/>
      <w:pPr>
        <w:ind w:left="283" w:hanging="283"/>
      </w:pPr>
      <w:rPr>
        <w:sz w:val="16"/>
      </w:rPr>
    </w:lvl>
  </w:abstractNum>
  <w:abstractNum w:abstractNumId="11" w15:restartNumberingAfterBreak="0">
    <w:nsid w:val="1C2619AA"/>
    <w:multiLevelType w:val="hybridMultilevel"/>
    <w:tmpl w:val="7CC881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A133B0"/>
    <w:multiLevelType w:val="hybridMultilevel"/>
    <w:tmpl w:val="251E364C"/>
    <w:lvl w:ilvl="0" w:tplc="FFFFFFFF">
      <w:start w:val="1"/>
      <w:numFmt w:val="decimal"/>
      <w:pStyle w:val="Heading5"/>
      <w:lvlText w:val="%1."/>
      <w:lvlJc w:val="left"/>
      <w:pPr>
        <w:tabs>
          <w:tab w:val="num" w:pos="567"/>
        </w:tabs>
        <w:ind w:left="567" w:hanging="567"/>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25CE01BF"/>
    <w:multiLevelType w:val="hybridMultilevel"/>
    <w:tmpl w:val="3EB6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2590C"/>
    <w:multiLevelType w:val="hybridMultilevel"/>
    <w:tmpl w:val="4678C6AC"/>
    <w:lvl w:ilvl="0" w:tplc="469086D6">
      <w:start w:val="1"/>
      <w:numFmt w:val="lowerLetter"/>
      <w:pStyle w:val="NormalAlpha1"/>
      <w:lvlText w:val="%1 )"/>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CC411C7"/>
    <w:multiLevelType w:val="hybridMultilevel"/>
    <w:tmpl w:val="6DE44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EFE14A3"/>
    <w:multiLevelType w:val="hybridMultilevel"/>
    <w:tmpl w:val="E56C1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1043B"/>
    <w:multiLevelType w:val="hybridMultilevel"/>
    <w:tmpl w:val="DEB2E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91E17"/>
    <w:multiLevelType w:val="hybridMultilevel"/>
    <w:tmpl w:val="687AA844"/>
    <w:lvl w:ilvl="0" w:tplc="9180750A">
      <w:start w:val="1"/>
      <w:numFmt w:val="bullet"/>
      <w:pStyle w:val="NormalDot3"/>
      <w:lvlText w:val=""/>
      <w:lvlJc w:val="left"/>
      <w:pPr>
        <w:tabs>
          <w:tab w:val="num" w:pos="1800"/>
        </w:tabs>
        <w:ind w:left="180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896633"/>
    <w:multiLevelType w:val="hybridMultilevel"/>
    <w:tmpl w:val="117631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24AF8"/>
    <w:multiLevelType w:val="hybridMultilevel"/>
    <w:tmpl w:val="84C85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3D21F8"/>
    <w:multiLevelType w:val="hybridMultilevel"/>
    <w:tmpl w:val="99A28724"/>
    <w:lvl w:ilvl="0" w:tplc="0C090001">
      <w:start w:val="1"/>
      <w:numFmt w:val="bullet"/>
      <w:lvlText w:val=""/>
      <w:lvlJc w:val="left"/>
      <w:pPr>
        <w:ind w:left="717" w:hanging="360"/>
      </w:pPr>
      <w:rPr>
        <w:rFonts w:ascii="Symbol" w:hAnsi="Symbol" w:hint="default"/>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start w:val="1"/>
      <w:numFmt w:val="decimal"/>
      <w:lvlText w:val="%4."/>
      <w:lvlJc w:val="left"/>
      <w:pPr>
        <w:ind w:left="2877" w:hanging="360"/>
      </w:pPr>
    </w:lvl>
    <w:lvl w:ilvl="4" w:tplc="0C090019">
      <w:start w:val="1"/>
      <w:numFmt w:val="lowerLetter"/>
      <w:lvlText w:val="%5."/>
      <w:lvlJc w:val="left"/>
      <w:pPr>
        <w:ind w:left="3597" w:hanging="360"/>
      </w:pPr>
    </w:lvl>
    <w:lvl w:ilvl="5" w:tplc="0C09001B">
      <w:start w:val="1"/>
      <w:numFmt w:val="lowerRoman"/>
      <w:lvlText w:val="%6."/>
      <w:lvlJc w:val="right"/>
      <w:pPr>
        <w:ind w:left="4317" w:hanging="180"/>
      </w:pPr>
    </w:lvl>
    <w:lvl w:ilvl="6" w:tplc="0C09000F">
      <w:start w:val="1"/>
      <w:numFmt w:val="decimal"/>
      <w:lvlText w:val="%7."/>
      <w:lvlJc w:val="left"/>
      <w:pPr>
        <w:ind w:left="5037" w:hanging="360"/>
      </w:pPr>
    </w:lvl>
    <w:lvl w:ilvl="7" w:tplc="0C090019">
      <w:start w:val="1"/>
      <w:numFmt w:val="lowerLetter"/>
      <w:lvlText w:val="%8."/>
      <w:lvlJc w:val="left"/>
      <w:pPr>
        <w:ind w:left="5757" w:hanging="360"/>
      </w:pPr>
    </w:lvl>
    <w:lvl w:ilvl="8" w:tplc="0C09001B">
      <w:start w:val="1"/>
      <w:numFmt w:val="lowerRoman"/>
      <w:lvlText w:val="%9."/>
      <w:lvlJc w:val="right"/>
      <w:pPr>
        <w:ind w:left="6477" w:hanging="180"/>
      </w:pPr>
    </w:lvl>
  </w:abstractNum>
  <w:abstractNum w:abstractNumId="22" w15:restartNumberingAfterBreak="0">
    <w:nsid w:val="43A968A7"/>
    <w:multiLevelType w:val="hybridMultilevel"/>
    <w:tmpl w:val="49BAEBAE"/>
    <w:lvl w:ilvl="0" w:tplc="D0C82C8E">
      <w:start w:val="1"/>
      <w:numFmt w:val="lowerRoman"/>
      <w:pStyle w:val="NormalAlpha2"/>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3AE243D"/>
    <w:multiLevelType w:val="multilevel"/>
    <w:tmpl w:val="717042EE"/>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Restart w:val="0"/>
      <w:pStyle w:val="ListBullet2"/>
      <w:lvlText w:val=""/>
      <w:lvlJc w:val="left"/>
      <w:pPr>
        <w:tabs>
          <w:tab w:val="num" w:pos="851"/>
        </w:tabs>
        <w:ind w:left="851" w:hanging="426"/>
      </w:pPr>
      <w:rPr>
        <w:rFonts w:ascii="Symbol" w:hAnsi="Symbol" w:hint="default"/>
        <w:color w:val="auto"/>
      </w:rPr>
    </w:lvl>
    <w:lvl w:ilvl="2">
      <w:start w:val="1"/>
      <w:numFmt w:val="bullet"/>
      <w:lvlRestart w:val="0"/>
      <w:pStyle w:val="ListBullet3"/>
      <w:lvlText w:val=""/>
      <w:lvlJc w:val="left"/>
      <w:pPr>
        <w:tabs>
          <w:tab w:val="num" w:pos="1276"/>
        </w:tabs>
        <w:ind w:left="1276" w:hanging="425"/>
      </w:pPr>
      <w:rPr>
        <w:rFonts w:ascii="Symbol" w:hAnsi="Symbol" w:hint="default"/>
        <w:color w:val="auto"/>
      </w:rPr>
    </w:lvl>
    <w:lvl w:ilvl="3">
      <w:start w:val="1"/>
      <w:numFmt w:val="bullet"/>
      <w:lvlRestart w:val="0"/>
      <w:pStyle w:val="ListBullet4"/>
      <w:lvlText w:val=""/>
      <w:lvlJc w:val="left"/>
      <w:pPr>
        <w:tabs>
          <w:tab w:val="num" w:pos="1701"/>
        </w:tabs>
        <w:ind w:left="1701" w:hanging="425"/>
      </w:pPr>
      <w:rPr>
        <w:rFonts w:ascii="Symbol" w:hAnsi="Symbol" w:hint="default"/>
        <w:color w:val="auto"/>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none"/>
      <w:lvlRestart w:val="0"/>
      <w:suff w:val="nothing"/>
      <w:lvlText w:val=""/>
      <w:lvlJc w:val="left"/>
      <w:pPr>
        <w:ind w:left="0" w:firstLine="851"/>
      </w:pPr>
      <w:rPr>
        <w:rFonts w:hint="default"/>
      </w:rPr>
    </w:lvl>
    <w:lvl w:ilvl="7">
      <w:start w:val="1"/>
      <w:numFmt w:val="decimal"/>
      <w:lvlText w:val="%7.%8"/>
      <w:lvlJc w:val="left"/>
      <w:pPr>
        <w:tabs>
          <w:tab w:val="num" w:pos="851"/>
        </w:tabs>
        <w:ind w:left="851" w:hanging="851"/>
      </w:pPr>
      <w:rPr>
        <w:rFonts w:hint="default"/>
      </w:rPr>
    </w:lvl>
    <w:lvl w:ilvl="8">
      <w:start w:val="1"/>
      <w:numFmt w:val="decimal"/>
      <w:lvlText w:val="%7.%8.%9"/>
      <w:lvlJc w:val="left"/>
      <w:pPr>
        <w:tabs>
          <w:tab w:val="num" w:pos="851"/>
        </w:tabs>
        <w:ind w:left="851" w:hanging="851"/>
      </w:pPr>
      <w:rPr>
        <w:rFonts w:hint="default"/>
      </w:rPr>
    </w:lvl>
  </w:abstractNum>
  <w:abstractNum w:abstractNumId="24" w15:restartNumberingAfterBreak="0">
    <w:nsid w:val="45E3644E"/>
    <w:multiLevelType w:val="hybridMultilevel"/>
    <w:tmpl w:val="8304CCB8"/>
    <w:lvl w:ilvl="0" w:tplc="7090DD0A">
      <w:start w:val="1"/>
      <w:numFmt w:val="upperRoman"/>
      <w:pStyle w:val="NormalAlpha3"/>
      <w:lvlText w:val="%1."/>
      <w:lvlJc w:val="left"/>
      <w:pPr>
        <w:tabs>
          <w:tab w:val="num" w:pos="2880"/>
        </w:tabs>
        <w:ind w:left="28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883B22"/>
    <w:multiLevelType w:val="hybridMultilevel"/>
    <w:tmpl w:val="6DC24CDC"/>
    <w:lvl w:ilvl="0" w:tplc="DAE88E24">
      <w:start w:val="1"/>
      <w:numFmt w:val="decimal"/>
      <w:pStyle w:val="NormalNum1"/>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2E9025D"/>
    <w:multiLevelType w:val="hybridMultilevel"/>
    <w:tmpl w:val="8FF29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626579"/>
    <w:multiLevelType w:val="hybridMultilevel"/>
    <w:tmpl w:val="A69883A8"/>
    <w:lvl w:ilvl="0" w:tplc="E1147E60">
      <w:start w:val="1"/>
      <w:numFmt w:val="bullet"/>
      <w:pStyle w:val="PAIndent1"/>
      <w:lvlText w:val=""/>
      <w:lvlJc w:val="left"/>
      <w:pPr>
        <w:tabs>
          <w:tab w:val="num" w:pos="2835"/>
        </w:tabs>
        <w:ind w:left="2835" w:hanging="567"/>
      </w:pPr>
      <w:rPr>
        <w:rFonts w:ascii="Wingdings" w:hAnsi="Wingdings" w:hint="default"/>
      </w:rPr>
    </w:lvl>
    <w:lvl w:ilvl="1" w:tplc="04090003">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36266E"/>
    <w:multiLevelType w:val="singleLevel"/>
    <w:tmpl w:val="D80E376E"/>
    <w:lvl w:ilvl="0">
      <w:start w:val="1"/>
      <w:numFmt w:val="decimal"/>
      <w:lvlText w:val="%1."/>
      <w:legacy w:legacy="1" w:legacySpace="0" w:legacyIndent="283"/>
      <w:lvlJc w:val="left"/>
      <w:pPr>
        <w:ind w:left="283" w:hanging="283"/>
      </w:pPr>
    </w:lvl>
  </w:abstractNum>
  <w:abstractNum w:abstractNumId="29" w15:restartNumberingAfterBreak="0">
    <w:nsid w:val="598B7AF0"/>
    <w:multiLevelType w:val="hybridMultilevel"/>
    <w:tmpl w:val="57C20A62"/>
    <w:lvl w:ilvl="0" w:tplc="F82E7D54">
      <w:start w:val="1"/>
      <w:numFmt w:val="bullet"/>
      <w:lvlText w:val=""/>
      <w:lvlJc w:val="left"/>
      <w:pPr>
        <w:ind w:left="720" w:hanging="360"/>
      </w:pPr>
      <w:rPr>
        <w:rFonts w:ascii="Symbol" w:hAnsi="Symbol" w:hint="default"/>
      </w:rPr>
    </w:lvl>
    <w:lvl w:ilvl="1" w:tplc="852444D4">
      <w:start w:val="1"/>
      <w:numFmt w:val="bullet"/>
      <w:lvlText w:val="o"/>
      <w:lvlJc w:val="left"/>
      <w:pPr>
        <w:ind w:left="1440" w:hanging="360"/>
      </w:pPr>
      <w:rPr>
        <w:rFonts w:ascii="Courier New" w:hAnsi="Courier New" w:cs="Courier New" w:hint="default"/>
      </w:rPr>
    </w:lvl>
    <w:lvl w:ilvl="2" w:tplc="E5C2D102" w:tentative="1">
      <w:start w:val="1"/>
      <w:numFmt w:val="bullet"/>
      <w:lvlText w:val=""/>
      <w:lvlJc w:val="left"/>
      <w:pPr>
        <w:ind w:left="2160" w:hanging="360"/>
      </w:pPr>
      <w:rPr>
        <w:rFonts w:ascii="Wingdings" w:hAnsi="Wingdings" w:hint="default"/>
      </w:rPr>
    </w:lvl>
    <w:lvl w:ilvl="3" w:tplc="F8BE2A6A" w:tentative="1">
      <w:start w:val="1"/>
      <w:numFmt w:val="bullet"/>
      <w:lvlText w:val=""/>
      <w:lvlJc w:val="left"/>
      <w:pPr>
        <w:ind w:left="2880" w:hanging="360"/>
      </w:pPr>
      <w:rPr>
        <w:rFonts w:ascii="Symbol" w:hAnsi="Symbol" w:hint="default"/>
      </w:rPr>
    </w:lvl>
    <w:lvl w:ilvl="4" w:tplc="98DA4C38" w:tentative="1">
      <w:start w:val="1"/>
      <w:numFmt w:val="bullet"/>
      <w:lvlText w:val="o"/>
      <w:lvlJc w:val="left"/>
      <w:pPr>
        <w:ind w:left="3600" w:hanging="360"/>
      </w:pPr>
      <w:rPr>
        <w:rFonts w:ascii="Courier New" w:hAnsi="Courier New" w:cs="Courier New" w:hint="default"/>
      </w:rPr>
    </w:lvl>
    <w:lvl w:ilvl="5" w:tplc="59F0A11E" w:tentative="1">
      <w:start w:val="1"/>
      <w:numFmt w:val="bullet"/>
      <w:lvlText w:val=""/>
      <w:lvlJc w:val="left"/>
      <w:pPr>
        <w:ind w:left="4320" w:hanging="360"/>
      </w:pPr>
      <w:rPr>
        <w:rFonts w:ascii="Wingdings" w:hAnsi="Wingdings" w:hint="default"/>
      </w:rPr>
    </w:lvl>
    <w:lvl w:ilvl="6" w:tplc="A2F86D84" w:tentative="1">
      <w:start w:val="1"/>
      <w:numFmt w:val="bullet"/>
      <w:lvlText w:val=""/>
      <w:lvlJc w:val="left"/>
      <w:pPr>
        <w:ind w:left="5040" w:hanging="360"/>
      </w:pPr>
      <w:rPr>
        <w:rFonts w:ascii="Symbol" w:hAnsi="Symbol" w:hint="default"/>
      </w:rPr>
    </w:lvl>
    <w:lvl w:ilvl="7" w:tplc="E8D4CFE2" w:tentative="1">
      <w:start w:val="1"/>
      <w:numFmt w:val="bullet"/>
      <w:lvlText w:val="o"/>
      <w:lvlJc w:val="left"/>
      <w:pPr>
        <w:ind w:left="5760" w:hanging="360"/>
      </w:pPr>
      <w:rPr>
        <w:rFonts w:ascii="Courier New" w:hAnsi="Courier New" w:cs="Courier New" w:hint="default"/>
      </w:rPr>
    </w:lvl>
    <w:lvl w:ilvl="8" w:tplc="C9DCAB14" w:tentative="1">
      <w:start w:val="1"/>
      <w:numFmt w:val="bullet"/>
      <w:lvlText w:val=""/>
      <w:lvlJc w:val="left"/>
      <w:pPr>
        <w:ind w:left="6480" w:hanging="360"/>
      </w:pPr>
      <w:rPr>
        <w:rFonts w:ascii="Wingdings" w:hAnsi="Wingdings" w:hint="default"/>
      </w:rPr>
    </w:lvl>
  </w:abstractNum>
  <w:abstractNum w:abstractNumId="30" w15:restartNumberingAfterBreak="0">
    <w:nsid w:val="635C01B6"/>
    <w:multiLevelType w:val="hybridMultilevel"/>
    <w:tmpl w:val="8A68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B80B2F"/>
    <w:multiLevelType w:val="hybridMultilevel"/>
    <w:tmpl w:val="835CE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0317F"/>
    <w:multiLevelType w:val="hybridMultilevel"/>
    <w:tmpl w:val="2B88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101511"/>
    <w:multiLevelType w:val="multilevel"/>
    <w:tmpl w:val="AEEE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5"/>
  </w:num>
  <w:num w:numId="4">
    <w:abstractNumId w:val="3"/>
  </w:num>
  <w:num w:numId="5">
    <w:abstractNumId w:val="6"/>
  </w:num>
  <w:num w:numId="6">
    <w:abstractNumId w:val="14"/>
  </w:num>
  <w:num w:numId="7">
    <w:abstractNumId w:val="22"/>
  </w:num>
  <w:num w:numId="8">
    <w:abstractNumId w:val="24"/>
  </w:num>
  <w:num w:numId="9">
    <w:abstractNumId w:val="27"/>
  </w:num>
  <w:num w:numId="10">
    <w:abstractNumId w:val="1"/>
  </w:num>
  <w:num w:numId="11">
    <w:abstractNumId w:val="10"/>
  </w:num>
  <w:num w:numId="12">
    <w:abstractNumId w:val="19"/>
  </w:num>
  <w:num w:numId="13">
    <w:abstractNumId w:val="12"/>
  </w:num>
  <w:num w:numId="14">
    <w:abstractNumId w:val="23"/>
  </w:num>
  <w:num w:numId="15">
    <w:abstractNumId w:val="33"/>
  </w:num>
  <w:num w:numId="16">
    <w:abstractNumId w:val="17"/>
  </w:num>
  <w:num w:numId="17">
    <w:abstractNumId w:val="32"/>
  </w:num>
  <w:num w:numId="18">
    <w:abstractNumId w:val="30"/>
  </w:num>
  <w:num w:numId="19">
    <w:abstractNumId w:val="31"/>
  </w:num>
  <w:num w:numId="20">
    <w:abstractNumId w:val="9"/>
  </w:num>
  <w:num w:numId="21">
    <w:abstractNumId w:val="29"/>
  </w:num>
  <w:num w:numId="22">
    <w:abstractNumId w:val="28"/>
  </w:num>
  <w:num w:numId="23">
    <w:abstractNumId w:val="16"/>
  </w:num>
  <w:num w:numId="24">
    <w:abstractNumId w:val="21"/>
  </w:num>
  <w:num w:numId="25">
    <w:abstractNumId w:val="0"/>
  </w:num>
  <w:num w:numId="26">
    <w:abstractNumId w:val="2"/>
  </w:num>
  <w:num w:numId="27">
    <w:abstractNumId w:val="11"/>
  </w:num>
  <w:num w:numId="28">
    <w:abstractNumId w:val="15"/>
  </w:num>
  <w:num w:numId="29">
    <w:abstractNumId w:val="20"/>
  </w:num>
  <w:num w:numId="30">
    <w:abstractNumId w:val="8"/>
  </w:num>
  <w:num w:numId="31">
    <w:abstractNumId w:val="5"/>
  </w:num>
  <w:num w:numId="32">
    <w:abstractNumId w:val="26"/>
  </w:num>
  <w:num w:numId="33">
    <w:abstractNumId w:val="4"/>
  </w:num>
  <w:num w:numId="3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5E0753E-8F9A-4B8D-B5F6-DCA0483C1AEC}"/>
    <w:docVar w:name="dgnword-eventsink" w:val="554396672"/>
  </w:docVars>
  <w:rsids>
    <w:rsidRoot w:val="00C14B39"/>
    <w:rsid w:val="00000310"/>
    <w:rsid w:val="00004BE9"/>
    <w:rsid w:val="00004BFF"/>
    <w:rsid w:val="0000777A"/>
    <w:rsid w:val="00007B0A"/>
    <w:rsid w:val="0001358B"/>
    <w:rsid w:val="000143B1"/>
    <w:rsid w:val="000149B5"/>
    <w:rsid w:val="00014C52"/>
    <w:rsid w:val="00014CC9"/>
    <w:rsid w:val="000154F6"/>
    <w:rsid w:val="0001572A"/>
    <w:rsid w:val="00015DEA"/>
    <w:rsid w:val="00016596"/>
    <w:rsid w:val="00016685"/>
    <w:rsid w:val="00016A38"/>
    <w:rsid w:val="0001779D"/>
    <w:rsid w:val="0002057F"/>
    <w:rsid w:val="00020CB0"/>
    <w:rsid w:val="000217D6"/>
    <w:rsid w:val="00023AE5"/>
    <w:rsid w:val="000252EC"/>
    <w:rsid w:val="00025660"/>
    <w:rsid w:val="0002624D"/>
    <w:rsid w:val="0002633E"/>
    <w:rsid w:val="0002635A"/>
    <w:rsid w:val="00027110"/>
    <w:rsid w:val="00027462"/>
    <w:rsid w:val="00027FA5"/>
    <w:rsid w:val="000319FF"/>
    <w:rsid w:val="00032600"/>
    <w:rsid w:val="00032B03"/>
    <w:rsid w:val="00033331"/>
    <w:rsid w:val="00034E30"/>
    <w:rsid w:val="000355AC"/>
    <w:rsid w:val="00035BAB"/>
    <w:rsid w:val="00037AFA"/>
    <w:rsid w:val="0004269E"/>
    <w:rsid w:val="000427AF"/>
    <w:rsid w:val="000462E0"/>
    <w:rsid w:val="00046374"/>
    <w:rsid w:val="000474B9"/>
    <w:rsid w:val="00047907"/>
    <w:rsid w:val="000501FD"/>
    <w:rsid w:val="00050A4D"/>
    <w:rsid w:val="0005237A"/>
    <w:rsid w:val="0005246A"/>
    <w:rsid w:val="000525B1"/>
    <w:rsid w:val="000525E5"/>
    <w:rsid w:val="0005293F"/>
    <w:rsid w:val="00054993"/>
    <w:rsid w:val="00055246"/>
    <w:rsid w:val="00056B76"/>
    <w:rsid w:val="00057299"/>
    <w:rsid w:val="00057C48"/>
    <w:rsid w:val="00060237"/>
    <w:rsid w:val="00060B4C"/>
    <w:rsid w:val="000627F2"/>
    <w:rsid w:val="0006295F"/>
    <w:rsid w:val="00063524"/>
    <w:rsid w:val="000636CF"/>
    <w:rsid w:val="0006401A"/>
    <w:rsid w:val="00064CC2"/>
    <w:rsid w:val="00064F8B"/>
    <w:rsid w:val="00065682"/>
    <w:rsid w:val="00066EF6"/>
    <w:rsid w:val="000674A4"/>
    <w:rsid w:val="00070E1A"/>
    <w:rsid w:val="0007366E"/>
    <w:rsid w:val="000763C5"/>
    <w:rsid w:val="00077327"/>
    <w:rsid w:val="000774D4"/>
    <w:rsid w:val="00080530"/>
    <w:rsid w:val="00081EFC"/>
    <w:rsid w:val="00083CB7"/>
    <w:rsid w:val="00084C40"/>
    <w:rsid w:val="000861D2"/>
    <w:rsid w:val="00086439"/>
    <w:rsid w:val="000865C0"/>
    <w:rsid w:val="00086905"/>
    <w:rsid w:val="00090160"/>
    <w:rsid w:val="000901F1"/>
    <w:rsid w:val="00090847"/>
    <w:rsid w:val="00090C16"/>
    <w:rsid w:val="00091E9D"/>
    <w:rsid w:val="000927BE"/>
    <w:rsid w:val="000952AD"/>
    <w:rsid w:val="00095F7F"/>
    <w:rsid w:val="0009661A"/>
    <w:rsid w:val="00097384"/>
    <w:rsid w:val="0009776C"/>
    <w:rsid w:val="000A1D31"/>
    <w:rsid w:val="000A22CE"/>
    <w:rsid w:val="000A26AC"/>
    <w:rsid w:val="000A29F4"/>
    <w:rsid w:val="000A2B2F"/>
    <w:rsid w:val="000A36F1"/>
    <w:rsid w:val="000A4389"/>
    <w:rsid w:val="000A523B"/>
    <w:rsid w:val="000A5522"/>
    <w:rsid w:val="000A57C9"/>
    <w:rsid w:val="000B022C"/>
    <w:rsid w:val="000B0FBD"/>
    <w:rsid w:val="000B22BF"/>
    <w:rsid w:val="000B29A4"/>
    <w:rsid w:val="000B2A4D"/>
    <w:rsid w:val="000B3CF5"/>
    <w:rsid w:val="000B5BCE"/>
    <w:rsid w:val="000B5E67"/>
    <w:rsid w:val="000B6237"/>
    <w:rsid w:val="000B7880"/>
    <w:rsid w:val="000C00D6"/>
    <w:rsid w:val="000C231D"/>
    <w:rsid w:val="000C257C"/>
    <w:rsid w:val="000C2AA5"/>
    <w:rsid w:val="000C304E"/>
    <w:rsid w:val="000C6ED2"/>
    <w:rsid w:val="000D092B"/>
    <w:rsid w:val="000D151E"/>
    <w:rsid w:val="000D178E"/>
    <w:rsid w:val="000D194A"/>
    <w:rsid w:val="000D2309"/>
    <w:rsid w:val="000D2DE8"/>
    <w:rsid w:val="000D2E01"/>
    <w:rsid w:val="000D2E60"/>
    <w:rsid w:val="000D3B2B"/>
    <w:rsid w:val="000D3F50"/>
    <w:rsid w:val="000D6AA3"/>
    <w:rsid w:val="000D7DBC"/>
    <w:rsid w:val="000E0EA1"/>
    <w:rsid w:val="000E1471"/>
    <w:rsid w:val="000E26FD"/>
    <w:rsid w:val="000E2CC6"/>
    <w:rsid w:val="000E4A4B"/>
    <w:rsid w:val="000E57F7"/>
    <w:rsid w:val="000E6B0E"/>
    <w:rsid w:val="000E7DC3"/>
    <w:rsid w:val="000F02DD"/>
    <w:rsid w:val="000F02FB"/>
    <w:rsid w:val="000F181E"/>
    <w:rsid w:val="000F1F21"/>
    <w:rsid w:val="000F2274"/>
    <w:rsid w:val="000F2292"/>
    <w:rsid w:val="000F2B8F"/>
    <w:rsid w:val="000F4076"/>
    <w:rsid w:val="000F42B4"/>
    <w:rsid w:val="000F42F0"/>
    <w:rsid w:val="000F50E9"/>
    <w:rsid w:val="000F5497"/>
    <w:rsid w:val="000F6568"/>
    <w:rsid w:val="000F7C98"/>
    <w:rsid w:val="001014B3"/>
    <w:rsid w:val="00101A05"/>
    <w:rsid w:val="00102A1A"/>
    <w:rsid w:val="00105537"/>
    <w:rsid w:val="00106667"/>
    <w:rsid w:val="001069A1"/>
    <w:rsid w:val="00110067"/>
    <w:rsid w:val="00110982"/>
    <w:rsid w:val="00111017"/>
    <w:rsid w:val="00111473"/>
    <w:rsid w:val="0011167E"/>
    <w:rsid w:val="0011235A"/>
    <w:rsid w:val="00112B39"/>
    <w:rsid w:val="00113068"/>
    <w:rsid w:val="00113B23"/>
    <w:rsid w:val="00114687"/>
    <w:rsid w:val="00116637"/>
    <w:rsid w:val="00116B5A"/>
    <w:rsid w:val="001171A8"/>
    <w:rsid w:val="00117233"/>
    <w:rsid w:val="001204F1"/>
    <w:rsid w:val="0012081F"/>
    <w:rsid w:val="001217C4"/>
    <w:rsid w:val="001236E8"/>
    <w:rsid w:val="00123853"/>
    <w:rsid w:val="001238EB"/>
    <w:rsid w:val="001241FA"/>
    <w:rsid w:val="00126AD2"/>
    <w:rsid w:val="001276A2"/>
    <w:rsid w:val="00133711"/>
    <w:rsid w:val="00134B69"/>
    <w:rsid w:val="001360B3"/>
    <w:rsid w:val="0013619A"/>
    <w:rsid w:val="00136794"/>
    <w:rsid w:val="00140E72"/>
    <w:rsid w:val="00141818"/>
    <w:rsid w:val="001431D5"/>
    <w:rsid w:val="00145EAA"/>
    <w:rsid w:val="00145F69"/>
    <w:rsid w:val="0014764C"/>
    <w:rsid w:val="00150F10"/>
    <w:rsid w:val="00151DF0"/>
    <w:rsid w:val="00152917"/>
    <w:rsid w:val="00153B4E"/>
    <w:rsid w:val="00154151"/>
    <w:rsid w:val="00154FCA"/>
    <w:rsid w:val="00155AB1"/>
    <w:rsid w:val="00155E8D"/>
    <w:rsid w:val="00156677"/>
    <w:rsid w:val="0015675A"/>
    <w:rsid w:val="0015690A"/>
    <w:rsid w:val="001571B1"/>
    <w:rsid w:val="00160B64"/>
    <w:rsid w:val="00161073"/>
    <w:rsid w:val="00162525"/>
    <w:rsid w:val="00162C8B"/>
    <w:rsid w:val="00163497"/>
    <w:rsid w:val="00167844"/>
    <w:rsid w:val="00167C65"/>
    <w:rsid w:val="00171849"/>
    <w:rsid w:val="00173390"/>
    <w:rsid w:val="0017674B"/>
    <w:rsid w:val="0017733A"/>
    <w:rsid w:val="00180986"/>
    <w:rsid w:val="001824EA"/>
    <w:rsid w:val="001845E3"/>
    <w:rsid w:val="00185F8A"/>
    <w:rsid w:val="001875D0"/>
    <w:rsid w:val="00187A2A"/>
    <w:rsid w:val="00191A8F"/>
    <w:rsid w:val="00192487"/>
    <w:rsid w:val="001929FA"/>
    <w:rsid w:val="00192A32"/>
    <w:rsid w:val="001933C9"/>
    <w:rsid w:val="001942D8"/>
    <w:rsid w:val="00196F92"/>
    <w:rsid w:val="001A0F03"/>
    <w:rsid w:val="001A19C4"/>
    <w:rsid w:val="001A2C12"/>
    <w:rsid w:val="001A54A6"/>
    <w:rsid w:val="001A7410"/>
    <w:rsid w:val="001A7572"/>
    <w:rsid w:val="001A771F"/>
    <w:rsid w:val="001A7ACC"/>
    <w:rsid w:val="001B04BC"/>
    <w:rsid w:val="001B1F2F"/>
    <w:rsid w:val="001B2BED"/>
    <w:rsid w:val="001B3752"/>
    <w:rsid w:val="001B3B36"/>
    <w:rsid w:val="001B3FA7"/>
    <w:rsid w:val="001B582E"/>
    <w:rsid w:val="001B75DE"/>
    <w:rsid w:val="001C46C1"/>
    <w:rsid w:val="001C4C96"/>
    <w:rsid w:val="001C66DD"/>
    <w:rsid w:val="001C66E9"/>
    <w:rsid w:val="001C7669"/>
    <w:rsid w:val="001C785F"/>
    <w:rsid w:val="001C7D5C"/>
    <w:rsid w:val="001D11D5"/>
    <w:rsid w:val="001D1B25"/>
    <w:rsid w:val="001D1B62"/>
    <w:rsid w:val="001D23DD"/>
    <w:rsid w:val="001D288F"/>
    <w:rsid w:val="001D6F0B"/>
    <w:rsid w:val="001E08C6"/>
    <w:rsid w:val="001E1165"/>
    <w:rsid w:val="001E13D1"/>
    <w:rsid w:val="001E1446"/>
    <w:rsid w:val="001E15C3"/>
    <w:rsid w:val="001E16D3"/>
    <w:rsid w:val="001E26CB"/>
    <w:rsid w:val="001E2CB7"/>
    <w:rsid w:val="001E371C"/>
    <w:rsid w:val="001E47F0"/>
    <w:rsid w:val="001E78A0"/>
    <w:rsid w:val="001F00BB"/>
    <w:rsid w:val="001F110E"/>
    <w:rsid w:val="001F1DA8"/>
    <w:rsid w:val="001F1F60"/>
    <w:rsid w:val="001F2DB1"/>
    <w:rsid w:val="001F3881"/>
    <w:rsid w:val="001F40DF"/>
    <w:rsid w:val="001F416F"/>
    <w:rsid w:val="001F449B"/>
    <w:rsid w:val="001F45EF"/>
    <w:rsid w:val="001F4D59"/>
    <w:rsid w:val="001F5869"/>
    <w:rsid w:val="001F6952"/>
    <w:rsid w:val="001F6BE0"/>
    <w:rsid w:val="001F7623"/>
    <w:rsid w:val="00201154"/>
    <w:rsid w:val="0020126A"/>
    <w:rsid w:val="002037E7"/>
    <w:rsid w:val="00204FD3"/>
    <w:rsid w:val="00205961"/>
    <w:rsid w:val="002071B7"/>
    <w:rsid w:val="00207704"/>
    <w:rsid w:val="00210AEA"/>
    <w:rsid w:val="00212C08"/>
    <w:rsid w:val="00213B19"/>
    <w:rsid w:val="00214B7B"/>
    <w:rsid w:val="00214D50"/>
    <w:rsid w:val="00215F2C"/>
    <w:rsid w:val="002161EC"/>
    <w:rsid w:val="002162B5"/>
    <w:rsid w:val="002171FE"/>
    <w:rsid w:val="0021769C"/>
    <w:rsid w:val="0022433A"/>
    <w:rsid w:val="00224ABD"/>
    <w:rsid w:val="00224FF6"/>
    <w:rsid w:val="00225AAC"/>
    <w:rsid w:val="00225B36"/>
    <w:rsid w:val="00225FCB"/>
    <w:rsid w:val="00226617"/>
    <w:rsid w:val="002267ED"/>
    <w:rsid w:val="00226B56"/>
    <w:rsid w:val="002271F0"/>
    <w:rsid w:val="00231CE5"/>
    <w:rsid w:val="0023287B"/>
    <w:rsid w:val="00233974"/>
    <w:rsid w:val="00233F11"/>
    <w:rsid w:val="00235FA4"/>
    <w:rsid w:val="0024024B"/>
    <w:rsid w:val="00240BB0"/>
    <w:rsid w:val="0024548B"/>
    <w:rsid w:val="002464D3"/>
    <w:rsid w:val="002478D3"/>
    <w:rsid w:val="0025102B"/>
    <w:rsid w:val="0025153C"/>
    <w:rsid w:val="00252E99"/>
    <w:rsid w:val="002538FA"/>
    <w:rsid w:val="00254506"/>
    <w:rsid w:val="00254871"/>
    <w:rsid w:val="00254C8D"/>
    <w:rsid w:val="0025614C"/>
    <w:rsid w:val="002608EC"/>
    <w:rsid w:val="00260A87"/>
    <w:rsid w:val="00262564"/>
    <w:rsid w:val="0026345A"/>
    <w:rsid w:val="00263BF6"/>
    <w:rsid w:val="00267731"/>
    <w:rsid w:val="00267D62"/>
    <w:rsid w:val="00270B3C"/>
    <w:rsid w:val="00272C73"/>
    <w:rsid w:val="00274D55"/>
    <w:rsid w:val="00275589"/>
    <w:rsid w:val="002758F1"/>
    <w:rsid w:val="0027592D"/>
    <w:rsid w:val="002761C4"/>
    <w:rsid w:val="00276A40"/>
    <w:rsid w:val="00280FBF"/>
    <w:rsid w:val="0028108C"/>
    <w:rsid w:val="00281BEC"/>
    <w:rsid w:val="002820E0"/>
    <w:rsid w:val="00282381"/>
    <w:rsid w:val="002828E6"/>
    <w:rsid w:val="00282F62"/>
    <w:rsid w:val="00283134"/>
    <w:rsid w:val="002845A6"/>
    <w:rsid w:val="00284DC9"/>
    <w:rsid w:val="002852EB"/>
    <w:rsid w:val="002857B0"/>
    <w:rsid w:val="00286950"/>
    <w:rsid w:val="00286CF8"/>
    <w:rsid w:val="002875A2"/>
    <w:rsid w:val="002908E8"/>
    <w:rsid w:val="002910FA"/>
    <w:rsid w:val="002914E8"/>
    <w:rsid w:val="00292544"/>
    <w:rsid w:val="00292692"/>
    <w:rsid w:val="00293479"/>
    <w:rsid w:val="00294442"/>
    <w:rsid w:val="0029581F"/>
    <w:rsid w:val="00297534"/>
    <w:rsid w:val="002A170E"/>
    <w:rsid w:val="002A1C85"/>
    <w:rsid w:val="002A1D23"/>
    <w:rsid w:val="002A2493"/>
    <w:rsid w:val="002A5641"/>
    <w:rsid w:val="002B048A"/>
    <w:rsid w:val="002B0B2F"/>
    <w:rsid w:val="002B3160"/>
    <w:rsid w:val="002B427E"/>
    <w:rsid w:val="002B4C74"/>
    <w:rsid w:val="002B4FD4"/>
    <w:rsid w:val="002B6141"/>
    <w:rsid w:val="002C0499"/>
    <w:rsid w:val="002C18FF"/>
    <w:rsid w:val="002C1B1D"/>
    <w:rsid w:val="002C250F"/>
    <w:rsid w:val="002C2CB5"/>
    <w:rsid w:val="002C4444"/>
    <w:rsid w:val="002D1234"/>
    <w:rsid w:val="002D2227"/>
    <w:rsid w:val="002D2A6E"/>
    <w:rsid w:val="002D6DA8"/>
    <w:rsid w:val="002E1761"/>
    <w:rsid w:val="002E223B"/>
    <w:rsid w:val="002E3261"/>
    <w:rsid w:val="002E37A2"/>
    <w:rsid w:val="002E58A6"/>
    <w:rsid w:val="002E60B3"/>
    <w:rsid w:val="002E60E7"/>
    <w:rsid w:val="002E69B4"/>
    <w:rsid w:val="002E732E"/>
    <w:rsid w:val="002F1096"/>
    <w:rsid w:val="002F20D8"/>
    <w:rsid w:val="002F4EE8"/>
    <w:rsid w:val="002F5DC6"/>
    <w:rsid w:val="002F5EE3"/>
    <w:rsid w:val="00300105"/>
    <w:rsid w:val="00300CFF"/>
    <w:rsid w:val="00303F95"/>
    <w:rsid w:val="00306A27"/>
    <w:rsid w:val="00306C23"/>
    <w:rsid w:val="00307198"/>
    <w:rsid w:val="003071F4"/>
    <w:rsid w:val="003072D7"/>
    <w:rsid w:val="003075E8"/>
    <w:rsid w:val="003078E1"/>
    <w:rsid w:val="00310E3B"/>
    <w:rsid w:val="00311DBB"/>
    <w:rsid w:val="00311DBE"/>
    <w:rsid w:val="00311ED9"/>
    <w:rsid w:val="00313B24"/>
    <w:rsid w:val="00313B6C"/>
    <w:rsid w:val="003149B7"/>
    <w:rsid w:val="0031599A"/>
    <w:rsid w:val="00316DEC"/>
    <w:rsid w:val="00317B83"/>
    <w:rsid w:val="00320D77"/>
    <w:rsid w:val="003214BF"/>
    <w:rsid w:val="0032233A"/>
    <w:rsid w:val="003224A9"/>
    <w:rsid w:val="00322F58"/>
    <w:rsid w:val="00325E33"/>
    <w:rsid w:val="00327A7C"/>
    <w:rsid w:val="0033054F"/>
    <w:rsid w:val="00330C96"/>
    <w:rsid w:val="00332C0C"/>
    <w:rsid w:val="00333038"/>
    <w:rsid w:val="003330ED"/>
    <w:rsid w:val="0033310C"/>
    <w:rsid w:val="0033332F"/>
    <w:rsid w:val="0033458C"/>
    <w:rsid w:val="0034047F"/>
    <w:rsid w:val="00340DF2"/>
    <w:rsid w:val="003422F2"/>
    <w:rsid w:val="0034278F"/>
    <w:rsid w:val="00343CBB"/>
    <w:rsid w:val="00344922"/>
    <w:rsid w:val="00344C0B"/>
    <w:rsid w:val="00345649"/>
    <w:rsid w:val="0034716D"/>
    <w:rsid w:val="00347F3A"/>
    <w:rsid w:val="00350269"/>
    <w:rsid w:val="0035146B"/>
    <w:rsid w:val="0035252D"/>
    <w:rsid w:val="00353C1F"/>
    <w:rsid w:val="00353E33"/>
    <w:rsid w:val="003548FB"/>
    <w:rsid w:val="0035730E"/>
    <w:rsid w:val="0036034E"/>
    <w:rsid w:val="00360894"/>
    <w:rsid w:val="00361187"/>
    <w:rsid w:val="003612C0"/>
    <w:rsid w:val="00361E37"/>
    <w:rsid w:val="003626E4"/>
    <w:rsid w:val="00362F05"/>
    <w:rsid w:val="00363BF2"/>
    <w:rsid w:val="00364A80"/>
    <w:rsid w:val="00366A79"/>
    <w:rsid w:val="00366C19"/>
    <w:rsid w:val="00367FF2"/>
    <w:rsid w:val="003724D2"/>
    <w:rsid w:val="00372D8D"/>
    <w:rsid w:val="0037416A"/>
    <w:rsid w:val="00375817"/>
    <w:rsid w:val="003808BA"/>
    <w:rsid w:val="0038105F"/>
    <w:rsid w:val="0038377B"/>
    <w:rsid w:val="00384F8F"/>
    <w:rsid w:val="0038550A"/>
    <w:rsid w:val="00385B8A"/>
    <w:rsid w:val="00385BCD"/>
    <w:rsid w:val="003875DD"/>
    <w:rsid w:val="00387EBB"/>
    <w:rsid w:val="003912C2"/>
    <w:rsid w:val="00392C11"/>
    <w:rsid w:val="00392E60"/>
    <w:rsid w:val="00394D11"/>
    <w:rsid w:val="00395336"/>
    <w:rsid w:val="00396599"/>
    <w:rsid w:val="0039716D"/>
    <w:rsid w:val="00397F83"/>
    <w:rsid w:val="003A105E"/>
    <w:rsid w:val="003A18A3"/>
    <w:rsid w:val="003A2C08"/>
    <w:rsid w:val="003A45E0"/>
    <w:rsid w:val="003A5441"/>
    <w:rsid w:val="003A6E84"/>
    <w:rsid w:val="003A7132"/>
    <w:rsid w:val="003A7177"/>
    <w:rsid w:val="003B056B"/>
    <w:rsid w:val="003B0617"/>
    <w:rsid w:val="003B3AEC"/>
    <w:rsid w:val="003B6051"/>
    <w:rsid w:val="003B624E"/>
    <w:rsid w:val="003B64AD"/>
    <w:rsid w:val="003B75EE"/>
    <w:rsid w:val="003C0071"/>
    <w:rsid w:val="003C05B5"/>
    <w:rsid w:val="003C0625"/>
    <w:rsid w:val="003C116D"/>
    <w:rsid w:val="003C1427"/>
    <w:rsid w:val="003C3230"/>
    <w:rsid w:val="003C3714"/>
    <w:rsid w:val="003C48E6"/>
    <w:rsid w:val="003C4E4D"/>
    <w:rsid w:val="003C4FA3"/>
    <w:rsid w:val="003C5D75"/>
    <w:rsid w:val="003C7D01"/>
    <w:rsid w:val="003C7FF4"/>
    <w:rsid w:val="003D0695"/>
    <w:rsid w:val="003D19D8"/>
    <w:rsid w:val="003D2709"/>
    <w:rsid w:val="003D32CB"/>
    <w:rsid w:val="003D5436"/>
    <w:rsid w:val="003D72CE"/>
    <w:rsid w:val="003E0A05"/>
    <w:rsid w:val="003E4419"/>
    <w:rsid w:val="003E4761"/>
    <w:rsid w:val="003E4B3D"/>
    <w:rsid w:val="003E4DF0"/>
    <w:rsid w:val="003E78A5"/>
    <w:rsid w:val="003F0CA9"/>
    <w:rsid w:val="003F0F88"/>
    <w:rsid w:val="003F2DB9"/>
    <w:rsid w:val="003F3D94"/>
    <w:rsid w:val="003F43C6"/>
    <w:rsid w:val="003F4F7A"/>
    <w:rsid w:val="003F5472"/>
    <w:rsid w:val="003F6787"/>
    <w:rsid w:val="00402DB0"/>
    <w:rsid w:val="0040338B"/>
    <w:rsid w:val="004034D2"/>
    <w:rsid w:val="004061A2"/>
    <w:rsid w:val="0041082C"/>
    <w:rsid w:val="00410D60"/>
    <w:rsid w:val="00412E0E"/>
    <w:rsid w:val="0041329B"/>
    <w:rsid w:val="004159BE"/>
    <w:rsid w:val="00416993"/>
    <w:rsid w:val="00420A4B"/>
    <w:rsid w:val="00423953"/>
    <w:rsid w:val="004250F6"/>
    <w:rsid w:val="00426377"/>
    <w:rsid w:val="00426863"/>
    <w:rsid w:val="004272AC"/>
    <w:rsid w:val="00427C26"/>
    <w:rsid w:val="00435F6B"/>
    <w:rsid w:val="00436070"/>
    <w:rsid w:val="00436C46"/>
    <w:rsid w:val="004378A9"/>
    <w:rsid w:val="00437B51"/>
    <w:rsid w:val="00437F56"/>
    <w:rsid w:val="004408FD"/>
    <w:rsid w:val="00441C44"/>
    <w:rsid w:val="004427AB"/>
    <w:rsid w:val="00443BF0"/>
    <w:rsid w:val="0044490E"/>
    <w:rsid w:val="00445567"/>
    <w:rsid w:val="0044636F"/>
    <w:rsid w:val="004463CD"/>
    <w:rsid w:val="00446CB4"/>
    <w:rsid w:val="0045133E"/>
    <w:rsid w:val="0045168A"/>
    <w:rsid w:val="0045199C"/>
    <w:rsid w:val="00451F1C"/>
    <w:rsid w:val="004528E7"/>
    <w:rsid w:val="00453BAA"/>
    <w:rsid w:val="00454325"/>
    <w:rsid w:val="004543DA"/>
    <w:rsid w:val="00454D99"/>
    <w:rsid w:val="0045633F"/>
    <w:rsid w:val="004566CA"/>
    <w:rsid w:val="0045746F"/>
    <w:rsid w:val="00457DC0"/>
    <w:rsid w:val="00457E04"/>
    <w:rsid w:val="00460115"/>
    <w:rsid w:val="004614D3"/>
    <w:rsid w:val="004634DC"/>
    <w:rsid w:val="004638A3"/>
    <w:rsid w:val="0046420F"/>
    <w:rsid w:val="004672A2"/>
    <w:rsid w:val="00467733"/>
    <w:rsid w:val="00467E88"/>
    <w:rsid w:val="00470D3C"/>
    <w:rsid w:val="004713EE"/>
    <w:rsid w:val="00472BC1"/>
    <w:rsid w:val="0047341B"/>
    <w:rsid w:val="0047484A"/>
    <w:rsid w:val="00476155"/>
    <w:rsid w:val="004769B9"/>
    <w:rsid w:val="00477AB6"/>
    <w:rsid w:val="00480893"/>
    <w:rsid w:val="00481B69"/>
    <w:rsid w:val="004827A8"/>
    <w:rsid w:val="004834E9"/>
    <w:rsid w:val="0048460A"/>
    <w:rsid w:val="00484875"/>
    <w:rsid w:val="004851C5"/>
    <w:rsid w:val="004852A1"/>
    <w:rsid w:val="00485C5C"/>
    <w:rsid w:val="00486804"/>
    <w:rsid w:val="00487395"/>
    <w:rsid w:val="00490000"/>
    <w:rsid w:val="0049036D"/>
    <w:rsid w:val="00490E18"/>
    <w:rsid w:val="00491ADA"/>
    <w:rsid w:val="00493D2E"/>
    <w:rsid w:val="004944C1"/>
    <w:rsid w:val="00497D47"/>
    <w:rsid w:val="00497D57"/>
    <w:rsid w:val="00497E6E"/>
    <w:rsid w:val="00497F38"/>
    <w:rsid w:val="004A010C"/>
    <w:rsid w:val="004A01A5"/>
    <w:rsid w:val="004A1678"/>
    <w:rsid w:val="004A192A"/>
    <w:rsid w:val="004A4853"/>
    <w:rsid w:val="004A5309"/>
    <w:rsid w:val="004A60A7"/>
    <w:rsid w:val="004A68FD"/>
    <w:rsid w:val="004A78A9"/>
    <w:rsid w:val="004B01BF"/>
    <w:rsid w:val="004B0F45"/>
    <w:rsid w:val="004B22F6"/>
    <w:rsid w:val="004B2C50"/>
    <w:rsid w:val="004B3324"/>
    <w:rsid w:val="004B3843"/>
    <w:rsid w:val="004B67D7"/>
    <w:rsid w:val="004B6AB3"/>
    <w:rsid w:val="004B6F5F"/>
    <w:rsid w:val="004B6FCE"/>
    <w:rsid w:val="004C0D78"/>
    <w:rsid w:val="004C11E7"/>
    <w:rsid w:val="004C21E6"/>
    <w:rsid w:val="004C25EB"/>
    <w:rsid w:val="004C288A"/>
    <w:rsid w:val="004C296C"/>
    <w:rsid w:val="004C4B7F"/>
    <w:rsid w:val="004C4C7C"/>
    <w:rsid w:val="004C69F3"/>
    <w:rsid w:val="004C73B4"/>
    <w:rsid w:val="004D09DD"/>
    <w:rsid w:val="004D0C67"/>
    <w:rsid w:val="004D171F"/>
    <w:rsid w:val="004D2F63"/>
    <w:rsid w:val="004D3FF1"/>
    <w:rsid w:val="004D4E84"/>
    <w:rsid w:val="004D5361"/>
    <w:rsid w:val="004D5C15"/>
    <w:rsid w:val="004D5C5B"/>
    <w:rsid w:val="004D67E6"/>
    <w:rsid w:val="004E0257"/>
    <w:rsid w:val="004E1069"/>
    <w:rsid w:val="004E37FE"/>
    <w:rsid w:val="004E392E"/>
    <w:rsid w:val="004E3DB0"/>
    <w:rsid w:val="004E4A36"/>
    <w:rsid w:val="004E687D"/>
    <w:rsid w:val="004E6E05"/>
    <w:rsid w:val="004E7156"/>
    <w:rsid w:val="004E7281"/>
    <w:rsid w:val="004F0078"/>
    <w:rsid w:val="004F0367"/>
    <w:rsid w:val="004F1812"/>
    <w:rsid w:val="004F24FF"/>
    <w:rsid w:val="004F2AD0"/>
    <w:rsid w:val="004F374E"/>
    <w:rsid w:val="004F3D45"/>
    <w:rsid w:val="004F4065"/>
    <w:rsid w:val="004F4999"/>
    <w:rsid w:val="004F532A"/>
    <w:rsid w:val="0050077F"/>
    <w:rsid w:val="005008DF"/>
    <w:rsid w:val="0050185D"/>
    <w:rsid w:val="00503ED9"/>
    <w:rsid w:val="005058AA"/>
    <w:rsid w:val="0050778F"/>
    <w:rsid w:val="00510FB3"/>
    <w:rsid w:val="00511306"/>
    <w:rsid w:val="0051159D"/>
    <w:rsid w:val="0051365C"/>
    <w:rsid w:val="00516AC7"/>
    <w:rsid w:val="005204BC"/>
    <w:rsid w:val="00520EBC"/>
    <w:rsid w:val="0052166F"/>
    <w:rsid w:val="00521FD9"/>
    <w:rsid w:val="00522210"/>
    <w:rsid w:val="0052315B"/>
    <w:rsid w:val="00523242"/>
    <w:rsid w:val="005232F8"/>
    <w:rsid w:val="005233DD"/>
    <w:rsid w:val="00524AE6"/>
    <w:rsid w:val="00525003"/>
    <w:rsid w:val="00527712"/>
    <w:rsid w:val="00527874"/>
    <w:rsid w:val="005300E3"/>
    <w:rsid w:val="00530573"/>
    <w:rsid w:val="00530882"/>
    <w:rsid w:val="00532537"/>
    <w:rsid w:val="00533128"/>
    <w:rsid w:val="005336EF"/>
    <w:rsid w:val="00533EC1"/>
    <w:rsid w:val="0053631E"/>
    <w:rsid w:val="00537000"/>
    <w:rsid w:val="00541BC1"/>
    <w:rsid w:val="0054262D"/>
    <w:rsid w:val="005429B2"/>
    <w:rsid w:val="00544E0F"/>
    <w:rsid w:val="005465BC"/>
    <w:rsid w:val="00547101"/>
    <w:rsid w:val="005514E4"/>
    <w:rsid w:val="00551641"/>
    <w:rsid w:val="0055200C"/>
    <w:rsid w:val="00552785"/>
    <w:rsid w:val="00552B38"/>
    <w:rsid w:val="00552F90"/>
    <w:rsid w:val="0055339F"/>
    <w:rsid w:val="00554380"/>
    <w:rsid w:val="00557A88"/>
    <w:rsid w:val="00557F2F"/>
    <w:rsid w:val="005603C9"/>
    <w:rsid w:val="00562192"/>
    <w:rsid w:val="00563EAD"/>
    <w:rsid w:val="0056603D"/>
    <w:rsid w:val="005666E5"/>
    <w:rsid w:val="0056760A"/>
    <w:rsid w:val="005704CD"/>
    <w:rsid w:val="005721A8"/>
    <w:rsid w:val="00572AB4"/>
    <w:rsid w:val="0057412F"/>
    <w:rsid w:val="005742BD"/>
    <w:rsid w:val="00574CC6"/>
    <w:rsid w:val="00575A60"/>
    <w:rsid w:val="00580758"/>
    <w:rsid w:val="005816FF"/>
    <w:rsid w:val="00581932"/>
    <w:rsid w:val="00581BCE"/>
    <w:rsid w:val="0058233C"/>
    <w:rsid w:val="00583661"/>
    <w:rsid w:val="00583D12"/>
    <w:rsid w:val="005879B8"/>
    <w:rsid w:val="00587AAB"/>
    <w:rsid w:val="00587DBA"/>
    <w:rsid w:val="00591199"/>
    <w:rsid w:val="00591623"/>
    <w:rsid w:val="00596C06"/>
    <w:rsid w:val="00597A8E"/>
    <w:rsid w:val="005A0C1F"/>
    <w:rsid w:val="005A17EA"/>
    <w:rsid w:val="005A1CEF"/>
    <w:rsid w:val="005A2078"/>
    <w:rsid w:val="005A2D0C"/>
    <w:rsid w:val="005A31A3"/>
    <w:rsid w:val="005A496E"/>
    <w:rsid w:val="005A4A9D"/>
    <w:rsid w:val="005A50D7"/>
    <w:rsid w:val="005A5854"/>
    <w:rsid w:val="005A63FD"/>
    <w:rsid w:val="005A66FC"/>
    <w:rsid w:val="005B1544"/>
    <w:rsid w:val="005B1966"/>
    <w:rsid w:val="005B19F5"/>
    <w:rsid w:val="005B2D52"/>
    <w:rsid w:val="005B312D"/>
    <w:rsid w:val="005B3E24"/>
    <w:rsid w:val="005B4737"/>
    <w:rsid w:val="005B5A27"/>
    <w:rsid w:val="005B6257"/>
    <w:rsid w:val="005C07FD"/>
    <w:rsid w:val="005C13DF"/>
    <w:rsid w:val="005C1783"/>
    <w:rsid w:val="005C1D1C"/>
    <w:rsid w:val="005C2D5A"/>
    <w:rsid w:val="005C3C3A"/>
    <w:rsid w:val="005C4291"/>
    <w:rsid w:val="005C48D9"/>
    <w:rsid w:val="005C5206"/>
    <w:rsid w:val="005C64D4"/>
    <w:rsid w:val="005C685B"/>
    <w:rsid w:val="005C7BDB"/>
    <w:rsid w:val="005D052F"/>
    <w:rsid w:val="005D0A71"/>
    <w:rsid w:val="005D1306"/>
    <w:rsid w:val="005D2217"/>
    <w:rsid w:val="005D307E"/>
    <w:rsid w:val="005D4861"/>
    <w:rsid w:val="005D593A"/>
    <w:rsid w:val="005D6C74"/>
    <w:rsid w:val="005D72C3"/>
    <w:rsid w:val="005E0530"/>
    <w:rsid w:val="005E084C"/>
    <w:rsid w:val="005E0C89"/>
    <w:rsid w:val="005E0D77"/>
    <w:rsid w:val="005E2615"/>
    <w:rsid w:val="005E3090"/>
    <w:rsid w:val="005E7CBA"/>
    <w:rsid w:val="005F04F3"/>
    <w:rsid w:val="005F0AC6"/>
    <w:rsid w:val="005F1008"/>
    <w:rsid w:val="005F23B4"/>
    <w:rsid w:val="005F4197"/>
    <w:rsid w:val="005F46F8"/>
    <w:rsid w:val="005F568D"/>
    <w:rsid w:val="005F5DC8"/>
    <w:rsid w:val="005F6773"/>
    <w:rsid w:val="006003A4"/>
    <w:rsid w:val="006006A0"/>
    <w:rsid w:val="00600A25"/>
    <w:rsid w:val="0060250E"/>
    <w:rsid w:val="006031FD"/>
    <w:rsid w:val="00605BCE"/>
    <w:rsid w:val="00606A68"/>
    <w:rsid w:val="00607DBD"/>
    <w:rsid w:val="00610D31"/>
    <w:rsid w:val="00612B39"/>
    <w:rsid w:val="00612BEA"/>
    <w:rsid w:val="006137A1"/>
    <w:rsid w:val="0061423F"/>
    <w:rsid w:val="006149F8"/>
    <w:rsid w:val="00614E00"/>
    <w:rsid w:val="00615252"/>
    <w:rsid w:val="00615FC3"/>
    <w:rsid w:val="006162D0"/>
    <w:rsid w:val="006214F2"/>
    <w:rsid w:val="00621DA0"/>
    <w:rsid w:val="00623501"/>
    <w:rsid w:val="00624697"/>
    <w:rsid w:val="0062583B"/>
    <w:rsid w:val="00625868"/>
    <w:rsid w:val="00626215"/>
    <w:rsid w:val="006267B1"/>
    <w:rsid w:val="00627035"/>
    <w:rsid w:val="00627110"/>
    <w:rsid w:val="00627FA5"/>
    <w:rsid w:val="00630FCF"/>
    <w:rsid w:val="00632244"/>
    <w:rsid w:val="00632F7C"/>
    <w:rsid w:val="0063439F"/>
    <w:rsid w:val="00634C5F"/>
    <w:rsid w:val="00634FDF"/>
    <w:rsid w:val="00640FAF"/>
    <w:rsid w:val="006411FC"/>
    <w:rsid w:val="00641C8A"/>
    <w:rsid w:val="006422D2"/>
    <w:rsid w:val="00642FC4"/>
    <w:rsid w:val="00644F96"/>
    <w:rsid w:val="006452A1"/>
    <w:rsid w:val="00645382"/>
    <w:rsid w:val="006463D6"/>
    <w:rsid w:val="00647161"/>
    <w:rsid w:val="00650CD2"/>
    <w:rsid w:val="006517F4"/>
    <w:rsid w:val="00651C5E"/>
    <w:rsid w:val="00653420"/>
    <w:rsid w:val="0065461F"/>
    <w:rsid w:val="006559B9"/>
    <w:rsid w:val="00656EE7"/>
    <w:rsid w:val="0066022C"/>
    <w:rsid w:val="00661D1F"/>
    <w:rsid w:val="00662D26"/>
    <w:rsid w:val="00662E82"/>
    <w:rsid w:val="00666422"/>
    <w:rsid w:val="0066682E"/>
    <w:rsid w:val="00666C98"/>
    <w:rsid w:val="0066712A"/>
    <w:rsid w:val="00671F24"/>
    <w:rsid w:val="0067275E"/>
    <w:rsid w:val="00672E27"/>
    <w:rsid w:val="00672F38"/>
    <w:rsid w:val="00673309"/>
    <w:rsid w:val="00673E80"/>
    <w:rsid w:val="00673F11"/>
    <w:rsid w:val="00674132"/>
    <w:rsid w:val="00674CED"/>
    <w:rsid w:val="00675619"/>
    <w:rsid w:val="00677714"/>
    <w:rsid w:val="00681A77"/>
    <w:rsid w:val="00682085"/>
    <w:rsid w:val="00682AD3"/>
    <w:rsid w:val="00682DA5"/>
    <w:rsid w:val="0068370D"/>
    <w:rsid w:val="00684881"/>
    <w:rsid w:val="00685206"/>
    <w:rsid w:val="006852FD"/>
    <w:rsid w:val="006868E2"/>
    <w:rsid w:val="00690083"/>
    <w:rsid w:val="00690EDF"/>
    <w:rsid w:val="0069136F"/>
    <w:rsid w:val="006914C7"/>
    <w:rsid w:val="0069188A"/>
    <w:rsid w:val="0069211B"/>
    <w:rsid w:val="006933D9"/>
    <w:rsid w:val="006941B5"/>
    <w:rsid w:val="00694505"/>
    <w:rsid w:val="00695C19"/>
    <w:rsid w:val="00696390"/>
    <w:rsid w:val="00697444"/>
    <w:rsid w:val="00697C66"/>
    <w:rsid w:val="006A05F0"/>
    <w:rsid w:val="006A194E"/>
    <w:rsid w:val="006A3061"/>
    <w:rsid w:val="006A3E3C"/>
    <w:rsid w:val="006A622E"/>
    <w:rsid w:val="006A67EC"/>
    <w:rsid w:val="006B0478"/>
    <w:rsid w:val="006B061F"/>
    <w:rsid w:val="006B24B8"/>
    <w:rsid w:val="006B3089"/>
    <w:rsid w:val="006B4710"/>
    <w:rsid w:val="006B5589"/>
    <w:rsid w:val="006B6682"/>
    <w:rsid w:val="006B6F51"/>
    <w:rsid w:val="006C003A"/>
    <w:rsid w:val="006C2158"/>
    <w:rsid w:val="006C2AC9"/>
    <w:rsid w:val="006C3749"/>
    <w:rsid w:val="006C3DC8"/>
    <w:rsid w:val="006C402F"/>
    <w:rsid w:val="006C4A82"/>
    <w:rsid w:val="006C611E"/>
    <w:rsid w:val="006C67F5"/>
    <w:rsid w:val="006D01CE"/>
    <w:rsid w:val="006D0E23"/>
    <w:rsid w:val="006D1904"/>
    <w:rsid w:val="006D325C"/>
    <w:rsid w:val="006D6732"/>
    <w:rsid w:val="006E08C1"/>
    <w:rsid w:val="006E259D"/>
    <w:rsid w:val="006E275F"/>
    <w:rsid w:val="006E34B6"/>
    <w:rsid w:val="006E3F29"/>
    <w:rsid w:val="006E4FA3"/>
    <w:rsid w:val="006E5A47"/>
    <w:rsid w:val="006E7C1B"/>
    <w:rsid w:val="006F012E"/>
    <w:rsid w:val="006F30FC"/>
    <w:rsid w:val="006F36AF"/>
    <w:rsid w:val="006F3C7F"/>
    <w:rsid w:val="006F3F3A"/>
    <w:rsid w:val="006F4073"/>
    <w:rsid w:val="006F4974"/>
    <w:rsid w:val="006F6DB0"/>
    <w:rsid w:val="006F7AFC"/>
    <w:rsid w:val="00700A7D"/>
    <w:rsid w:val="00701BE0"/>
    <w:rsid w:val="00702D9E"/>
    <w:rsid w:val="0070413C"/>
    <w:rsid w:val="00704E21"/>
    <w:rsid w:val="00705031"/>
    <w:rsid w:val="00707539"/>
    <w:rsid w:val="00707733"/>
    <w:rsid w:val="00712F2C"/>
    <w:rsid w:val="00714C3E"/>
    <w:rsid w:val="007175D2"/>
    <w:rsid w:val="007179E6"/>
    <w:rsid w:val="00724336"/>
    <w:rsid w:val="00724C35"/>
    <w:rsid w:val="00724CE0"/>
    <w:rsid w:val="007259E0"/>
    <w:rsid w:val="00726E93"/>
    <w:rsid w:val="0072760C"/>
    <w:rsid w:val="00727993"/>
    <w:rsid w:val="007301D2"/>
    <w:rsid w:val="00730C13"/>
    <w:rsid w:val="00730DC1"/>
    <w:rsid w:val="007311F4"/>
    <w:rsid w:val="007312C9"/>
    <w:rsid w:val="0073162A"/>
    <w:rsid w:val="00731CE0"/>
    <w:rsid w:val="00732005"/>
    <w:rsid w:val="00732297"/>
    <w:rsid w:val="00736652"/>
    <w:rsid w:val="0073679F"/>
    <w:rsid w:val="00736BB3"/>
    <w:rsid w:val="00736EF8"/>
    <w:rsid w:val="007403FA"/>
    <w:rsid w:val="00740E1D"/>
    <w:rsid w:val="00743CD4"/>
    <w:rsid w:val="00744153"/>
    <w:rsid w:val="007449C9"/>
    <w:rsid w:val="00745418"/>
    <w:rsid w:val="00745D5A"/>
    <w:rsid w:val="00746195"/>
    <w:rsid w:val="007474F0"/>
    <w:rsid w:val="00747AB6"/>
    <w:rsid w:val="0075018D"/>
    <w:rsid w:val="00750AEB"/>
    <w:rsid w:val="00750EB7"/>
    <w:rsid w:val="00750FB9"/>
    <w:rsid w:val="00751031"/>
    <w:rsid w:val="007518B3"/>
    <w:rsid w:val="00751BF7"/>
    <w:rsid w:val="00751FA7"/>
    <w:rsid w:val="00752156"/>
    <w:rsid w:val="007534B0"/>
    <w:rsid w:val="0075439F"/>
    <w:rsid w:val="00755878"/>
    <w:rsid w:val="00755D4E"/>
    <w:rsid w:val="007565E2"/>
    <w:rsid w:val="00756ADE"/>
    <w:rsid w:val="00760661"/>
    <w:rsid w:val="00760954"/>
    <w:rsid w:val="00760E52"/>
    <w:rsid w:val="00760EC0"/>
    <w:rsid w:val="007610CA"/>
    <w:rsid w:val="007635E2"/>
    <w:rsid w:val="007651CE"/>
    <w:rsid w:val="007652CD"/>
    <w:rsid w:val="00766841"/>
    <w:rsid w:val="00767893"/>
    <w:rsid w:val="00767966"/>
    <w:rsid w:val="00770F5B"/>
    <w:rsid w:val="007715FC"/>
    <w:rsid w:val="00771788"/>
    <w:rsid w:val="00772EEA"/>
    <w:rsid w:val="00773073"/>
    <w:rsid w:val="007730A1"/>
    <w:rsid w:val="00773424"/>
    <w:rsid w:val="00773B8C"/>
    <w:rsid w:val="007754D8"/>
    <w:rsid w:val="007827A6"/>
    <w:rsid w:val="00783079"/>
    <w:rsid w:val="007833A8"/>
    <w:rsid w:val="00783A48"/>
    <w:rsid w:val="007842D3"/>
    <w:rsid w:val="00785AC2"/>
    <w:rsid w:val="007861B4"/>
    <w:rsid w:val="00790F95"/>
    <w:rsid w:val="00792248"/>
    <w:rsid w:val="0079255C"/>
    <w:rsid w:val="007926C3"/>
    <w:rsid w:val="00793B53"/>
    <w:rsid w:val="00793D1C"/>
    <w:rsid w:val="00793F78"/>
    <w:rsid w:val="00794711"/>
    <w:rsid w:val="007973D4"/>
    <w:rsid w:val="00797C17"/>
    <w:rsid w:val="00797EDB"/>
    <w:rsid w:val="00797F53"/>
    <w:rsid w:val="007A3D9E"/>
    <w:rsid w:val="007A4404"/>
    <w:rsid w:val="007A57D5"/>
    <w:rsid w:val="007A6CCA"/>
    <w:rsid w:val="007A6DA4"/>
    <w:rsid w:val="007B191A"/>
    <w:rsid w:val="007B26D4"/>
    <w:rsid w:val="007B2844"/>
    <w:rsid w:val="007B3628"/>
    <w:rsid w:val="007B52EB"/>
    <w:rsid w:val="007B59EA"/>
    <w:rsid w:val="007B6269"/>
    <w:rsid w:val="007B76B3"/>
    <w:rsid w:val="007B7975"/>
    <w:rsid w:val="007B7F82"/>
    <w:rsid w:val="007C0071"/>
    <w:rsid w:val="007C0F1A"/>
    <w:rsid w:val="007C65B2"/>
    <w:rsid w:val="007C68B8"/>
    <w:rsid w:val="007C79DD"/>
    <w:rsid w:val="007C7BED"/>
    <w:rsid w:val="007C7F00"/>
    <w:rsid w:val="007D11DC"/>
    <w:rsid w:val="007D2640"/>
    <w:rsid w:val="007D2B49"/>
    <w:rsid w:val="007D31F8"/>
    <w:rsid w:val="007D3DEB"/>
    <w:rsid w:val="007D3FB9"/>
    <w:rsid w:val="007D6645"/>
    <w:rsid w:val="007E0F7C"/>
    <w:rsid w:val="007E197F"/>
    <w:rsid w:val="007E2743"/>
    <w:rsid w:val="007E3DE7"/>
    <w:rsid w:val="007E3F26"/>
    <w:rsid w:val="007E42EC"/>
    <w:rsid w:val="007E4F85"/>
    <w:rsid w:val="007E628E"/>
    <w:rsid w:val="007E6962"/>
    <w:rsid w:val="007E7355"/>
    <w:rsid w:val="007E79B0"/>
    <w:rsid w:val="007E79F4"/>
    <w:rsid w:val="007F06D5"/>
    <w:rsid w:val="007F1799"/>
    <w:rsid w:val="007F2101"/>
    <w:rsid w:val="007F2E9B"/>
    <w:rsid w:val="007F4500"/>
    <w:rsid w:val="007F45BC"/>
    <w:rsid w:val="007F49A7"/>
    <w:rsid w:val="007F4CE3"/>
    <w:rsid w:val="007F61FF"/>
    <w:rsid w:val="00802683"/>
    <w:rsid w:val="008029F7"/>
    <w:rsid w:val="008036C1"/>
    <w:rsid w:val="0080427C"/>
    <w:rsid w:val="008060CC"/>
    <w:rsid w:val="00806575"/>
    <w:rsid w:val="0081118F"/>
    <w:rsid w:val="00812F10"/>
    <w:rsid w:val="00813857"/>
    <w:rsid w:val="00813BF9"/>
    <w:rsid w:val="00813E88"/>
    <w:rsid w:val="00815706"/>
    <w:rsid w:val="008158CD"/>
    <w:rsid w:val="00815C30"/>
    <w:rsid w:val="00816F83"/>
    <w:rsid w:val="0082004E"/>
    <w:rsid w:val="00820EFF"/>
    <w:rsid w:val="008214BA"/>
    <w:rsid w:val="00821B6A"/>
    <w:rsid w:val="008238E5"/>
    <w:rsid w:val="00824C0A"/>
    <w:rsid w:val="00824CA3"/>
    <w:rsid w:val="00824E87"/>
    <w:rsid w:val="00830AD3"/>
    <w:rsid w:val="00832EF4"/>
    <w:rsid w:val="00833BA5"/>
    <w:rsid w:val="00835CD1"/>
    <w:rsid w:val="00836DF7"/>
    <w:rsid w:val="00836E24"/>
    <w:rsid w:val="00840B41"/>
    <w:rsid w:val="00842E95"/>
    <w:rsid w:val="0084572A"/>
    <w:rsid w:val="00845E65"/>
    <w:rsid w:val="008462FE"/>
    <w:rsid w:val="00846D91"/>
    <w:rsid w:val="008478F7"/>
    <w:rsid w:val="00847FAE"/>
    <w:rsid w:val="00850D54"/>
    <w:rsid w:val="00852096"/>
    <w:rsid w:val="00852683"/>
    <w:rsid w:val="00852B08"/>
    <w:rsid w:val="00853D0C"/>
    <w:rsid w:val="008541A0"/>
    <w:rsid w:val="0085470E"/>
    <w:rsid w:val="008551CB"/>
    <w:rsid w:val="0085615A"/>
    <w:rsid w:val="008562E1"/>
    <w:rsid w:val="008568F4"/>
    <w:rsid w:val="0085724F"/>
    <w:rsid w:val="00860509"/>
    <w:rsid w:val="0086642E"/>
    <w:rsid w:val="00866895"/>
    <w:rsid w:val="0086778F"/>
    <w:rsid w:val="00867D93"/>
    <w:rsid w:val="00870AB7"/>
    <w:rsid w:val="008712B1"/>
    <w:rsid w:val="00872C8E"/>
    <w:rsid w:val="00873A15"/>
    <w:rsid w:val="008755FC"/>
    <w:rsid w:val="00875F10"/>
    <w:rsid w:val="00876BF3"/>
    <w:rsid w:val="00880D83"/>
    <w:rsid w:val="00881E6D"/>
    <w:rsid w:val="008823F3"/>
    <w:rsid w:val="00883126"/>
    <w:rsid w:val="00884441"/>
    <w:rsid w:val="00886251"/>
    <w:rsid w:val="00886C46"/>
    <w:rsid w:val="00887144"/>
    <w:rsid w:val="008871DC"/>
    <w:rsid w:val="00887278"/>
    <w:rsid w:val="008874EB"/>
    <w:rsid w:val="00891521"/>
    <w:rsid w:val="008920F2"/>
    <w:rsid w:val="00893D4C"/>
    <w:rsid w:val="008945B8"/>
    <w:rsid w:val="00895FDE"/>
    <w:rsid w:val="008978AF"/>
    <w:rsid w:val="008A1FF5"/>
    <w:rsid w:val="008A2495"/>
    <w:rsid w:val="008A37A8"/>
    <w:rsid w:val="008A4DD4"/>
    <w:rsid w:val="008A694A"/>
    <w:rsid w:val="008B5181"/>
    <w:rsid w:val="008B6AA5"/>
    <w:rsid w:val="008B6BDB"/>
    <w:rsid w:val="008B7C38"/>
    <w:rsid w:val="008C0534"/>
    <w:rsid w:val="008C29E7"/>
    <w:rsid w:val="008C4C05"/>
    <w:rsid w:val="008C4C3E"/>
    <w:rsid w:val="008C748A"/>
    <w:rsid w:val="008D05EF"/>
    <w:rsid w:val="008D0680"/>
    <w:rsid w:val="008D1764"/>
    <w:rsid w:val="008D1E87"/>
    <w:rsid w:val="008D205A"/>
    <w:rsid w:val="008D4A11"/>
    <w:rsid w:val="008D56F8"/>
    <w:rsid w:val="008D596D"/>
    <w:rsid w:val="008D7F1B"/>
    <w:rsid w:val="008E23EA"/>
    <w:rsid w:val="008E24A6"/>
    <w:rsid w:val="008E2F85"/>
    <w:rsid w:val="008E4AF7"/>
    <w:rsid w:val="008E4DEE"/>
    <w:rsid w:val="008E4EFF"/>
    <w:rsid w:val="008E4FFD"/>
    <w:rsid w:val="008E51A1"/>
    <w:rsid w:val="008E6703"/>
    <w:rsid w:val="008E7269"/>
    <w:rsid w:val="008F18CC"/>
    <w:rsid w:val="008F1EA0"/>
    <w:rsid w:val="008F4FD8"/>
    <w:rsid w:val="008F5435"/>
    <w:rsid w:val="008F5FB0"/>
    <w:rsid w:val="008F631B"/>
    <w:rsid w:val="008F72A6"/>
    <w:rsid w:val="009013EF"/>
    <w:rsid w:val="00902E1F"/>
    <w:rsid w:val="009037DA"/>
    <w:rsid w:val="00903883"/>
    <w:rsid w:val="00904E11"/>
    <w:rsid w:val="00905E3E"/>
    <w:rsid w:val="00905F49"/>
    <w:rsid w:val="009074E8"/>
    <w:rsid w:val="009100B2"/>
    <w:rsid w:val="00912D96"/>
    <w:rsid w:val="00914466"/>
    <w:rsid w:val="009156F4"/>
    <w:rsid w:val="00916B94"/>
    <w:rsid w:val="00916C9B"/>
    <w:rsid w:val="009173D4"/>
    <w:rsid w:val="00917674"/>
    <w:rsid w:val="00917859"/>
    <w:rsid w:val="0092105D"/>
    <w:rsid w:val="00921A7F"/>
    <w:rsid w:val="00923F19"/>
    <w:rsid w:val="009256E4"/>
    <w:rsid w:val="00927D39"/>
    <w:rsid w:val="00931894"/>
    <w:rsid w:val="00931A73"/>
    <w:rsid w:val="00933394"/>
    <w:rsid w:val="009333BB"/>
    <w:rsid w:val="00935EA8"/>
    <w:rsid w:val="0093740B"/>
    <w:rsid w:val="00937425"/>
    <w:rsid w:val="00937FCC"/>
    <w:rsid w:val="00941B22"/>
    <w:rsid w:val="00942155"/>
    <w:rsid w:val="00942591"/>
    <w:rsid w:val="009433D5"/>
    <w:rsid w:val="0094498B"/>
    <w:rsid w:val="00944B52"/>
    <w:rsid w:val="00950721"/>
    <w:rsid w:val="009510DB"/>
    <w:rsid w:val="00954428"/>
    <w:rsid w:val="009549FF"/>
    <w:rsid w:val="00954BC8"/>
    <w:rsid w:val="0095580E"/>
    <w:rsid w:val="00956263"/>
    <w:rsid w:val="00957EC9"/>
    <w:rsid w:val="00960EE3"/>
    <w:rsid w:val="009615E6"/>
    <w:rsid w:val="0096420A"/>
    <w:rsid w:val="009644FD"/>
    <w:rsid w:val="00964586"/>
    <w:rsid w:val="009652FB"/>
    <w:rsid w:val="00972590"/>
    <w:rsid w:val="0097370E"/>
    <w:rsid w:val="009741D8"/>
    <w:rsid w:val="0097496B"/>
    <w:rsid w:val="00974A18"/>
    <w:rsid w:val="00974D74"/>
    <w:rsid w:val="00980296"/>
    <w:rsid w:val="009814DF"/>
    <w:rsid w:val="00982A9C"/>
    <w:rsid w:val="00982C91"/>
    <w:rsid w:val="00983CA8"/>
    <w:rsid w:val="00984C29"/>
    <w:rsid w:val="009851F3"/>
    <w:rsid w:val="00985A5A"/>
    <w:rsid w:val="00985DFB"/>
    <w:rsid w:val="00986447"/>
    <w:rsid w:val="00987259"/>
    <w:rsid w:val="009875C1"/>
    <w:rsid w:val="00987EC3"/>
    <w:rsid w:val="00990515"/>
    <w:rsid w:val="00990BF4"/>
    <w:rsid w:val="00991050"/>
    <w:rsid w:val="009918A8"/>
    <w:rsid w:val="00991FA8"/>
    <w:rsid w:val="00992CD2"/>
    <w:rsid w:val="0099602E"/>
    <w:rsid w:val="009973E1"/>
    <w:rsid w:val="00997E75"/>
    <w:rsid w:val="009A06EC"/>
    <w:rsid w:val="009A1311"/>
    <w:rsid w:val="009A2968"/>
    <w:rsid w:val="009A2A0A"/>
    <w:rsid w:val="009A40F9"/>
    <w:rsid w:val="009A6084"/>
    <w:rsid w:val="009A6297"/>
    <w:rsid w:val="009A67BB"/>
    <w:rsid w:val="009A744B"/>
    <w:rsid w:val="009A7D13"/>
    <w:rsid w:val="009B0992"/>
    <w:rsid w:val="009B0FDF"/>
    <w:rsid w:val="009B1207"/>
    <w:rsid w:val="009B189C"/>
    <w:rsid w:val="009B1C80"/>
    <w:rsid w:val="009B2554"/>
    <w:rsid w:val="009B28C1"/>
    <w:rsid w:val="009B3BDE"/>
    <w:rsid w:val="009B42D1"/>
    <w:rsid w:val="009B4F81"/>
    <w:rsid w:val="009B5A5A"/>
    <w:rsid w:val="009B692D"/>
    <w:rsid w:val="009B69A3"/>
    <w:rsid w:val="009B73E7"/>
    <w:rsid w:val="009B7770"/>
    <w:rsid w:val="009B7FAE"/>
    <w:rsid w:val="009C126D"/>
    <w:rsid w:val="009C1759"/>
    <w:rsid w:val="009C1BA8"/>
    <w:rsid w:val="009C2461"/>
    <w:rsid w:val="009C2D2D"/>
    <w:rsid w:val="009C3528"/>
    <w:rsid w:val="009C46E1"/>
    <w:rsid w:val="009C532C"/>
    <w:rsid w:val="009C5BFF"/>
    <w:rsid w:val="009C609C"/>
    <w:rsid w:val="009C683F"/>
    <w:rsid w:val="009D0BE6"/>
    <w:rsid w:val="009D0CCE"/>
    <w:rsid w:val="009D1937"/>
    <w:rsid w:val="009D2342"/>
    <w:rsid w:val="009D35EC"/>
    <w:rsid w:val="009D4102"/>
    <w:rsid w:val="009D42AE"/>
    <w:rsid w:val="009D5211"/>
    <w:rsid w:val="009D553F"/>
    <w:rsid w:val="009E0620"/>
    <w:rsid w:val="009E0E95"/>
    <w:rsid w:val="009E1BF2"/>
    <w:rsid w:val="009E3B34"/>
    <w:rsid w:val="009E3DD9"/>
    <w:rsid w:val="009E4590"/>
    <w:rsid w:val="009E4EC4"/>
    <w:rsid w:val="009E6123"/>
    <w:rsid w:val="009E7D90"/>
    <w:rsid w:val="009E7F0D"/>
    <w:rsid w:val="009E7F4C"/>
    <w:rsid w:val="009F0DEB"/>
    <w:rsid w:val="009F16DD"/>
    <w:rsid w:val="009F332B"/>
    <w:rsid w:val="009F6E47"/>
    <w:rsid w:val="009F705C"/>
    <w:rsid w:val="00A00AEA"/>
    <w:rsid w:val="00A00D95"/>
    <w:rsid w:val="00A01206"/>
    <w:rsid w:val="00A01CDE"/>
    <w:rsid w:val="00A02747"/>
    <w:rsid w:val="00A0281F"/>
    <w:rsid w:val="00A03A63"/>
    <w:rsid w:val="00A03CBE"/>
    <w:rsid w:val="00A0487C"/>
    <w:rsid w:val="00A05097"/>
    <w:rsid w:val="00A05590"/>
    <w:rsid w:val="00A05CA7"/>
    <w:rsid w:val="00A106ED"/>
    <w:rsid w:val="00A10FD8"/>
    <w:rsid w:val="00A128D8"/>
    <w:rsid w:val="00A13ABD"/>
    <w:rsid w:val="00A162E0"/>
    <w:rsid w:val="00A20A78"/>
    <w:rsid w:val="00A21797"/>
    <w:rsid w:val="00A2195A"/>
    <w:rsid w:val="00A220A2"/>
    <w:rsid w:val="00A2213C"/>
    <w:rsid w:val="00A22977"/>
    <w:rsid w:val="00A22C85"/>
    <w:rsid w:val="00A2635D"/>
    <w:rsid w:val="00A31DBB"/>
    <w:rsid w:val="00A31F72"/>
    <w:rsid w:val="00A32452"/>
    <w:rsid w:val="00A327BC"/>
    <w:rsid w:val="00A32AF0"/>
    <w:rsid w:val="00A334E3"/>
    <w:rsid w:val="00A35634"/>
    <w:rsid w:val="00A3582E"/>
    <w:rsid w:val="00A36A13"/>
    <w:rsid w:val="00A36B43"/>
    <w:rsid w:val="00A36E62"/>
    <w:rsid w:val="00A40266"/>
    <w:rsid w:val="00A40734"/>
    <w:rsid w:val="00A407C1"/>
    <w:rsid w:val="00A411AC"/>
    <w:rsid w:val="00A42DAF"/>
    <w:rsid w:val="00A42ED1"/>
    <w:rsid w:val="00A43028"/>
    <w:rsid w:val="00A43564"/>
    <w:rsid w:val="00A4579D"/>
    <w:rsid w:val="00A467B5"/>
    <w:rsid w:val="00A47583"/>
    <w:rsid w:val="00A478B4"/>
    <w:rsid w:val="00A47E86"/>
    <w:rsid w:val="00A510FE"/>
    <w:rsid w:val="00A525E9"/>
    <w:rsid w:val="00A53515"/>
    <w:rsid w:val="00A54297"/>
    <w:rsid w:val="00A54BBD"/>
    <w:rsid w:val="00A55702"/>
    <w:rsid w:val="00A55FD7"/>
    <w:rsid w:val="00A5608A"/>
    <w:rsid w:val="00A60748"/>
    <w:rsid w:val="00A614B8"/>
    <w:rsid w:val="00A61B75"/>
    <w:rsid w:val="00A62526"/>
    <w:rsid w:val="00A62712"/>
    <w:rsid w:val="00A63652"/>
    <w:rsid w:val="00A64135"/>
    <w:rsid w:val="00A66E9D"/>
    <w:rsid w:val="00A7094C"/>
    <w:rsid w:val="00A744EB"/>
    <w:rsid w:val="00A74BE5"/>
    <w:rsid w:val="00A75A89"/>
    <w:rsid w:val="00A75B09"/>
    <w:rsid w:val="00A8097E"/>
    <w:rsid w:val="00A8655B"/>
    <w:rsid w:val="00A86F4E"/>
    <w:rsid w:val="00A926DA"/>
    <w:rsid w:val="00A95DD4"/>
    <w:rsid w:val="00A96259"/>
    <w:rsid w:val="00A965DF"/>
    <w:rsid w:val="00A96A06"/>
    <w:rsid w:val="00AA0504"/>
    <w:rsid w:val="00AA088E"/>
    <w:rsid w:val="00AA12A0"/>
    <w:rsid w:val="00AA1E37"/>
    <w:rsid w:val="00AA4763"/>
    <w:rsid w:val="00AA61C7"/>
    <w:rsid w:val="00AA6699"/>
    <w:rsid w:val="00AA6707"/>
    <w:rsid w:val="00AA73E8"/>
    <w:rsid w:val="00AA7EBD"/>
    <w:rsid w:val="00AB14B4"/>
    <w:rsid w:val="00AB16DA"/>
    <w:rsid w:val="00AB47B9"/>
    <w:rsid w:val="00AB5159"/>
    <w:rsid w:val="00AB5756"/>
    <w:rsid w:val="00AB7B21"/>
    <w:rsid w:val="00AC10EB"/>
    <w:rsid w:val="00AC1B04"/>
    <w:rsid w:val="00AC2FFD"/>
    <w:rsid w:val="00AC3DDF"/>
    <w:rsid w:val="00AC4B8E"/>
    <w:rsid w:val="00AC4ED4"/>
    <w:rsid w:val="00AC6F40"/>
    <w:rsid w:val="00AC77F8"/>
    <w:rsid w:val="00AC7A44"/>
    <w:rsid w:val="00AD0401"/>
    <w:rsid w:val="00AD04BC"/>
    <w:rsid w:val="00AD0E83"/>
    <w:rsid w:val="00AD19BA"/>
    <w:rsid w:val="00AD1F74"/>
    <w:rsid w:val="00AD2BDD"/>
    <w:rsid w:val="00AD3BC9"/>
    <w:rsid w:val="00AD4B10"/>
    <w:rsid w:val="00AD62CE"/>
    <w:rsid w:val="00AD6C7B"/>
    <w:rsid w:val="00AD725B"/>
    <w:rsid w:val="00AD7778"/>
    <w:rsid w:val="00AD7BB0"/>
    <w:rsid w:val="00AD7D1B"/>
    <w:rsid w:val="00AE0D06"/>
    <w:rsid w:val="00AE0F01"/>
    <w:rsid w:val="00AE2BD6"/>
    <w:rsid w:val="00AE35C8"/>
    <w:rsid w:val="00AE42F3"/>
    <w:rsid w:val="00AE6B3F"/>
    <w:rsid w:val="00AF1D90"/>
    <w:rsid w:val="00AF2045"/>
    <w:rsid w:val="00AF32E0"/>
    <w:rsid w:val="00AF33FA"/>
    <w:rsid w:val="00AF3C63"/>
    <w:rsid w:val="00AF3D8F"/>
    <w:rsid w:val="00AF4A3E"/>
    <w:rsid w:val="00AF4B48"/>
    <w:rsid w:val="00AF54BE"/>
    <w:rsid w:val="00AF7077"/>
    <w:rsid w:val="00B00F5B"/>
    <w:rsid w:val="00B021D6"/>
    <w:rsid w:val="00B0231A"/>
    <w:rsid w:val="00B03388"/>
    <w:rsid w:val="00B076FF"/>
    <w:rsid w:val="00B142B9"/>
    <w:rsid w:val="00B16950"/>
    <w:rsid w:val="00B1706C"/>
    <w:rsid w:val="00B176B1"/>
    <w:rsid w:val="00B17E74"/>
    <w:rsid w:val="00B17F62"/>
    <w:rsid w:val="00B200AC"/>
    <w:rsid w:val="00B220A5"/>
    <w:rsid w:val="00B2219F"/>
    <w:rsid w:val="00B23C04"/>
    <w:rsid w:val="00B2553E"/>
    <w:rsid w:val="00B255E8"/>
    <w:rsid w:val="00B2606F"/>
    <w:rsid w:val="00B3115E"/>
    <w:rsid w:val="00B325A2"/>
    <w:rsid w:val="00B327FB"/>
    <w:rsid w:val="00B32B44"/>
    <w:rsid w:val="00B333D8"/>
    <w:rsid w:val="00B344CB"/>
    <w:rsid w:val="00B34B92"/>
    <w:rsid w:val="00B3661A"/>
    <w:rsid w:val="00B3709F"/>
    <w:rsid w:val="00B3737B"/>
    <w:rsid w:val="00B376C1"/>
    <w:rsid w:val="00B3788C"/>
    <w:rsid w:val="00B37E51"/>
    <w:rsid w:val="00B40833"/>
    <w:rsid w:val="00B409BB"/>
    <w:rsid w:val="00B40FEB"/>
    <w:rsid w:val="00B42726"/>
    <w:rsid w:val="00B430AE"/>
    <w:rsid w:val="00B43113"/>
    <w:rsid w:val="00B4347A"/>
    <w:rsid w:val="00B44606"/>
    <w:rsid w:val="00B44DB4"/>
    <w:rsid w:val="00B45BAC"/>
    <w:rsid w:val="00B472FE"/>
    <w:rsid w:val="00B47D2C"/>
    <w:rsid w:val="00B5455E"/>
    <w:rsid w:val="00B55608"/>
    <w:rsid w:val="00B55D80"/>
    <w:rsid w:val="00B5618A"/>
    <w:rsid w:val="00B562A8"/>
    <w:rsid w:val="00B56A4A"/>
    <w:rsid w:val="00B56F34"/>
    <w:rsid w:val="00B57786"/>
    <w:rsid w:val="00B579BE"/>
    <w:rsid w:val="00B610BA"/>
    <w:rsid w:val="00B61BDB"/>
    <w:rsid w:val="00B6281A"/>
    <w:rsid w:val="00B62E28"/>
    <w:rsid w:val="00B62EAE"/>
    <w:rsid w:val="00B63BD0"/>
    <w:rsid w:val="00B64973"/>
    <w:rsid w:val="00B663C7"/>
    <w:rsid w:val="00B66987"/>
    <w:rsid w:val="00B67094"/>
    <w:rsid w:val="00B70903"/>
    <w:rsid w:val="00B70DD7"/>
    <w:rsid w:val="00B727C5"/>
    <w:rsid w:val="00B729D5"/>
    <w:rsid w:val="00B737EF"/>
    <w:rsid w:val="00B75305"/>
    <w:rsid w:val="00B8019D"/>
    <w:rsid w:val="00B81149"/>
    <w:rsid w:val="00B82F7E"/>
    <w:rsid w:val="00B856BA"/>
    <w:rsid w:val="00B86401"/>
    <w:rsid w:val="00B9092B"/>
    <w:rsid w:val="00B910D5"/>
    <w:rsid w:val="00B91109"/>
    <w:rsid w:val="00B91BA7"/>
    <w:rsid w:val="00B92C04"/>
    <w:rsid w:val="00B92E20"/>
    <w:rsid w:val="00B96343"/>
    <w:rsid w:val="00B96F7E"/>
    <w:rsid w:val="00B97696"/>
    <w:rsid w:val="00BA11B5"/>
    <w:rsid w:val="00BA1E2D"/>
    <w:rsid w:val="00BA2C75"/>
    <w:rsid w:val="00BA4503"/>
    <w:rsid w:val="00BA6EE2"/>
    <w:rsid w:val="00BA7332"/>
    <w:rsid w:val="00BA7551"/>
    <w:rsid w:val="00BA7E91"/>
    <w:rsid w:val="00BB0B90"/>
    <w:rsid w:val="00BB0BE7"/>
    <w:rsid w:val="00BB1606"/>
    <w:rsid w:val="00BB19E2"/>
    <w:rsid w:val="00BB28A1"/>
    <w:rsid w:val="00BB3BCE"/>
    <w:rsid w:val="00BB46FE"/>
    <w:rsid w:val="00BB4B4C"/>
    <w:rsid w:val="00BB55FC"/>
    <w:rsid w:val="00BB7F54"/>
    <w:rsid w:val="00BC08FA"/>
    <w:rsid w:val="00BC0FDD"/>
    <w:rsid w:val="00BC10DF"/>
    <w:rsid w:val="00BC2173"/>
    <w:rsid w:val="00BC34FE"/>
    <w:rsid w:val="00BC58F5"/>
    <w:rsid w:val="00BC6F0C"/>
    <w:rsid w:val="00BC7418"/>
    <w:rsid w:val="00BD0637"/>
    <w:rsid w:val="00BD0AAF"/>
    <w:rsid w:val="00BD0B3C"/>
    <w:rsid w:val="00BD13D6"/>
    <w:rsid w:val="00BD17F6"/>
    <w:rsid w:val="00BD217F"/>
    <w:rsid w:val="00BD2A8D"/>
    <w:rsid w:val="00BD35EF"/>
    <w:rsid w:val="00BD3730"/>
    <w:rsid w:val="00BD3D33"/>
    <w:rsid w:val="00BD4317"/>
    <w:rsid w:val="00BD539F"/>
    <w:rsid w:val="00BD63F5"/>
    <w:rsid w:val="00BD6A70"/>
    <w:rsid w:val="00BD70AB"/>
    <w:rsid w:val="00BD741D"/>
    <w:rsid w:val="00BD77D6"/>
    <w:rsid w:val="00BD7C1C"/>
    <w:rsid w:val="00BE084D"/>
    <w:rsid w:val="00BE13A1"/>
    <w:rsid w:val="00BE151A"/>
    <w:rsid w:val="00BE181B"/>
    <w:rsid w:val="00BE2C7B"/>
    <w:rsid w:val="00BE4AED"/>
    <w:rsid w:val="00BF0E0F"/>
    <w:rsid w:val="00BF1299"/>
    <w:rsid w:val="00BF2F4D"/>
    <w:rsid w:val="00BF4688"/>
    <w:rsid w:val="00BF495C"/>
    <w:rsid w:val="00BF5104"/>
    <w:rsid w:val="00BF5459"/>
    <w:rsid w:val="00BF75FD"/>
    <w:rsid w:val="00C01377"/>
    <w:rsid w:val="00C01918"/>
    <w:rsid w:val="00C01CF2"/>
    <w:rsid w:val="00C020F0"/>
    <w:rsid w:val="00C024CC"/>
    <w:rsid w:val="00C02A79"/>
    <w:rsid w:val="00C03344"/>
    <w:rsid w:val="00C04D40"/>
    <w:rsid w:val="00C05C9A"/>
    <w:rsid w:val="00C05DBB"/>
    <w:rsid w:val="00C102DC"/>
    <w:rsid w:val="00C111C2"/>
    <w:rsid w:val="00C11EA4"/>
    <w:rsid w:val="00C1229C"/>
    <w:rsid w:val="00C13377"/>
    <w:rsid w:val="00C14694"/>
    <w:rsid w:val="00C14B39"/>
    <w:rsid w:val="00C14CC2"/>
    <w:rsid w:val="00C154A1"/>
    <w:rsid w:val="00C15AAB"/>
    <w:rsid w:val="00C2058C"/>
    <w:rsid w:val="00C20C9D"/>
    <w:rsid w:val="00C22796"/>
    <w:rsid w:val="00C23B3F"/>
    <w:rsid w:val="00C23D8E"/>
    <w:rsid w:val="00C24824"/>
    <w:rsid w:val="00C25515"/>
    <w:rsid w:val="00C274FB"/>
    <w:rsid w:val="00C2781E"/>
    <w:rsid w:val="00C27C51"/>
    <w:rsid w:val="00C3166A"/>
    <w:rsid w:val="00C329E0"/>
    <w:rsid w:val="00C32F2D"/>
    <w:rsid w:val="00C33E7F"/>
    <w:rsid w:val="00C34981"/>
    <w:rsid w:val="00C359BA"/>
    <w:rsid w:val="00C35CC7"/>
    <w:rsid w:val="00C41657"/>
    <w:rsid w:val="00C41684"/>
    <w:rsid w:val="00C41D2B"/>
    <w:rsid w:val="00C42111"/>
    <w:rsid w:val="00C42FF7"/>
    <w:rsid w:val="00C440CA"/>
    <w:rsid w:val="00C44C0A"/>
    <w:rsid w:val="00C44F77"/>
    <w:rsid w:val="00C451D4"/>
    <w:rsid w:val="00C45F71"/>
    <w:rsid w:val="00C5072D"/>
    <w:rsid w:val="00C50C58"/>
    <w:rsid w:val="00C50FC1"/>
    <w:rsid w:val="00C5218D"/>
    <w:rsid w:val="00C523EF"/>
    <w:rsid w:val="00C5240F"/>
    <w:rsid w:val="00C52EB2"/>
    <w:rsid w:val="00C5315F"/>
    <w:rsid w:val="00C56D84"/>
    <w:rsid w:val="00C577D3"/>
    <w:rsid w:val="00C57D0A"/>
    <w:rsid w:val="00C57E96"/>
    <w:rsid w:val="00C60D56"/>
    <w:rsid w:val="00C62599"/>
    <w:rsid w:val="00C6274B"/>
    <w:rsid w:val="00C62CDD"/>
    <w:rsid w:val="00C64D61"/>
    <w:rsid w:val="00C65D03"/>
    <w:rsid w:val="00C66731"/>
    <w:rsid w:val="00C706B8"/>
    <w:rsid w:val="00C70E0C"/>
    <w:rsid w:val="00C711E8"/>
    <w:rsid w:val="00C7142B"/>
    <w:rsid w:val="00C714D8"/>
    <w:rsid w:val="00C71840"/>
    <w:rsid w:val="00C720E3"/>
    <w:rsid w:val="00C72C21"/>
    <w:rsid w:val="00C72ED9"/>
    <w:rsid w:val="00C733D2"/>
    <w:rsid w:val="00C73F29"/>
    <w:rsid w:val="00C74A04"/>
    <w:rsid w:val="00C74B23"/>
    <w:rsid w:val="00C75A16"/>
    <w:rsid w:val="00C76007"/>
    <w:rsid w:val="00C770E5"/>
    <w:rsid w:val="00C77366"/>
    <w:rsid w:val="00C77F72"/>
    <w:rsid w:val="00C81083"/>
    <w:rsid w:val="00C8171A"/>
    <w:rsid w:val="00C81DFA"/>
    <w:rsid w:val="00C82572"/>
    <w:rsid w:val="00C840E1"/>
    <w:rsid w:val="00C851CB"/>
    <w:rsid w:val="00C85F13"/>
    <w:rsid w:val="00C86FFA"/>
    <w:rsid w:val="00C87DD7"/>
    <w:rsid w:val="00C9059B"/>
    <w:rsid w:val="00C90799"/>
    <w:rsid w:val="00C9107E"/>
    <w:rsid w:val="00C92634"/>
    <w:rsid w:val="00C92B4C"/>
    <w:rsid w:val="00C94DFE"/>
    <w:rsid w:val="00C950C7"/>
    <w:rsid w:val="00C95838"/>
    <w:rsid w:val="00C97F1E"/>
    <w:rsid w:val="00CA1048"/>
    <w:rsid w:val="00CA1ABF"/>
    <w:rsid w:val="00CA2084"/>
    <w:rsid w:val="00CA3614"/>
    <w:rsid w:val="00CA3E7D"/>
    <w:rsid w:val="00CA4E73"/>
    <w:rsid w:val="00CA4F5D"/>
    <w:rsid w:val="00CA7973"/>
    <w:rsid w:val="00CB0C70"/>
    <w:rsid w:val="00CB1226"/>
    <w:rsid w:val="00CB1E32"/>
    <w:rsid w:val="00CB2B52"/>
    <w:rsid w:val="00CB37F8"/>
    <w:rsid w:val="00CB41AD"/>
    <w:rsid w:val="00CB5ACE"/>
    <w:rsid w:val="00CB5AF2"/>
    <w:rsid w:val="00CB62E1"/>
    <w:rsid w:val="00CB6446"/>
    <w:rsid w:val="00CB70C2"/>
    <w:rsid w:val="00CC1AE6"/>
    <w:rsid w:val="00CC39DA"/>
    <w:rsid w:val="00CC3D34"/>
    <w:rsid w:val="00CC44B5"/>
    <w:rsid w:val="00CC4EF1"/>
    <w:rsid w:val="00CC5557"/>
    <w:rsid w:val="00CC6927"/>
    <w:rsid w:val="00CC6B5D"/>
    <w:rsid w:val="00CC6F9E"/>
    <w:rsid w:val="00CC7772"/>
    <w:rsid w:val="00CC7916"/>
    <w:rsid w:val="00CC7AE6"/>
    <w:rsid w:val="00CD0508"/>
    <w:rsid w:val="00CD0C3F"/>
    <w:rsid w:val="00CD0E8A"/>
    <w:rsid w:val="00CD2234"/>
    <w:rsid w:val="00CD2CD9"/>
    <w:rsid w:val="00CD329E"/>
    <w:rsid w:val="00CD49AB"/>
    <w:rsid w:val="00CD5892"/>
    <w:rsid w:val="00CD79F4"/>
    <w:rsid w:val="00CD7FD1"/>
    <w:rsid w:val="00CE09B2"/>
    <w:rsid w:val="00CE556E"/>
    <w:rsid w:val="00CE635F"/>
    <w:rsid w:val="00CE69E6"/>
    <w:rsid w:val="00CE72E1"/>
    <w:rsid w:val="00CE7C4E"/>
    <w:rsid w:val="00CF04C4"/>
    <w:rsid w:val="00CF0DCC"/>
    <w:rsid w:val="00CF2920"/>
    <w:rsid w:val="00CF32D8"/>
    <w:rsid w:val="00CF32E1"/>
    <w:rsid w:val="00CF38EA"/>
    <w:rsid w:val="00CF426E"/>
    <w:rsid w:val="00CF7D9F"/>
    <w:rsid w:val="00D00D62"/>
    <w:rsid w:val="00D026BB"/>
    <w:rsid w:val="00D05286"/>
    <w:rsid w:val="00D05B57"/>
    <w:rsid w:val="00D065BE"/>
    <w:rsid w:val="00D06665"/>
    <w:rsid w:val="00D06F13"/>
    <w:rsid w:val="00D10774"/>
    <w:rsid w:val="00D11517"/>
    <w:rsid w:val="00D12529"/>
    <w:rsid w:val="00D128EF"/>
    <w:rsid w:val="00D141F4"/>
    <w:rsid w:val="00D162AF"/>
    <w:rsid w:val="00D16974"/>
    <w:rsid w:val="00D2043C"/>
    <w:rsid w:val="00D21215"/>
    <w:rsid w:val="00D21C51"/>
    <w:rsid w:val="00D21DE0"/>
    <w:rsid w:val="00D21E1C"/>
    <w:rsid w:val="00D2264A"/>
    <w:rsid w:val="00D22B37"/>
    <w:rsid w:val="00D2346E"/>
    <w:rsid w:val="00D23630"/>
    <w:rsid w:val="00D27A38"/>
    <w:rsid w:val="00D27C30"/>
    <w:rsid w:val="00D30767"/>
    <w:rsid w:val="00D30D78"/>
    <w:rsid w:val="00D31229"/>
    <w:rsid w:val="00D318BD"/>
    <w:rsid w:val="00D3244D"/>
    <w:rsid w:val="00D32D7D"/>
    <w:rsid w:val="00D3359E"/>
    <w:rsid w:val="00D33A35"/>
    <w:rsid w:val="00D3485C"/>
    <w:rsid w:val="00D36525"/>
    <w:rsid w:val="00D36923"/>
    <w:rsid w:val="00D36CA2"/>
    <w:rsid w:val="00D36F97"/>
    <w:rsid w:val="00D37F94"/>
    <w:rsid w:val="00D402CB"/>
    <w:rsid w:val="00D40407"/>
    <w:rsid w:val="00D41464"/>
    <w:rsid w:val="00D427BA"/>
    <w:rsid w:val="00D4314B"/>
    <w:rsid w:val="00D457B1"/>
    <w:rsid w:val="00D479A2"/>
    <w:rsid w:val="00D50CBF"/>
    <w:rsid w:val="00D525FD"/>
    <w:rsid w:val="00D528A2"/>
    <w:rsid w:val="00D53CC3"/>
    <w:rsid w:val="00D542FD"/>
    <w:rsid w:val="00D54730"/>
    <w:rsid w:val="00D54FD3"/>
    <w:rsid w:val="00D55EA3"/>
    <w:rsid w:val="00D56314"/>
    <w:rsid w:val="00D607FD"/>
    <w:rsid w:val="00D63B5B"/>
    <w:rsid w:val="00D64596"/>
    <w:rsid w:val="00D662EB"/>
    <w:rsid w:val="00D66904"/>
    <w:rsid w:val="00D669D6"/>
    <w:rsid w:val="00D7003D"/>
    <w:rsid w:val="00D71D62"/>
    <w:rsid w:val="00D71E44"/>
    <w:rsid w:val="00D71EA6"/>
    <w:rsid w:val="00D721F8"/>
    <w:rsid w:val="00D74364"/>
    <w:rsid w:val="00D7443E"/>
    <w:rsid w:val="00D74DA5"/>
    <w:rsid w:val="00D7640E"/>
    <w:rsid w:val="00D764BB"/>
    <w:rsid w:val="00D77E44"/>
    <w:rsid w:val="00D83DA4"/>
    <w:rsid w:val="00D840F6"/>
    <w:rsid w:val="00D876A6"/>
    <w:rsid w:val="00D87740"/>
    <w:rsid w:val="00D87ED2"/>
    <w:rsid w:val="00D9014D"/>
    <w:rsid w:val="00D90A2B"/>
    <w:rsid w:val="00D90ECA"/>
    <w:rsid w:val="00D914EB"/>
    <w:rsid w:val="00D9236A"/>
    <w:rsid w:val="00D93870"/>
    <w:rsid w:val="00D941AE"/>
    <w:rsid w:val="00D95089"/>
    <w:rsid w:val="00D95E95"/>
    <w:rsid w:val="00D96D8B"/>
    <w:rsid w:val="00D9752E"/>
    <w:rsid w:val="00D97D23"/>
    <w:rsid w:val="00DA083F"/>
    <w:rsid w:val="00DA177E"/>
    <w:rsid w:val="00DA1B9F"/>
    <w:rsid w:val="00DA24DE"/>
    <w:rsid w:val="00DA2B3C"/>
    <w:rsid w:val="00DA3BF7"/>
    <w:rsid w:val="00DA3D17"/>
    <w:rsid w:val="00DA47CF"/>
    <w:rsid w:val="00DA5CB3"/>
    <w:rsid w:val="00DA5ECE"/>
    <w:rsid w:val="00DA65BA"/>
    <w:rsid w:val="00DA6B60"/>
    <w:rsid w:val="00DA78F0"/>
    <w:rsid w:val="00DA7A24"/>
    <w:rsid w:val="00DA7E84"/>
    <w:rsid w:val="00DB0822"/>
    <w:rsid w:val="00DB368E"/>
    <w:rsid w:val="00DB3728"/>
    <w:rsid w:val="00DB3D9B"/>
    <w:rsid w:val="00DB522D"/>
    <w:rsid w:val="00DB54F7"/>
    <w:rsid w:val="00DB5AF5"/>
    <w:rsid w:val="00DB7E86"/>
    <w:rsid w:val="00DC0946"/>
    <w:rsid w:val="00DC2AF6"/>
    <w:rsid w:val="00DC3401"/>
    <w:rsid w:val="00DC37AD"/>
    <w:rsid w:val="00DC3850"/>
    <w:rsid w:val="00DC5274"/>
    <w:rsid w:val="00DC6905"/>
    <w:rsid w:val="00DC6F48"/>
    <w:rsid w:val="00DD057F"/>
    <w:rsid w:val="00DD0FA6"/>
    <w:rsid w:val="00DD59FF"/>
    <w:rsid w:val="00DD69F6"/>
    <w:rsid w:val="00DD6ACB"/>
    <w:rsid w:val="00DD6C6A"/>
    <w:rsid w:val="00DD7BD9"/>
    <w:rsid w:val="00DE10AD"/>
    <w:rsid w:val="00DE123F"/>
    <w:rsid w:val="00DE1539"/>
    <w:rsid w:val="00DE182E"/>
    <w:rsid w:val="00DE24AA"/>
    <w:rsid w:val="00DE2708"/>
    <w:rsid w:val="00DE3923"/>
    <w:rsid w:val="00DE67D2"/>
    <w:rsid w:val="00DE69B4"/>
    <w:rsid w:val="00DF0E95"/>
    <w:rsid w:val="00DF12C8"/>
    <w:rsid w:val="00DF261E"/>
    <w:rsid w:val="00DF3B79"/>
    <w:rsid w:val="00DF49B6"/>
    <w:rsid w:val="00DF59A8"/>
    <w:rsid w:val="00DF74ED"/>
    <w:rsid w:val="00DF7A85"/>
    <w:rsid w:val="00E019D8"/>
    <w:rsid w:val="00E033B4"/>
    <w:rsid w:val="00E037F8"/>
    <w:rsid w:val="00E03B83"/>
    <w:rsid w:val="00E03D52"/>
    <w:rsid w:val="00E04E70"/>
    <w:rsid w:val="00E06A53"/>
    <w:rsid w:val="00E10D44"/>
    <w:rsid w:val="00E117E7"/>
    <w:rsid w:val="00E11882"/>
    <w:rsid w:val="00E11AD2"/>
    <w:rsid w:val="00E11EA1"/>
    <w:rsid w:val="00E12502"/>
    <w:rsid w:val="00E12710"/>
    <w:rsid w:val="00E131D9"/>
    <w:rsid w:val="00E137D9"/>
    <w:rsid w:val="00E139E2"/>
    <w:rsid w:val="00E1518A"/>
    <w:rsid w:val="00E162C9"/>
    <w:rsid w:val="00E172B4"/>
    <w:rsid w:val="00E205E1"/>
    <w:rsid w:val="00E20747"/>
    <w:rsid w:val="00E20F8A"/>
    <w:rsid w:val="00E216E1"/>
    <w:rsid w:val="00E22211"/>
    <w:rsid w:val="00E2343E"/>
    <w:rsid w:val="00E2661D"/>
    <w:rsid w:val="00E27EAA"/>
    <w:rsid w:val="00E27EC1"/>
    <w:rsid w:val="00E302FB"/>
    <w:rsid w:val="00E3376E"/>
    <w:rsid w:val="00E33C16"/>
    <w:rsid w:val="00E34645"/>
    <w:rsid w:val="00E4083F"/>
    <w:rsid w:val="00E409C0"/>
    <w:rsid w:val="00E41A4A"/>
    <w:rsid w:val="00E42460"/>
    <w:rsid w:val="00E4370A"/>
    <w:rsid w:val="00E44631"/>
    <w:rsid w:val="00E45D8A"/>
    <w:rsid w:val="00E45EE6"/>
    <w:rsid w:val="00E46066"/>
    <w:rsid w:val="00E50FF8"/>
    <w:rsid w:val="00E513B5"/>
    <w:rsid w:val="00E51D8E"/>
    <w:rsid w:val="00E52207"/>
    <w:rsid w:val="00E52F43"/>
    <w:rsid w:val="00E5311F"/>
    <w:rsid w:val="00E55098"/>
    <w:rsid w:val="00E56E89"/>
    <w:rsid w:val="00E57D5E"/>
    <w:rsid w:val="00E60078"/>
    <w:rsid w:val="00E606F2"/>
    <w:rsid w:val="00E6078B"/>
    <w:rsid w:val="00E60DCB"/>
    <w:rsid w:val="00E61807"/>
    <w:rsid w:val="00E62E09"/>
    <w:rsid w:val="00E62FD1"/>
    <w:rsid w:val="00E63786"/>
    <w:rsid w:val="00E63794"/>
    <w:rsid w:val="00E64FAE"/>
    <w:rsid w:val="00E661E4"/>
    <w:rsid w:val="00E67B81"/>
    <w:rsid w:val="00E67E07"/>
    <w:rsid w:val="00E7052E"/>
    <w:rsid w:val="00E706B9"/>
    <w:rsid w:val="00E70A55"/>
    <w:rsid w:val="00E7138F"/>
    <w:rsid w:val="00E72017"/>
    <w:rsid w:val="00E724D1"/>
    <w:rsid w:val="00E72B2D"/>
    <w:rsid w:val="00E73519"/>
    <w:rsid w:val="00E73A0D"/>
    <w:rsid w:val="00E741CF"/>
    <w:rsid w:val="00E7683A"/>
    <w:rsid w:val="00E8084B"/>
    <w:rsid w:val="00E80A98"/>
    <w:rsid w:val="00E814C2"/>
    <w:rsid w:val="00E8320D"/>
    <w:rsid w:val="00E83F76"/>
    <w:rsid w:val="00E851F4"/>
    <w:rsid w:val="00E85BB1"/>
    <w:rsid w:val="00E8691D"/>
    <w:rsid w:val="00E86F6C"/>
    <w:rsid w:val="00E904A8"/>
    <w:rsid w:val="00E90749"/>
    <w:rsid w:val="00E90EF7"/>
    <w:rsid w:val="00E92239"/>
    <w:rsid w:val="00E92368"/>
    <w:rsid w:val="00E9260D"/>
    <w:rsid w:val="00E94672"/>
    <w:rsid w:val="00E95A8D"/>
    <w:rsid w:val="00E9688D"/>
    <w:rsid w:val="00E9700F"/>
    <w:rsid w:val="00EA20EA"/>
    <w:rsid w:val="00EA2DD4"/>
    <w:rsid w:val="00EA44A3"/>
    <w:rsid w:val="00EA653C"/>
    <w:rsid w:val="00EA68B6"/>
    <w:rsid w:val="00EA7530"/>
    <w:rsid w:val="00EA762B"/>
    <w:rsid w:val="00EB02FB"/>
    <w:rsid w:val="00EB0D0E"/>
    <w:rsid w:val="00EB1642"/>
    <w:rsid w:val="00EB2243"/>
    <w:rsid w:val="00EB29C6"/>
    <w:rsid w:val="00EB2A62"/>
    <w:rsid w:val="00EB3206"/>
    <w:rsid w:val="00EB355C"/>
    <w:rsid w:val="00EB3B49"/>
    <w:rsid w:val="00EB3FB9"/>
    <w:rsid w:val="00EB4698"/>
    <w:rsid w:val="00EB4F24"/>
    <w:rsid w:val="00EB62E7"/>
    <w:rsid w:val="00EC33DA"/>
    <w:rsid w:val="00EC3F38"/>
    <w:rsid w:val="00EC4595"/>
    <w:rsid w:val="00EC4E7D"/>
    <w:rsid w:val="00EC66F6"/>
    <w:rsid w:val="00EC6B42"/>
    <w:rsid w:val="00EC706E"/>
    <w:rsid w:val="00ED124C"/>
    <w:rsid w:val="00ED1687"/>
    <w:rsid w:val="00ED532D"/>
    <w:rsid w:val="00ED541F"/>
    <w:rsid w:val="00ED55F0"/>
    <w:rsid w:val="00ED6B7C"/>
    <w:rsid w:val="00EE0763"/>
    <w:rsid w:val="00EE12FC"/>
    <w:rsid w:val="00EE1680"/>
    <w:rsid w:val="00EE3FE6"/>
    <w:rsid w:val="00EE408C"/>
    <w:rsid w:val="00EE463B"/>
    <w:rsid w:val="00EE674E"/>
    <w:rsid w:val="00EF0192"/>
    <w:rsid w:val="00EF1CE8"/>
    <w:rsid w:val="00EF3488"/>
    <w:rsid w:val="00EF4867"/>
    <w:rsid w:val="00EF5AA3"/>
    <w:rsid w:val="00EF5EB2"/>
    <w:rsid w:val="00EF6133"/>
    <w:rsid w:val="00EF79CA"/>
    <w:rsid w:val="00EF7A47"/>
    <w:rsid w:val="00F02890"/>
    <w:rsid w:val="00F02DFB"/>
    <w:rsid w:val="00F04D8C"/>
    <w:rsid w:val="00F05810"/>
    <w:rsid w:val="00F0642C"/>
    <w:rsid w:val="00F065CC"/>
    <w:rsid w:val="00F07BAA"/>
    <w:rsid w:val="00F10DC3"/>
    <w:rsid w:val="00F12096"/>
    <w:rsid w:val="00F13D0B"/>
    <w:rsid w:val="00F16DA3"/>
    <w:rsid w:val="00F20BB7"/>
    <w:rsid w:val="00F20D37"/>
    <w:rsid w:val="00F219B3"/>
    <w:rsid w:val="00F22DC3"/>
    <w:rsid w:val="00F232C4"/>
    <w:rsid w:val="00F243B2"/>
    <w:rsid w:val="00F24AF9"/>
    <w:rsid w:val="00F261E9"/>
    <w:rsid w:val="00F27C93"/>
    <w:rsid w:val="00F30A88"/>
    <w:rsid w:val="00F314B1"/>
    <w:rsid w:val="00F3174B"/>
    <w:rsid w:val="00F32009"/>
    <w:rsid w:val="00F3480F"/>
    <w:rsid w:val="00F35AC3"/>
    <w:rsid w:val="00F35BEB"/>
    <w:rsid w:val="00F37044"/>
    <w:rsid w:val="00F37F1F"/>
    <w:rsid w:val="00F43CD4"/>
    <w:rsid w:val="00F44061"/>
    <w:rsid w:val="00F45103"/>
    <w:rsid w:val="00F4744C"/>
    <w:rsid w:val="00F50E0C"/>
    <w:rsid w:val="00F52C6C"/>
    <w:rsid w:val="00F53340"/>
    <w:rsid w:val="00F53371"/>
    <w:rsid w:val="00F54697"/>
    <w:rsid w:val="00F54A9D"/>
    <w:rsid w:val="00F556D1"/>
    <w:rsid w:val="00F55E55"/>
    <w:rsid w:val="00F57E38"/>
    <w:rsid w:val="00F60D88"/>
    <w:rsid w:val="00F61D4B"/>
    <w:rsid w:val="00F62C8B"/>
    <w:rsid w:val="00F64C3B"/>
    <w:rsid w:val="00F65FA4"/>
    <w:rsid w:val="00F674A3"/>
    <w:rsid w:val="00F7024F"/>
    <w:rsid w:val="00F70386"/>
    <w:rsid w:val="00F70E6C"/>
    <w:rsid w:val="00F71C7B"/>
    <w:rsid w:val="00F726C1"/>
    <w:rsid w:val="00F72803"/>
    <w:rsid w:val="00F7294D"/>
    <w:rsid w:val="00F73C89"/>
    <w:rsid w:val="00F74BFE"/>
    <w:rsid w:val="00F76270"/>
    <w:rsid w:val="00F80453"/>
    <w:rsid w:val="00F80F0F"/>
    <w:rsid w:val="00F82057"/>
    <w:rsid w:val="00F8257D"/>
    <w:rsid w:val="00F82A9C"/>
    <w:rsid w:val="00F82C3A"/>
    <w:rsid w:val="00F839B4"/>
    <w:rsid w:val="00F84A47"/>
    <w:rsid w:val="00F84B75"/>
    <w:rsid w:val="00F85F2B"/>
    <w:rsid w:val="00F878FA"/>
    <w:rsid w:val="00F900FE"/>
    <w:rsid w:val="00F909BB"/>
    <w:rsid w:val="00F91739"/>
    <w:rsid w:val="00F91BC3"/>
    <w:rsid w:val="00F91FF2"/>
    <w:rsid w:val="00F922A8"/>
    <w:rsid w:val="00F92B42"/>
    <w:rsid w:val="00F9331A"/>
    <w:rsid w:val="00F9347F"/>
    <w:rsid w:val="00FA04AA"/>
    <w:rsid w:val="00FA0718"/>
    <w:rsid w:val="00FA0A54"/>
    <w:rsid w:val="00FA0DDA"/>
    <w:rsid w:val="00FA10B8"/>
    <w:rsid w:val="00FA1403"/>
    <w:rsid w:val="00FA1AD2"/>
    <w:rsid w:val="00FA1DE7"/>
    <w:rsid w:val="00FA2134"/>
    <w:rsid w:val="00FA2279"/>
    <w:rsid w:val="00FA2D13"/>
    <w:rsid w:val="00FA4012"/>
    <w:rsid w:val="00FA4301"/>
    <w:rsid w:val="00FA46C4"/>
    <w:rsid w:val="00FA4C8E"/>
    <w:rsid w:val="00FA4CDC"/>
    <w:rsid w:val="00FA53D7"/>
    <w:rsid w:val="00FA5AC2"/>
    <w:rsid w:val="00FA6763"/>
    <w:rsid w:val="00FA6C12"/>
    <w:rsid w:val="00FA6CF9"/>
    <w:rsid w:val="00FB0859"/>
    <w:rsid w:val="00FB0E48"/>
    <w:rsid w:val="00FB10FE"/>
    <w:rsid w:val="00FB2A7A"/>
    <w:rsid w:val="00FB669F"/>
    <w:rsid w:val="00FB6CB6"/>
    <w:rsid w:val="00FC0A27"/>
    <w:rsid w:val="00FC1F25"/>
    <w:rsid w:val="00FC2621"/>
    <w:rsid w:val="00FC51AE"/>
    <w:rsid w:val="00FC68ED"/>
    <w:rsid w:val="00FC7014"/>
    <w:rsid w:val="00FC71CD"/>
    <w:rsid w:val="00FC7408"/>
    <w:rsid w:val="00FD0758"/>
    <w:rsid w:val="00FD07E7"/>
    <w:rsid w:val="00FD12A8"/>
    <w:rsid w:val="00FD352C"/>
    <w:rsid w:val="00FD6162"/>
    <w:rsid w:val="00FD6DFF"/>
    <w:rsid w:val="00FD6F91"/>
    <w:rsid w:val="00FD7224"/>
    <w:rsid w:val="00FE009D"/>
    <w:rsid w:val="00FE0942"/>
    <w:rsid w:val="00FE133C"/>
    <w:rsid w:val="00FE1386"/>
    <w:rsid w:val="00FE195B"/>
    <w:rsid w:val="00FE2253"/>
    <w:rsid w:val="00FE265A"/>
    <w:rsid w:val="00FE34BF"/>
    <w:rsid w:val="00FE4224"/>
    <w:rsid w:val="00FE4C6B"/>
    <w:rsid w:val="00FE5527"/>
    <w:rsid w:val="00FE5FF2"/>
    <w:rsid w:val="00FE6182"/>
    <w:rsid w:val="00FE6241"/>
    <w:rsid w:val="00FE7371"/>
    <w:rsid w:val="00FF0ADC"/>
    <w:rsid w:val="00FF1DBE"/>
    <w:rsid w:val="00FF31BC"/>
    <w:rsid w:val="00FF3AB1"/>
    <w:rsid w:val="00FF4D85"/>
    <w:rsid w:val="00FF515C"/>
    <w:rsid w:val="00FF5757"/>
    <w:rsid w:val="00FF5C14"/>
    <w:rsid w:val="00FF61A0"/>
    <w:rsid w:val="00FF759B"/>
    <w:rsid w:val="00FF75BD"/>
    <w:rsid w:val="00FF7859"/>
    <w:rsid w:val="00FF7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2F788"/>
  <w15:chartTrackingRefBased/>
  <w15:docId w15:val="{865D0B05-C7CC-4380-B715-582B8ED9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D2"/>
  </w:style>
  <w:style w:type="paragraph" w:styleId="Heading1">
    <w:name w:val="heading 1"/>
    <w:basedOn w:val="Normal"/>
    <w:next w:val="Normal"/>
    <w:link w:val="Heading1Char"/>
    <w:uiPriority w:val="9"/>
    <w:qFormat/>
    <w:rsid w:val="007175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175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175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7175D2"/>
    <w:pPr>
      <w:keepNext/>
      <w:keepLines/>
      <w:spacing w:before="120" w:after="0"/>
      <w:outlineLvl w:val="3"/>
    </w:pPr>
    <w:rPr>
      <w:rFonts w:asciiTheme="majorHAnsi" w:eastAsiaTheme="majorEastAsia" w:hAnsiTheme="majorHAnsi" w:cstheme="majorBidi"/>
      <w:i/>
      <w:iCs/>
      <w:sz w:val="24"/>
      <w:szCs w:val="24"/>
    </w:rPr>
  </w:style>
  <w:style w:type="paragraph" w:styleId="Heading50">
    <w:name w:val="heading 5"/>
    <w:basedOn w:val="Normal"/>
    <w:next w:val="Normal"/>
    <w:link w:val="Heading5Char"/>
    <w:uiPriority w:val="9"/>
    <w:unhideWhenUsed/>
    <w:qFormat/>
    <w:rsid w:val="007175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175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175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175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175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ew">
    <w:name w:val="Normal New"/>
    <w:basedOn w:val="Normal"/>
    <w:link w:val="NormalNewChar"/>
    <w:rsid w:val="00760EC0"/>
    <w:pPr>
      <w:keepLines/>
      <w:spacing w:before="240" w:after="240" w:line="300" w:lineRule="exact"/>
    </w:pPr>
  </w:style>
  <w:style w:type="character" w:customStyle="1" w:styleId="NormalNewChar">
    <w:name w:val="Normal New Char"/>
    <w:link w:val="NormalNew"/>
    <w:rsid w:val="00760EC0"/>
    <w:rPr>
      <w:sz w:val="22"/>
      <w:szCs w:val="24"/>
      <w:lang w:val="en-AU" w:eastAsia="en-AU" w:bidi="ar-SA"/>
    </w:rPr>
  </w:style>
  <w:style w:type="paragraph" w:styleId="BalloonText">
    <w:name w:val="Balloon Text"/>
    <w:basedOn w:val="Normal"/>
    <w:link w:val="BalloonTextChar"/>
    <w:uiPriority w:val="99"/>
    <w:semiHidden/>
    <w:rsid w:val="000C231D"/>
    <w:rPr>
      <w:rFonts w:ascii="Tahoma" w:hAnsi="Tahoma" w:cs="Tahoma"/>
      <w:sz w:val="16"/>
      <w:szCs w:val="16"/>
    </w:rPr>
  </w:style>
  <w:style w:type="paragraph" w:styleId="Header">
    <w:name w:val="header"/>
    <w:basedOn w:val="Normal"/>
    <w:link w:val="HeaderChar"/>
    <w:uiPriority w:val="99"/>
    <w:rsid w:val="00363BF2"/>
    <w:pPr>
      <w:tabs>
        <w:tab w:val="center" w:pos="4153"/>
        <w:tab w:val="right" w:pos="8306"/>
      </w:tabs>
      <w:jc w:val="center"/>
    </w:pPr>
    <w:rPr>
      <w:b/>
    </w:rPr>
  </w:style>
  <w:style w:type="paragraph" w:styleId="Footer">
    <w:name w:val="footer"/>
    <w:basedOn w:val="Normal"/>
    <w:link w:val="FooterChar"/>
    <w:uiPriority w:val="99"/>
    <w:rsid w:val="000C231D"/>
    <w:pPr>
      <w:tabs>
        <w:tab w:val="center" w:pos="4153"/>
        <w:tab w:val="right" w:pos="8306"/>
      </w:tabs>
    </w:pPr>
  </w:style>
  <w:style w:type="paragraph" w:customStyle="1" w:styleId="NormalDot1">
    <w:name w:val="Normal Dot 1"/>
    <w:basedOn w:val="NormalNew"/>
    <w:rsid w:val="00A05CA7"/>
    <w:pPr>
      <w:numPr>
        <w:numId w:val="1"/>
      </w:numPr>
    </w:pPr>
  </w:style>
  <w:style w:type="paragraph" w:customStyle="1" w:styleId="NormalDot2">
    <w:name w:val="Normal Dot 2"/>
    <w:basedOn w:val="NormalNew"/>
    <w:rsid w:val="0007366E"/>
    <w:pPr>
      <w:numPr>
        <w:numId w:val="10"/>
      </w:numPr>
      <w:ind w:left="1702" w:hanging="851"/>
    </w:pPr>
  </w:style>
  <w:style w:type="paragraph" w:customStyle="1" w:styleId="NormalNum1">
    <w:name w:val="Normal Num 1"/>
    <w:basedOn w:val="NormalNew"/>
    <w:rsid w:val="00FA0A54"/>
    <w:pPr>
      <w:numPr>
        <w:numId w:val="3"/>
      </w:numPr>
      <w:ind w:left="360"/>
    </w:pPr>
  </w:style>
  <w:style w:type="paragraph" w:customStyle="1" w:styleId="NormalNum2">
    <w:name w:val="Normal Num 2"/>
    <w:basedOn w:val="NormalNew"/>
    <w:rsid w:val="00FA0A54"/>
    <w:pPr>
      <w:numPr>
        <w:numId w:val="4"/>
      </w:numPr>
    </w:pPr>
  </w:style>
  <w:style w:type="paragraph" w:customStyle="1" w:styleId="NormalNum3">
    <w:name w:val="Normal Num 3"/>
    <w:basedOn w:val="NormalNew"/>
    <w:rsid w:val="00DD69F6"/>
    <w:pPr>
      <w:numPr>
        <w:numId w:val="5"/>
      </w:numPr>
    </w:pPr>
  </w:style>
  <w:style w:type="paragraph" w:customStyle="1" w:styleId="NormalAlpha1">
    <w:name w:val="Normal Alpha 1"/>
    <w:basedOn w:val="NormalNew"/>
    <w:rsid w:val="00610D31"/>
    <w:pPr>
      <w:numPr>
        <w:numId w:val="6"/>
      </w:numPr>
    </w:pPr>
  </w:style>
  <w:style w:type="paragraph" w:customStyle="1" w:styleId="NormalAlpha2">
    <w:name w:val="Normal Alpha 2"/>
    <w:basedOn w:val="NormalNew"/>
    <w:rsid w:val="00DD69F6"/>
    <w:pPr>
      <w:numPr>
        <w:numId w:val="7"/>
      </w:numPr>
    </w:pPr>
  </w:style>
  <w:style w:type="paragraph" w:customStyle="1" w:styleId="NormalAlpha3">
    <w:name w:val="Normal Alpha 3"/>
    <w:basedOn w:val="NormalNew"/>
    <w:rsid w:val="00DD69F6"/>
    <w:pPr>
      <w:numPr>
        <w:numId w:val="8"/>
      </w:numPr>
    </w:pPr>
  </w:style>
  <w:style w:type="character" w:styleId="Hyperlink">
    <w:name w:val="Hyperlink"/>
    <w:uiPriority w:val="99"/>
    <w:rsid w:val="00AC7A44"/>
    <w:rPr>
      <w:color w:val="0000FF"/>
      <w:u w:val="single"/>
    </w:rPr>
  </w:style>
  <w:style w:type="table" w:styleId="TableGrid">
    <w:name w:val="Table Grid"/>
    <w:basedOn w:val="TableNormal"/>
    <w:uiPriority w:val="59"/>
    <w:rsid w:val="007E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hapters">
    <w:name w:val="Heading Chapters"/>
    <w:basedOn w:val="Normal"/>
    <w:rsid w:val="007E628E"/>
    <w:pPr>
      <w:ind w:right="-1594"/>
      <w:jc w:val="right"/>
    </w:pPr>
    <w:rPr>
      <w:rFonts w:ascii="Book Antiqua" w:hAnsi="Book Antiqua"/>
      <w:color w:val="78AADB"/>
      <w:sz w:val="96"/>
      <w:szCs w:val="20"/>
    </w:rPr>
  </w:style>
  <w:style w:type="paragraph" w:customStyle="1" w:styleId="HeadingChapterBox">
    <w:name w:val="Heading Chapter Box"/>
    <w:basedOn w:val="Normal"/>
    <w:rsid w:val="007E628E"/>
    <w:pPr>
      <w:ind w:left="-108"/>
    </w:pPr>
    <w:rPr>
      <w:szCs w:val="20"/>
    </w:rPr>
  </w:style>
  <w:style w:type="paragraph" w:styleId="TOC1">
    <w:name w:val="toc 1"/>
    <w:basedOn w:val="Heading2"/>
    <w:next w:val="Heading2"/>
    <w:autoRedefine/>
    <w:uiPriority w:val="39"/>
    <w:rsid w:val="007827A6"/>
    <w:pPr>
      <w:keepNext w:val="0"/>
      <w:spacing w:after="120"/>
      <w:outlineLvl w:val="9"/>
    </w:pPr>
    <w:rPr>
      <w:rFonts w:ascii="Calibri" w:hAnsi="Calibri" w:cs="Calibri"/>
      <w:iCs/>
      <w:caps/>
      <w:sz w:val="20"/>
      <w:szCs w:val="20"/>
    </w:rPr>
  </w:style>
  <w:style w:type="paragraph" w:styleId="TOC2">
    <w:name w:val="toc 2"/>
    <w:basedOn w:val="Heading3"/>
    <w:next w:val="Heading3"/>
    <w:autoRedefine/>
    <w:uiPriority w:val="39"/>
    <w:rsid w:val="007F45BC"/>
    <w:pPr>
      <w:spacing w:before="0"/>
      <w:ind w:left="240"/>
      <w:outlineLvl w:val="9"/>
    </w:pPr>
    <w:rPr>
      <w:rFonts w:ascii="Calibri" w:hAnsi="Calibri" w:cs="Calibri"/>
      <w:b/>
      <w:bCs/>
      <w:smallCaps/>
      <w:sz w:val="20"/>
      <w:szCs w:val="20"/>
    </w:rPr>
  </w:style>
  <w:style w:type="paragraph" w:styleId="BodyText">
    <w:name w:val="Body Text"/>
    <w:aliases w:val="new legislation style"/>
    <w:basedOn w:val="Normal"/>
    <w:link w:val="BodyTextChar"/>
    <w:rsid w:val="003F3D94"/>
    <w:pPr>
      <w:keepLines/>
      <w:overflowPunct w:val="0"/>
      <w:autoSpaceDE w:val="0"/>
      <w:autoSpaceDN w:val="0"/>
      <w:adjustRightInd w:val="0"/>
      <w:spacing w:after="360" w:line="288" w:lineRule="auto"/>
      <w:textAlignment w:val="baseline"/>
    </w:pPr>
    <w:rPr>
      <w:rFonts w:ascii="Tahoma" w:hAnsi="Tahoma" w:cs="Tahoma"/>
      <w:sz w:val="20"/>
      <w:szCs w:val="20"/>
      <w:lang w:eastAsia="en-US"/>
    </w:rPr>
  </w:style>
  <w:style w:type="paragraph" w:customStyle="1" w:styleId="BodyDot1">
    <w:name w:val="Body Dot 1"/>
    <w:basedOn w:val="BodyText"/>
    <w:autoRedefine/>
    <w:rsid w:val="003F3D94"/>
    <w:pPr>
      <w:tabs>
        <w:tab w:val="num" w:pos="1004"/>
      </w:tabs>
      <w:spacing w:after="120" w:line="240" w:lineRule="auto"/>
      <w:ind w:left="1003" w:hanging="357"/>
    </w:pPr>
    <w:rPr>
      <w:snapToGrid w:val="0"/>
    </w:rPr>
  </w:style>
  <w:style w:type="paragraph" w:customStyle="1" w:styleId="Notesbeforeors">
    <w:name w:val="Notes before ors"/>
    <w:basedOn w:val="Normal"/>
    <w:next w:val="Normal"/>
    <w:rsid w:val="003F3D94"/>
    <w:pPr>
      <w:keepLines/>
      <w:numPr>
        <w:ilvl w:val="12"/>
      </w:numPr>
      <w:overflowPunct w:val="0"/>
      <w:autoSpaceDE w:val="0"/>
      <w:autoSpaceDN w:val="0"/>
      <w:adjustRightInd w:val="0"/>
      <w:spacing w:after="240"/>
      <w:textAlignment w:val="baseline"/>
    </w:pPr>
    <w:rPr>
      <w:rFonts w:ascii="Tahoma" w:hAnsi="Tahoma" w:cs="Tahoma"/>
      <w:i/>
      <w:iCs/>
      <w:sz w:val="18"/>
      <w:szCs w:val="20"/>
      <w:lang w:eastAsia="en-US"/>
    </w:rPr>
  </w:style>
  <w:style w:type="paragraph" w:customStyle="1" w:styleId="BodyAlpa1">
    <w:name w:val="Body Alpa 1"/>
    <w:basedOn w:val="BodyDot1"/>
    <w:rsid w:val="003F3D94"/>
    <w:pPr>
      <w:ind w:left="360" w:hanging="360"/>
    </w:pPr>
  </w:style>
  <w:style w:type="paragraph" w:customStyle="1" w:styleId="BodyQuote">
    <w:name w:val="Body Quote"/>
    <w:basedOn w:val="BodyText"/>
    <w:rsid w:val="00DB368E"/>
    <w:pPr>
      <w:ind w:left="720"/>
      <w:jc w:val="left"/>
    </w:pPr>
    <w:rPr>
      <w:rFonts w:ascii="Times New Roman" w:hAnsi="Times New Roman"/>
      <w:sz w:val="22"/>
    </w:rPr>
  </w:style>
  <w:style w:type="paragraph" w:customStyle="1" w:styleId="BodyQuoteEnd">
    <w:name w:val="Body Quote End"/>
    <w:basedOn w:val="BodyQuote"/>
    <w:rsid w:val="003F3D94"/>
  </w:style>
  <w:style w:type="paragraph" w:customStyle="1" w:styleId="Notes">
    <w:name w:val="Notes"/>
    <w:basedOn w:val="BodyText"/>
    <w:rsid w:val="007C68B8"/>
    <w:pPr>
      <w:spacing w:after="0" w:line="240" w:lineRule="auto"/>
      <w:ind w:left="283" w:hanging="283"/>
    </w:pPr>
    <w:rPr>
      <w:sz w:val="18"/>
    </w:rPr>
  </w:style>
  <w:style w:type="paragraph" w:styleId="Caption">
    <w:name w:val="caption"/>
    <w:basedOn w:val="Normal"/>
    <w:next w:val="Normal"/>
    <w:link w:val="CaptionChar"/>
    <w:uiPriority w:val="35"/>
    <w:unhideWhenUsed/>
    <w:qFormat/>
    <w:rsid w:val="007175D2"/>
    <w:rPr>
      <w:b/>
      <w:bCs/>
      <w:sz w:val="18"/>
      <w:szCs w:val="18"/>
    </w:rPr>
  </w:style>
  <w:style w:type="paragraph" w:customStyle="1" w:styleId="Tablehead">
    <w:name w:val="Table head"/>
    <w:basedOn w:val="Normal"/>
    <w:rsid w:val="008D596D"/>
    <w:pPr>
      <w:keepNext/>
      <w:overflowPunct w:val="0"/>
      <w:autoSpaceDE w:val="0"/>
      <w:autoSpaceDN w:val="0"/>
      <w:adjustRightInd w:val="0"/>
      <w:spacing w:before="60" w:after="60"/>
      <w:jc w:val="center"/>
      <w:textAlignment w:val="baseline"/>
    </w:pPr>
    <w:rPr>
      <w:rFonts w:cs="Tahoma"/>
      <w:b/>
      <w:sz w:val="20"/>
      <w:szCs w:val="20"/>
      <w:lang w:eastAsia="en-US"/>
    </w:rPr>
  </w:style>
  <w:style w:type="paragraph" w:customStyle="1" w:styleId="TableContent">
    <w:name w:val="Table Content"/>
    <w:basedOn w:val="Tablehead"/>
    <w:autoRedefine/>
    <w:rsid w:val="002478D3"/>
    <w:pPr>
      <w:keepNext w:val="0"/>
      <w:overflowPunct/>
      <w:autoSpaceDE/>
      <w:autoSpaceDN/>
      <w:adjustRightInd/>
      <w:spacing w:before="0" w:after="0"/>
      <w:jc w:val="left"/>
      <w:textAlignment w:val="auto"/>
    </w:pPr>
    <w:rPr>
      <w:rFonts w:eastAsia="Arial Unicode MS" w:cs="Times New Roman"/>
      <w:b w:val="0"/>
      <w:bCs/>
      <w:sz w:val="22"/>
      <w:szCs w:val="22"/>
    </w:rPr>
  </w:style>
  <w:style w:type="paragraph" w:customStyle="1" w:styleId="TableContentData">
    <w:name w:val="Table Content Data"/>
    <w:basedOn w:val="TableContent"/>
    <w:autoRedefine/>
    <w:rsid w:val="00AC3DDF"/>
    <w:pPr>
      <w:jc w:val="center"/>
    </w:pPr>
    <w:rPr>
      <w:rFonts w:cs="Arial"/>
      <w:b/>
      <w:i/>
    </w:rPr>
  </w:style>
  <w:style w:type="paragraph" w:customStyle="1" w:styleId="TableContentTotals">
    <w:name w:val="Table Content Totals"/>
    <w:basedOn w:val="TableContent"/>
    <w:autoRedefine/>
    <w:rsid w:val="004827A8"/>
    <w:rPr>
      <w:b/>
      <w:i/>
    </w:rPr>
  </w:style>
  <w:style w:type="paragraph" w:customStyle="1" w:styleId="TableContentDataTotals">
    <w:name w:val="Table Content Data Totals"/>
    <w:basedOn w:val="TableContentTotals"/>
    <w:rsid w:val="007C68B8"/>
  </w:style>
  <w:style w:type="paragraph" w:customStyle="1" w:styleId="StyleCaption">
    <w:name w:val="Style Caption"/>
    <w:basedOn w:val="Caption"/>
    <w:link w:val="StyleCaptionCharChar"/>
    <w:rsid w:val="006F36AF"/>
    <w:rPr>
      <w:rFonts w:ascii="Times New Roman" w:hAnsi="Times New Roman"/>
      <w:bCs w:val="0"/>
    </w:rPr>
  </w:style>
  <w:style w:type="character" w:customStyle="1" w:styleId="CaptionChar">
    <w:name w:val="Caption Char"/>
    <w:link w:val="Caption"/>
    <w:uiPriority w:val="35"/>
    <w:rsid w:val="000D3B2B"/>
    <w:rPr>
      <w:b/>
      <w:bCs/>
      <w:sz w:val="18"/>
      <w:szCs w:val="18"/>
    </w:rPr>
  </w:style>
  <w:style w:type="character" w:customStyle="1" w:styleId="StyleCaptionCharChar">
    <w:name w:val="Style Caption Char Char"/>
    <w:link w:val="StyleCaption"/>
    <w:rsid w:val="006F36AF"/>
    <w:rPr>
      <w:rFonts w:ascii="Arial" w:hAnsi="Arial" w:cs="Tahoma"/>
      <w:b/>
      <w:bCs/>
      <w:lang w:val="en-AU" w:eastAsia="en-US" w:bidi="ar-SA"/>
    </w:rPr>
  </w:style>
  <w:style w:type="paragraph" w:customStyle="1" w:styleId="TableContentIndent">
    <w:name w:val="Table Content Indent"/>
    <w:basedOn w:val="TableContent"/>
    <w:autoRedefine/>
    <w:rsid w:val="00FD6DFF"/>
    <w:pPr>
      <w:ind w:left="720"/>
      <w:jc w:val="both"/>
    </w:pPr>
  </w:style>
  <w:style w:type="paragraph" w:customStyle="1" w:styleId="PAIndent1">
    <w:name w:val="PA Indent 1"/>
    <w:rsid w:val="001C7669"/>
    <w:pPr>
      <w:numPr>
        <w:numId w:val="9"/>
      </w:numPr>
      <w:spacing w:after="120" w:line="300" w:lineRule="atLeast"/>
    </w:pPr>
    <w:rPr>
      <w:rFonts w:ascii="Bembo" w:hAnsi="Bembo"/>
      <w:sz w:val="24"/>
      <w:lang w:eastAsia="en-US"/>
    </w:rPr>
  </w:style>
  <w:style w:type="paragraph" w:customStyle="1" w:styleId="Background">
    <w:name w:val="Background"/>
    <w:basedOn w:val="Normal"/>
    <w:rsid w:val="001C7669"/>
    <w:pPr>
      <w:overflowPunct w:val="0"/>
      <w:autoSpaceDE w:val="0"/>
      <w:autoSpaceDN w:val="0"/>
      <w:adjustRightInd w:val="0"/>
      <w:ind w:left="720" w:hanging="720"/>
      <w:textAlignment w:val="baseline"/>
    </w:pPr>
    <w:rPr>
      <w:sz w:val="28"/>
      <w:szCs w:val="20"/>
      <w:lang w:eastAsia="en-US"/>
    </w:rPr>
  </w:style>
  <w:style w:type="paragraph" w:customStyle="1" w:styleId="NormalDot3">
    <w:name w:val="Normal Dot 3"/>
    <w:basedOn w:val="NormalDot2"/>
    <w:rsid w:val="00A05CA7"/>
    <w:pPr>
      <w:numPr>
        <w:numId w:val="2"/>
      </w:numPr>
    </w:pPr>
  </w:style>
  <w:style w:type="paragraph" w:customStyle="1" w:styleId="BodyAlpa2">
    <w:name w:val="Body Alpa 2"/>
    <w:basedOn w:val="Normal"/>
    <w:rsid w:val="00CF32D8"/>
    <w:pPr>
      <w:keepLines/>
      <w:overflowPunct w:val="0"/>
      <w:autoSpaceDE w:val="0"/>
      <w:autoSpaceDN w:val="0"/>
      <w:adjustRightInd w:val="0"/>
      <w:spacing w:after="120" w:line="288" w:lineRule="auto"/>
      <w:ind w:left="1080" w:hanging="360"/>
      <w:textAlignment w:val="baseline"/>
    </w:pPr>
    <w:rPr>
      <w:rFonts w:ascii="Tahoma" w:hAnsi="Tahoma" w:cs="Tahoma"/>
      <w:sz w:val="20"/>
      <w:szCs w:val="20"/>
      <w:lang w:eastAsia="en-US"/>
    </w:rPr>
  </w:style>
  <w:style w:type="paragraph" w:styleId="BodyText2">
    <w:name w:val="Body Text 2"/>
    <w:basedOn w:val="Normal"/>
    <w:link w:val="BodyText2Char"/>
    <w:rsid w:val="00032B03"/>
    <w:pPr>
      <w:spacing w:after="120" w:line="480" w:lineRule="auto"/>
    </w:pPr>
  </w:style>
  <w:style w:type="character" w:styleId="FollowedHyperlink">
    <w:name w:val="FollowedHyperlink"/>
    <w:rsid w:val="00032B03"/>
    <w:rPr>
      <w:color w:val="800080"/>
      <w:u w:val="single"/>
    </w:rPr>
  </w:style>
  <w:style w:type="character" w:styleId="PageNumber">
    <w:name w:val="page number"/>
    <w:basedOn w:val="DefaultParagraphFont"/>
    <w:rsid w:val="00363BF2"/>
  </w:style>
  <w:style w:type="paragraph" w:styleId="NormalWeb">
    <w:name w:val="Normal (Web)"/>
    <w:basedOn w:val="Normal"/>
    <w:uiPriority w:val="99"/>
    <w:rsid w:val="009F705C"/>
    <w:pPr>
      <w:spacing w:before="100" w:beforeAutospacing="1"/>
    </w:pPr>
    <w:rPr>
      <w:rFonts w:ascii="Trebuchet MS" w:hAnsi="Trebuchet MS"/>
      <w:color w:val="004080"/>
      <w:sz w:val="23"/>
      <w:szCs w:val="23"/>
    </w:rPr>
  </w:style>
  <w:style w:type="paragraph" w:styleId="FootnoteText">
    <w:name w:val="footnote text"/>
    <w:basedOn w:val="Normal"/>
    <w:link w:val="FootnoteTextChar"/>
    <w:semiHidden/>
    <w:rsid w:val="00392C11"/>
    <w:rPr>
      <w:sz w:val="20"/>
      <w:szCs w:val="20"/>
    </w:rPr>
  </w:style>
  <w:style w:type="character" w:styleId="FootnoteReference">
    <w:name w:val="footnote reference"/>
    <w:uiPriority w:val="99"/>
    <w:semiHidden/>
    <w:rsid w:val="00392C11"/>
    <w:rPr>
      <w:vertAlign w:val="superscript"/>
    </w:rPr>
  </w:style>
  <w:style w:type="character" w:styleId="CommentReference">
    <w:name w:val="annotation reference"/>
    <w:uiPriority w:val="99"/>
    <w:rsid w:val="00FA6CF9"/>
    <w:rPr>
      <w:sz w:val="16"/>
      <w:szCs w:val="16"/>
    </w:rPr>
  </w:style>
  <w:style w:type="paragraph" w:styleId="CommentText">
    <w:name w:val="annotation text"/>
    <w:basedOn w:val="Normal"/>
    <w:link w:val="CommentTextChar"/>
    <w:uiPriority w:val="99"/>
    <w:rsid w:val="00FA6CF9"/>
    <w:rPr>
      <w:sz w:val="20"/>
      <w:szCs w:val="20"/>
    </w:rPr>
  </w:style>
  <w:style w:type="paragraph" w:customStyle="1" w:styleId="BodyDot1End">
    <w:name w:val="Body Dot 1 End"/>
    <w:basedOn w:val="BodyDot1"/>
    <w:autoRedefine/>
    <w:rsid w:val="00FA6CF9"/>
    <w:pPr>
      <w:spacing w:after="360"/>
    </w:pPr>
  </w:style>
  <w:style w:type="paragraph" w:styleId="TOC3">
    <w:name w:val="toc 3"/>
    <w:basedOn w:val="Normal"/>
    <w:next w:val="Normal"/>
    <w:autoRedefine/>
    <w:uiPriority w:val="39"/>
    <w:rsid w:val="000E0EA1"/>
    <w:pPr>
      <w:ind w:left="480"/>
    </w:pPr>
    <w:rPr>
      <w:rFonts w:ascii="Calibri" w:hAnsi="Calibri" w:cs="Calibri"/>
      <w:i/>
      <w:iCs/>
      <w:sz w:val="20"/>
      <w:szCs w:val="20"/>
    </w:rPr>
  </w:style>
  <w:style w:type="paragraph" w:styleId="TOC4">
    <w:name w:val="toc 4"/>
    <w:basedOn w:val="Normal"/>
    <w:next w:val="Normal"/>
    <w:autoRedefine/>
    <w:semiHidden/>
    <w:rsid w:val="000E0EA1"/>
    <w:pPr>
      <w:ind w:left="720"/>
    </w:pPr>
    <w:rPr>
      <w:rFonts w:ascii="Calibri" w:hAnsi="Calibri" w:cs="Calibri"/>
      <w:sz w:val="18"/>
      <w:szCs w:val="18"/>
    </w:rPr>
  </w:style>
  <w:style w:type="paragraph" w:styleId="TOC5">
    <w:name w:val="toc 5"/>
    <w:basedOn w:val="Normal"/>
    <w:next w:val="Normal"/>
    <w:autoRedefine/>
    <w:semiHidden/>
    <w:rsid w:val="000E0EA1"/>
    <w:pPr>
      <w:ind w:left="960"/>
    </w:pPr>
    <w:rPr>
      <w:rFonts w:ascii="Calibri" w:hAnsi="Calibri" w:cs="Calibri"/>
      <w:sz w:val="18"/>
      <w:szCs w:val="18"/>
    </w:rPr>
  </w:style>
  <w:style w:type="paragraph" w:styleId="TOC6">
    <w:name w:val="toc 6"/>
    <w:basedOn w:val="Normal"/>
    <w:next w:val="Normal"/>
    <w:autoRedefine/>
    <w:semiHidden/>
    <w:rsid w:val="000E0EA1"/>
    <w:pPr>
      <w:ind w:left="1200"/>
    </w:pPr>
    <w:rPr>
      <w:rFonts w:ascii="Calibri" w:hAnsi="Calibri" w:cs="Calibri"/>
      <w:sz w:val="18"/>
      <w:szCs w:val="18"/>
    </w:rPr>
  </w:style>
  <w:style w:type="paragraph" w:styleId="TOC7">
    <w:name w:val="toc 7"/>
    <w:basedOn w:val="Normal"/>
    <w:next w:val="Normal"/>
    <w:autoRedefine/>
    <w:semiHidden/>
    <w:rsid w:val="000E0EA1"/>
    <w:pPr>
      <w:ind w:left="1440"/>
    </w:pPr>
    <w:rPr>
      <w:rFonts w:ascii="Calibri" w:hAnsi="Calibri" w:cs="Calibri"/>
      <w:sz w:val="18"/>
      <w:szCs w:val="18"/>
    </w:rPr>
  </w:style>
  <w:style w:type="paragraph" w:styleId="TOC8">
    <w:name w:val="toc 8"/>
    <w:basedOn w:val="Normal"/>
    <w:next w:val="Normal"/>
    <w:autoRedefine/>
    <w:semiHidden/>
    <w:rsid w:val="000E0EA1"/>
    <w:pPr>
      <w:ind w:left="1680"/>
    </w:pPr>
    <w:rPr>
      <w:rFonts w:ascii="Calibri" w:hAnsi="Calibri" w:cs="Calibri"/>
      <w:sz w:val="18"/>
      <w:szCs w:val="18"/>
    </w:rPr>
  </w:style>
  <w:style w:type="paragraph" w:styleId="TOC9">
    <w:name w:val="toc 9"/>
    <w:basedOn w:val="Normal"/>
    <w:next w:val="Normal"/>
    <w:autoRedefine/>
    <w:semiHidden/>
    <w:rsid w:val="000E0EA1"/>
    <w:pPr>
      <w:ind w:left="1920"/>
    </w:pPr>
    <w:rPr>
      <w:rFonts w:ascii="Calibri" w:hAnsi="Calibri" w:cs="Calibri"/>
      <w:sz w:val="18"/>
      <w:szCs w:val="18"/>
    </w:rPr>
  </w:style>
  <w:style w:type="paragraph" w:styleId="CommentSubject">
    <w:name w:val="annotation subject"/>
    <w:basedOn w:val="CommentText"/>
    <w:next w:val="CommentText"/>
    <w:link w:val="CommentSubjectChar"/>
    <w:uiPriority w:val="99"/>
    <w:semiHidden/>
    <w:rsid w:val="009173D4"/>
    <w:rPr>
      <w:b/>
      <w:bCs/>
    </w:rPr>
  </w:style>
  <w:style w:type="paragraph" w:styleId="ListBullet2">
    <w:name w:val="List Bullet 2"/>
    <w:basedOn w:val="Normal"/>
    <w:rsid w:val="003C0625"/>
    <w:pPr>
      <w:numPr>
        <w:ilvl w:val="1"/>
        <w:numId w:val="14"/>
      </w:numPr>
      <w:spacing w:before="240" w:after="100" w:afterAutospacing="1"/>
    </w:pPr>
  </w:style>
  <w:style w:type="paragraph" w:styleId="ListBullet">
    <w:name w:val="List Bullet"/>
    <w:basedOn w:val="Normal"/>
    <w:rsid w:val="003C0625"/>
    <w:pPr>
      <w:numPr>
        <w:numId w:val="14"/>
      </w:numPr>
      <w:spacing w:before="240" w:after="100" w:afterAutospacing="1"/>
    </w:pPr>
  </w:style>
  <w:style w:type="paragraph" w:styleId="ListBullet3">
    <w:name w:val="List Bullet 3"/>
    <w:basedOn w:val="Normal"/>
    <w:rsid w:val="003C0625"/>
    <w:pPr>
      <w:numPr>
        <w:ilvl w:val="2"/>
        <w:numId w:val="14"/>
      </w:numPr>
      <w:spacing w:before="240" w:after="100" w:afterAutospacing="1"/>
    </w:pPr>
  </w:style>
  <w:style w:type="paragraph" w:styleId="ListBullet4">
    <w:name w:val="List Bullet 4"/>
    <w:basedOn w:val="Normal"/>
    <w:rsid w:val="003C0625"/>
    <w:pPr>
      <w:numPr>
        <w:ilvl w:val="3"/>
        <w:numId w:val="14"/>
      </w:numPr>
      <w:spacing w:before="240" w:after="100" w:afterAutospacing="1"/>
    </w:pPr>
  </w:style>
  <w:style w:type="paragraph" w:customStyle="1" w:styleId="Heading5">
    <w:name w:val="Heading5"/>
    <w:basedOn w:val="Normal"/>
    <w:semiHidden/>
    <w:rsid w:val="003C0625"/>
    <w:pPr>
      <w:keepNext/>
      <w:numPr>
        <w:numId w:val="13"/>
      </w:numPr>
      <w:spacing w:before="120" w:beforeAutospacing="1" w:after="120" w:afterAutospacing="1"/>
    </w:pPr>
    <w:rPr>
      <w:rFonts w:ascii="Helvetica" w:hAnsi="Helvetica"/>
      <w:b/>
      <w:bCs/>
      <w:iCs/>
      <w:szCs w:val="26"/>
      <w:lang w:eastAsia="en-US"/>
    </w:rPr>
  </w:style>
  <w:style w:type="paragraph" w:styleId="TableofFigures">
    <w:name w:val="table of figures"/>
    <w:basedOn w:val="Normal"/>
    <w:next w:val="Normal"/>
    <w:uiPriority w:val="99"/>
    <w:rsid w:val="002B3160"/>
    <w:pPr>
      <w:ind w:left="480" w:hanging="480"/>
    </w:pPr>
    <w:rPr>
      <w:rFonts w:ascii="Calibri" w:hAnsi="Calibri" w:cs="Calibri"/>
      <w:smallCaps/>
      <w:sz w:val="20"/>
      <w:szCs w:val="20"/>
    </w:rPr>
  </w:style>
  <w:style w:type="character" w:customStyle="1" w:styleId="CommentTextChar">
    <w:name w:val="Comment Text Char"/>
    <w:link w:val="CommentText"/>
    <w:uiPriority w:val="99"/>
    <w:rsid w:val="00274D55"/>
  </w:style>
  <w:style w:type="character" w:customStyle="1" w:styleId="Heading1Char">
    <w:name w:val="Heading 1 Char"/>
    <w:basedOn w:val="DefaultParagraphFont"/>
    <w:link w:val="Heading1"/>
    <w:uiPriority w:val="9"/>
    <w:rsid w:val="007175D2"/>
    <w:rPr>
      <w:rFonts w:asciiTheme="majorHAnsi" w:eastAsiaTheme="majorEastAsia" w:hAnsiTheme="majorHAnsi" w:cstheme="majorBidi"/>
      <w:b/>
      <w:bCs/>
      <w:caps/>
      <w:spacing w:val="4"/>
      <w:sz w:val="28"/>
      <w:szCs w:val="28"/>
    </w:rPr>
  </w:style>
  <w:style w:type="paragraph" w:styleId="TOCHeading">
    <w:name w:val="TOC Heading"/>
    <w:basedOn w:val="Heading1"/>
    <w:next w:val="Normal"/>
    <w:uiPriority w:val="39"/>
    <w:unhideWhenUsed/>
    <w:qFormat/>
    <w:rsid w:val="007175D2"/>
    <w:pPr>
      <w:outlineLvl w:val="9"/>
    </w:pPr>
  </w:style>
  <w:style w:type="character" w:customStyle="1" w:styleId="Heading4Char">
    <w:name w:val="Heading 4 Char"/>
    <w:basedOn w:val="DefaultParagraphFont"/>
    <w:link w:val="Heading4"/>
    <w:uiPriority w:val="9"/>
    <w:rsid w:val="007175D2"/>
    <w:rPr>
      <w:rFonts w:asciiTheme="majorHAnsi" w:eastAsiaTheme="majorEastAsia" w:hAnsiTheme="majorHAnsi" w:cstheme="majorBidi"/>
      <w:i/>
      <w:iCs/>
      <w:sz w:val="24"/>
      <w:szCs w:val="24"/>
    </w:rPr>
  </w:style>
  <w:style w:type="paragraph" w:customStyle="1" w:styleId="Table1">
    <w:name w:val="Table 1"/>
    <w:basedOn w:val="Caption"/>
    <w:link w:val="Table1Char"/>
    <w:rsid w:val="006E4FA3"/>
  </w:style>
  <w:style w:type="character" w:styleId="Strong">
    <w:name w:val="Strong"/>
    <w:basedOn w:val="DefaultParagraphFont"/>
    <w:uiPriority w:val="22"/>
    <w:qFormat/>
    <w:rsid w:val="007175D2"/>
    <w:rPr>
      <w:b/>
      <w:bCs/>
      <w:color w:val="auto"/>
    </w:rPr>
  </w:style>
  <w:style w:type="character" w:customStyle="1" w:styleId="Table1Char">
    <w:name w:val="Table 1 Char"/>
    <w:basedOn w:val="CaptionChar"/>
    <w:link w:val="Table1"/>
    <w:rsid w:val="006E4FA3"/>
    <w:rPr>
      <w:rFonts w:ascii="Gill Sans MT" w:hAnsi="Gill Sans MT" w:cs="Arial"/>
      <w:b/>
      <w:bCs/>
      <w:i w:val="0"/>
      <w:sz w:val="22"/>
      <w:szCs w:val="22"/>
      <w:lang w:val="en-US" w:eastAsia="en-US"/>
    </w:rPr>
  </w:style>
  <w:style w:type="paragraph" w:styleId="Revision">
    <w:name w:val="Revision"/>
    <w:hidden/>
    <w:uiPriority w:val="99"/>
    <w:semiHidden/>
    <w:rsid w:val="007B191A"/>
    <w:rPr>
      <w:sz w:val="24"/>
      <w:szCs w:val="24"/>
    </w:rPr>
  </w:style>
  <w:style w:type="paragraph" w:styleId="ListParagraph">
    <w:name w:val="List Paragraph"/>
    <w:basedOn w:val="Normal"/>
    <w:uiPriority w:val="34"/>
    <w:qFormat/>
    <w:rsid w:val="00AF54BE"/>
    <w:pPr>
      <w:ind w:left="720"/>
      <w:contextualSpacing/>
    </w:pPr>
  </w:style>
  <w:style w:type="character" w:customStyle="1" w:styleId="Heading2Char">
    <w:name w:val="Heading 2 Char"/>
    <w:basedOn w:val="DefaultParagraphFont"/>
    <w:link w:val="Heading2"/>
    <w:uiPriority w:val="9"/>
    <w:rsid w:val="007175D2"/>
    <w:rPr>
      <w:rFonts w:asciiTheme="majorHAnsi" w:eastAsiaTheme="majorEastAsia" w:hAnsiTheme="majorHAnsi" w:cstheme="majorBidi"/>
      <w:b/>
      <w:bCs/>
      <w:sz w:val="28"/>
      <w:szCs w:val="28"/>
    </w:rPr>
  </w:style>
  <w:style w:type="character" w:customStyle="1" w:styleId="HeaderChar">
    <w:name w:val="Header Char"/>
    <w:link w:val="Header"/>
    <w:uiPriority w:val="99"/>
    <w:rsid w:val="00E11EA1"/>
    <w:rPr>
      <w:b/>
      <w:sz w:val="24"/>
      <w:szCs w:val="24"/>
    </w:rPr>
  </w:style>
  <w:style w:type="character" w:customStyle="1" w:styleId="FooterChar">
    <w:name w:val="Footer Char"/>
    <w:link w:val="Footer"/>
    <w:uiPriority w:val="99"/>
    <w:rsid w:val="00E11EA1"/>
    <w:rPr>
      <w:sz w:val="24"/>
      <w:szCs w:val="24"/>
    </w:rPr>
  </w:style>
  <w:style w:type="character" w:customStyle="1" w:styleId="BodyTextChar">
    <w:name w:val="Body Text Char"/>
    <w:aliases w:val="new legislation style Char"/>
    <w:link w:val="BodyText"/>
    <w:rsid w:val="00E11EA1"/>
    <w:rPr>
      <w:rFonts w:ascii="Tahoma" w:hAnsi="Tahoma" w:cs="Tahoma"/>
      <w:lang w:eastAsia="en-US"/>
    </w:rPr>
  </w:style>
  <w:style w:type="character" w:customStyle="1" w:styleId="Heading3Char">
    <w:name w:val="Heading 3 Char"/>
    <w:basedOn w:val="DefaultParagraphFont"/>
    <w:link w:val="Heading3"/>
    <w:uiPriority w:val="9"/>
    <w:rsid w:val="007175D2"/>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0"/>
    <w:uiPriority w:val="9"/>
    <w:rsid w:val="007175D2"/>
    <w:rPr>
      <w:rFonts w:asciiTheme="majorHAnsi" w:eastAsiaTheme="majorEastAsia" w:hAnsiTheme="majorHAnsi" w:cstheme="majorBidi"/>
      <w:b/>
      <w:bCs/>
    </w:rPr>
  </w:style>
  <w:style w:type="character" w:customStyle="1" w:styleId="BalloonTextChar">
    <w:name w:val="Balloon Text Char"/>
    <w:link w:val="BalloonText"/>
    <w:uiPriority w:val="99"/>
    <w:semiHidden/>
    <w:rsid w:val="00E11EA1"/>
    <w:rPr>
      <w:rFonts w:ascii="Tahoma" w:hAnsi="Tahoma" w:cs="Tahoma"/>
      <w:sz w:val="16"/>
      <w:szCs w:val="16"/>
    </w:rPr>
  </w:style>
  <w:style w:type="character" w:customStyle="1" w:styleId="BodyText2Char">
    <w:name w:val="Body Text 2 Char"/>
    <w:link w:val="BodyText2"/>
    <w:rsid w:val="00E11EA1"/>
    <w:rPr>
      <w:sz w:val="24"/>
      <w:szCs w:val="24"/>
    </w:rPr>
  </w:style>
  <w:style w:type="character" w:customStyle="1" w:styleId="FootnoteTextChar">
    <w:name w:val="Footnote Text Char"/>
    <w:link w:val="FootnoteText"/>
    <w:semiHidden/>
    <w:rsid w:val="00E11EA1"/>
  </w:style>
  <w:style w:type="character" w:customStyle="1" w:styleId="CommentSubjectChar">
    <w:name w:val="Comment Subject Char"/>
    <w:link w:val="CommentSubject"/>
    <w:uiPriority w:val="99"/>
    <w:semiHidden/>
    <w:rsid w:val="00E11EA1"/>
    <w:rPr>
      <w:b/>
      <w:bCs/>
    </w:rPr>
  </w:style>
  <w:style w:type="paragraph" w:styleId="NoSpacing">
    <w:name w:val="No Spacing"/>
    <w:link w:val="NoSpacingChar"/>
    <w:uiPriority w:val="1"/>
    <w:qFormat/>
    <w:rsid w:val="007175D2"/>
    <w:pPr>
      <w:spacing w:after="0" w:line="240" w:lineRule="auto"/>
    </w:pPr>
  </w:style>
  <w:style w:type="character" w:customStyle="1" w:styleId="NoSpacingChar">
    <w:name w:val="No Spacing Char"/>
    <w:link w:val="NoSpacing"/>
    <w:uiPriority w:val="1"/>
    <w:rsid w:val="0028108C"/>
  </w:style>
  <w:style w:type="character" w:customStyle="1" w:styleId="Heading9Char">
    <w:name w:val="Heading 9 Char"/>
    <w:basedOn w:val="DefaultParagraphFont"/>
    <w:link w:val="Heading9"/>
    <w:uiPriority w:val="9"/>
    <w:semiHidden/>
    <w:rsid w:val="007175D2"/>
    <w:rPr>
      <w:i/>
      <w:iCs/>
    </w:rPr>
  </w:style>
  <w:style w:type="numbering" w:customStyle="1" w:styleId="NoList1">
    <w:name w:val="No List1"/>
    <w:next w:val="NoList"/>
    <w:uiPriority w:val="99"/>
    <w:semiHidden/>
    <w:unhideWhenUsed/>
    <w:rsid w:val="00FD6F91"/>
  </w:style>
  <w:style w:type="table" w:customStyle="1" w:styleId="TableGrid1">
    <w:name w:val="Table Grid1"/>
    <w:basedOn w:val="TableNormal"/>
    <w:next w:val="TableGrid"/>
    <w:uiPriority w:val="59"/>
    <w:rsid w:val="00FD6F91"/>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02DB0"/>
    <w:tblPr>
      <w:tblStyleRowBandSize w:val="1"/>
      <w:tblStyleColBandSize w:val="1"/>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2F5DC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175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175D2"/>
    <w:rPr>
      <w:i/>
      <w:iCs/>
    </w:rPr>
  </w:style>
  <w:style w:type="character" w:customStyle="1" w:styleId="Heading8Char">
    <w:name w:val="Heading 8 Char"/>
    <w:basedOn w:val="DefaultParagraphFont"/>
    <w:link w:val="Heading8"/>
    <w:uiPriority w:val="9"/>
    <w:semiHidden/>
    <w:rsid w:val="007175D2"/>
    <w:rPr>
      <w:b/>
      <w:bCs/>
    </w:rPr>
  </w:style>
  <w:style w:type="paragraph" w:styleId="Title">
    <w:name w:val="Title"/>
    <w:basedOn w:val="Normal"/>
    <w:next w:val="Normal"/>
    <w:link w:val="TitleChar"/>
    <w:uiPriority w:val="10"/>
    <w:qFormat/>
    <w:rsid w:val="007175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175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175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75D2"/>
    <w:rPr>
      <w:rFonts w:asciiTheme="majorHAnsi" w:eastAsiaTheme="majorEastAsia" w:hAnsiTheme="majorHAnsi" w:cstheme="majorBidi"/>
      <w:sz w:val="24"/>
      <w:szCs w:val="24"/>
    </w:rPr>
  </w:style>
  <w:style w:type="character" w:styleId="Emphasis">
    <w:name w:val="Emphasis"/>
    <w:basedOn w:val="DefaultParagraphFont"/>
    <w:uiPriority w:val="20"/>
    <w:qFormat/>
    <w:rsid w:val="007175D2"/>
    <w:rPr>
      <w:i/>
      <w:iCs/>
      <w:color w:val="auto"/>
    </w:rPr>
  </w:style>
  <w:style w:type="paragraph" w:styleId="Quote">
    <w:name w:val="Quote"/>
    <w:basedOn w:val="Normal"/>
    <w:next w:val="Normal"/>
    <w:link w:val="QuoteChar"/>
    <w:uiPriority w:val="29"/>
    <w:qFormat/>
    <w:rsid w:val="007175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175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175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175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175D2"/>
    <w:rPr>
      <w:i/>
      <w:iCs/>
      <w:color w:val="auto"/>
    </w:rPr>
  </w:style>
  <w:style w:type="character" w:styleId="IntenseEmphasis">
    <w:name w:val="Intense Emphasis"/>
    <w:basedOn w:val="DefaultParagraphFont"/>
    <w:uiPriority w:val="21"/>
    <w:qFormat/>
    <w:rsid w:val="007175D2"/>
    <w:rPr>
      <w:b/>
      <w:bCs/>
      <w:i/>
      <w:iCs/>
      <w:color w:val="auto"/>
    </w:rPr>
  </w:style>
  <w:style w:type="character" w:styleId="SubtleReference">
    <w:name w:val="Subtle Reference"/>
    <w:basedOn w:val="DefaultParagraphFont"/>
    <w:uiPriority w:val="31"/>
    <w:qFormat/>
    <w:rsid w:val="007175D2"/>
    <w:rPr>
      <w:smallCaps/>
      <w:color w:val="auto"/>
      <w:u w:val="single" w:color="7F7F7F" w:themeColor="text1" w:themeTint="80"/>
    </w:rPr>
  </w:style>
  <w:style w:type="character" w:styleId="IntenseReference">
    <w:name w:val="Intense Reference"/>
    <w:basedOn w:val="DefaultParagraphFont"/>
    <w:uiPriority w:val="32"/>
    <w:qFormat/>
    <w:rsid w:val="007175D2"/>
    <w:rPr>
      <w:b/>
      <w:bCs/>
      <w:smallCaps/>
      <w:color w:val="auto"/>
      <w:u w:val="single"/>
    </w:rPr>
  </w:style>
  <w:style w:type="character" w:styleId="BookTitle">
    <w:name w:val="Book Title"/>
    <w:basedOn w:val="DefaultParagraphFont"/>
    <w:uiPriority w:val="33"/>
    <w:qFormat/>
    <w:rsid w:val="007175D2"/>
    <w:rPr>
      <w:b/>
      <w:bCs/>
      <w:smallCaps/>
      <w:color w:val="auto"/>
    </w:rPr>
  </w:style>
  <w:style w:type="table" w:styleId="TableGridLight">
    <w:name w:val="Grid Table Light"/>
    <w:basedOn w:val="TableNormal"/>
    <w:uiPriority w:val="40"/>
    <w:rsid w:val="007175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019">
      <w:bodyDiv w:val="1"/>
      <w:marLeft w:val="0"/>
      <w:marRight w:val="0"/>
      <w:marTop w:val="0"/>
      <w:marBottom w:val="0"/>
      <w:divBdr>
        <w:top w:val="none" w:sz="0" w:space="0" w:color="auto"/>
        <w:left w:val="none" w:sz="0" w:space="0" w:color="auto"/>
        <w:bottom w:val="none" w:sz="0" w:space="0" w:color="auto"/>
        <w:right w:val="none" w:sz="0" w:space="0" w:color="auto"/>
      </w:divBdr>
    </w:div>
    <w:div w:id="27266266">
      <w:bodyDiv w:val="1"/>
      <w:marLeft w:val="0"/>
      <w:marRight w:val="0"/>
      <w:marTop w:val="0"/>
      <w:marBottom w:val="0"/>
      <w:divBdr>
        <w:top w:val="none" w:sz="0" w:space="0" w:color="auto"/>
        <w:left w:val="none" w:sz="0" w:space="0" w:color="auto"/>
        <w:bottom w:val="none" w:sz="0" w:space="0" w:color="auto"/>
        <w:right w:val="none" w:sz="0" w:space="0" w:color="auto"/>
      </w:divBdr>
      <w:divsChild>
        <w:div w:id="1721637103">
          <w:blockQuote w:val="1"/>
          <w:marLeft w:val="0"/>
          <w:marRight w:val="0"/>
          <w:marTop w:val="120"/>
          <w:marBottom w:val="120"/>
          <w:divBdr>
            <w:top w:val="none" w:sz="0" w:space="0" w:color="auto"/>
            <w:left w:val="none" w:sz="0" w:space="0" w:color="auto"/>
            <w:bottom w:val="none" w:sz="0" w:space="0" w:color="auto"/>
            <w:right w:val="none" w:sz="0" w:space="0" w:color="auto"/>
          </w:divBdr>
        </w:div>
        <w:div w:id="1591967644">
          <w:blockQuote w:val="1"/>
          <w:marLeft w:val="0"/>
          <w:marRight w:val="0"/>
          <w:marTop w:val="120"/>
          <w:marBottom w:val="120"/>
          <w:divBdr>
            <w:top w:val="none" w:sz="0" w:space="0" w:color="auto"/>
            <w:left w:val="none" w:sz="0" w:space="0" w:color="auto"/>
            <w:bottom w:val="none" w:sz="0" w:space="0" w:color="auto"/>
            <w:right w:val="none" w:sz="0" w:space="0" w:color="auto"/>
          </w:divBdr>
          <w:divsChild>
            <w:div w:id="45803848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719520357">
                  <w:blockQuote w:val="1"/>
                  <w:marLeft w:val="0"/>
                  <w:marRight w:val="0"/>
                  <w:marTop w:val="120"/>
                  <w:marBottom w:val="120"/>
                  <w:divBdr>
                    <w:top w:val="none" w:sz="0" w:space="0" w:color="auto"/>
                    <w:left w:val="none" w:sz="0" w:space="0" w:color="auto"/>
                    <w:bottom w:val="none" w:sz="0" w:space="0" w:color="auto"/>
                    <w:right w:val="none" w:sz="0" w:space="0" w:color="auto"/>
                  </w:divBdr>
                </w:div>
                <w:div w:id="174957394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446733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35786454">
      <w:bodyDiv w:val="1"/>
      <w:marLeft w:val="0"/>
      <w:marRight w:val="0"/>
      <w:marTop w:val="0"/>
      <w:marBottom w:val="0"/>
      <w:divBdr>
        <w:top w:val="none" w:sz="0" w:space="0" w:color="auto"/>
        <w:left w:val="none" w:sz="0" w:space="0" w:color="auto"/>
        <w:bottom w:val="none" w:sz="0" w:space="0" w:color="auto"/>
        <w:right w:val="none" w:sz="0" w:space="0" w:color="auto"/>
      </w:divBdr>
    </w:div>
    <w:div w:id="135732629">
      <w:bodyDiv w:val="1"/>
      <w:marLeft w:val="0"/>
      <w:marRight w:val="0"/>
      <w:marTop w:val="0"/>
      <w:marBottom w:val="0"/>
      <w:divBdr>
        <w:top w:val="none" w:sz="0" w:space="0" w:color="auto"/>
        <w:left w:val="none" w:sz="0" w:space="0" w:color="auto"/>
        <w:bottom w:val="none" w:sz="0" w:space="0" w:color="auto"/>
        <w:right w:val="none" w:sz="0" w:space="0" w:color="auto"/>
      </w:divBdr>
    </w:div>
    <w:div w:id="151338853">
      <w:bodyDiv w:val="1"/>
      <w:marLeft w:val="0"/>
      <w:marRight w:val="0"/>
      <w:marTop w:val="0"/>
      <w:marBottom w:val="0"/>
      <w:divBdr>
        <w:top w:val="none" w:sz="0" w:space="0" w:color="auto"/>
        <w:left w:val="none" w:sz="0" w:space="0" w:color="auto"/>
        <w:bottom w:val="none" w:sz="0" w:space="0" w:color="auto"/>
        <w:right w:val="none" w:sz="0" w:space="0" w:color="auto"/>
      </w:divBdr>
    </w:div>
    <w:div w:id="155390490">
      <w:bodyDiv w:val="1"/>
      <w:marLeft w:val="0"/>
      <w:marRight w:val="0"/>
      <w:marTop w:val="0"/>
      <w:marBottom w:val="0"/>
      <w:divBdr>
        <w:top w:val="none" w:sz="0" w:space="0" w:color="auto"/>
        <w:left w:val="none" w:sz="0" w:space="0" w:color="auto"/>
        <w:bottom w:val="none" w:sz="0" w:space="0" w:color="auto"/>
        <w:right w:val="none" w:sz="0" w:space="0" w:color="auto"/>
      </w:divBdr>
    </w:div>
    <w:div w:id="171998328">
      <w:bodyDiv w:val="1"/>
      <w:marLeft w:val="0"/>
      <w:marRight w:val="0"/>
      <w:marTop w:val="0"/>
      <w:marBottom w:val="0"/>
      <w:divBdr>
        <w:top w:val="none" w:sz="0" w:space="0" w:color="auto"/>
        <w:left w:val="none" w:sz="0" w:space="0" w:color="auto"/>
        <w:bottom w:val="none" w:sz="0" w:space="0" w:color="auto"/>
        <w:right w:val="none" w:sz="0" w:space="0" w:color="auto"/>
      </w:divBdr>
    </w:div>
    <w:div w:id="182984369">
      <w:bodyDiv w:val="1"/>
      <w:marLeft w:val="0"/>
      <w:marRight w:val="0"/>
      <w:marTop w:val="0"/>
      <w:marBottom w:val="0"/>
      <w:divBdr>
        <w:top w:val="none" w:sz="0" w:space="0" w:color="auto"/>
        <w:left w:val="none" w:sz="0" w:space="0" w:color="auto"/>
        <w:bottom w:val="none" w:sz="0" w:space="0" w:color="auto"/>
        <w:right w:val="none" w:sz="0" w:space="0" w:color="auto"/>
      </w:divBdr>
    </w:div>
    <w:div w:id="188951447">
      <w:bodyDiv w:val="1"/>
      <w:marLeft w:val="0"/>
      <w:marRight w:val="0"/>
      <w:marTop w:val="0"/>
      <w:marBottom w:val="0"/>
      <w:divBdr>
        <w:top w:val="none" w:sz="0" w:space="0" w:color="auto"/>
        <w:left w:val="none" w:sz="0" w:space="0" w:color="auto"/>
        <w:bottom w:val="none" w:sz="0" w:space="0" w:color="auto"/>
        <w:right w:val="none" w:sz="0" w:space="0" w:color="auto"/>
      </w:divBdr>
    </w:div>
    <w:div w:id="190999570">
      <w:bodyDiv w:val="1"/>
      <w:marLeft w:val="0"/>
      <w:marRight w:val="0"/>
      <w:marTop w:val="0"/>
      <w:marBottom w:val="0"/>
      <w:divBdr>
        <w:top w:val="none" w:sz="0" w:space="0" w:color="auto"/>
        <w:left w:val="none" w:sz="0" w:space="0" w:color="auto"/>
        <w:bottom w:val="none" w:sz="0" w:space="0" w:color="auto"/>
        <w:right w:val="none" w:sz="0" w:space="0" w:color="auto"/>
      </w:divBdr>
    </w:div>
    <w:div w:id="257061807">
      <w:bodyDiv w:val="1"/>
      <w:marLeft w:val="0"/>
      <w:marRight w:val="0"/>
      <w:marTop w:val="0"/>
      <w:marBottom w:val="0"/>
      <w:divBdr>
        <w:top w:val="none" w:sz="0" w:space="0" w:color="auto"/>
        <w:left w:val="none" w:sz="0" w:space="0" w:color="auto"/>
        <w:bottom w:val="none" w:sz="0" w:space="0" w:color="auto"/>
        <w:right w:val="none" w:sz="0" w:space="0" w:color="auto"/>
      </w:divBdr>
    </w:div>
    <w:div w:id="261959637">
      <w:bodyDiv w:val="1"/>
      <w:marLeft w:val="0"/>
      <w:marRight w:val="0"/>
      <w:marTop w:val="0"/>
      <w:marBottom w:val="0"/>
      <w:divBdr>
        <w:top w:val="none" w:sz="0" w:space="0" w:color="auto"/>
        <w:left w:val="none" w:sz="0" w:space="0" w:color="auto"/>
        <w:bottom w:val="none" w:sz="0" w:space="0" w:color="auto"/>
        <w:right w:val="none" w:sz="0" w:space="0" w:color="auto"/>
      </w:divBdr>
    </w:div>
    <w:div w:id="272900848">
      <w:bodyDiv w:val="1"/>
      <w:marLeft w:val="0"/>
      <w:marRight w:val="0"/>
      <w:marTop w:val="0"/>
      <w:marBottom w:val="0"/>
      <w:divBdr>
        <w:top w:val="none" w:sz="0" w:space="0" w:color="auto"/>
        <w:left w:val="none" w:sz="0" w:space="0" w:color="auto"/>
        <w:bottom w:val="none" w:sz="0" w:space="0" w:color="auto"/>
        <w:right w:val="none" w:sz="0" w:space="0" w:color="auto"/>
      </w:divBdr>
      <w:divsChild>
        <w:div w:id="626856708">
          <w:marLeft w:val="0"/>
          <w:marRight w:val="0"/>
          <w:marTop w:val="0"/>
          <w:marBottom w:val="0"/>
          <w:divBdr>
            <w:top w:val="none" w:sz="0" w:space="0" w:color="auto"/>
            <w:left w:val="none" w:sz="0" w:space="0" w:color="auto"/>
            <w:bottom w:val="none" w:sz="0" w:space="0" w:color="auto"/>
            <w:right w:val="none" w:sz="0" w:space="0" w:color="auto"/>
          </w:divBdr>
          <w:divsChild>
            <w:div w:id="1267347884">
              <w:marLeft w:val="-225"/>
              <w:marRight w:val="-225"/>
              <w:marTop w:val="0"/>
              <w:marBottom w:val="0"/>
              <w:divBdr>
                <w:top w:val="none" w:sz="0" w:space="0" w:color="auto"/>
                <w:left w:val="none" w:sz="0" w:space="0" w:color="auto"/>
                <w:bottom w:val="none" w:sz="0" w:space="0" w:color="auto"/>
                <w:right w:val="none" w:sz="0" w:space="0" w:color="auto"/>
              </w:divBdr>
              <w:divsChild>
                <w:div w:id="1778600613">
                  <w:marLeft w:val="0"/>
                  <w:marRight w:val="0"/>
                  <w:marTop w:val="0"/>
                  <w:marBottom w:val="0"/>
                  <w:divBdr>
                    <w:top w:val="none" w:sz="0" w:space="0" w:color="auto"/>
                    <w:left w:val="none" w:sz="0" w:space="0" w:color="auto"/>
                    <w:bottom w:val="none" w:sz="0" w:space="0" w:color="auto"/>
                    <w:right w:val="none" w:sz="0" w:space="0" w:color="auto"/>
                  </w:divBdr>
                  <w:divsChild>
                    <w:div w:id="13226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10452">
      <w:bodyDiv w:val="1"/>
      <w:marLeft w:val="0"/>
      <w:marRight w:val="0"/>
      <w:marTop w:val="0"/>
      <w:marBottom w:val="0"/>
      <w:divBdr>
        <w:top w:val="none" w:sz="0" w:space="0" w:color="auto"/>
        <w:left w:val="none" w:sz="0" w:space="0" w:color="auto"/>
        <w:bottom w:val="none" w:sz="0" w:space="0" w:color="auto"/>
        <w:right w:val="none" w:sz="0" w:space="0" w:color="auto"/>
      </w:divBdr>
      <w:divsChild>
        <w:div w:id="718944804">
          <w:marLeft w:val="0"/>
          <w:marRight w:val="0"/>
          <w:marTop w:val="0"/>
          <w:marBottom w:val="0"/>
          <w:divBdr>
            <w:top w:val="none" w:sz="0" w:space="0" w:color="auto"/>
            <w:left w:val="none" w:sz="0" w:space="0" w:color="auto"/>
            <w:bottom w:val="none" w:sz="0" w:space="0" w:color="auto"/>
            <w:right w:val="none" w:sz="0" w:space="0" w:color="auto"/>
          </w:divBdr>
          <w:divsChild>
            <w:div w:id="455103915">
              <w:marLeft w:val="0"/>
              <w:marRight w:val="0"/>
              <w:marTop w:val="0"/>
              <w:marBottom w:val="0"/>
              <w:divBdr>
                <w:top w:val="none" w:sz="0" w:space="0" w:color="auto"/>
                <w:left w:val="none" w:sz="0" w:space="0" w:color="auto"/>
                <w:bottom w:val="none" w:sz="0" w:space="0" w:color="auto"/>
                <w:right w:val="none" w:sz="0" w:space="0" w:color="auto"/>
              </w:divBdr>
              <w:divsChild>
                <w:div w:id="50931051">
                  <w:marLeft w:val="2550"/>
                  <w:marRight w:val="45"/>
                  <w:marTop w:val="0"/>
                  <w:marBottom w:val="150"/>
                  <w:divBdr>
                    <w:top w:val="none" w:sz="0" w:space="0" w:color="auto"/>
                    <w:left w:val="none" w:sz="0" w:space="0" w:color="auto"/>
                    <w:bottom w:val="none" w:sz="0" w:space="0" w:color="auto"/>
                    <w:right w:val="none" w:sz="0" w:space="0" w:color="auto"/>
                  </w:divBdr>
                  <w:divsChild>
                    <w:div w:id="1522742643">
                      <w:marLeft w:val="0"/>
                      <w:marRight w:val="0"/>
                      <w:marTop w:val="0"/>
                      <w:marBottom w:val="0"/>
                      <w:divBdr>
                        <w:top w:val="none" w:sz="0" w:space="0" w:color="auto"/>
                        <w:left w:val="none" w:sz="0" w:space="0" w:color="auto"/>
                        <w:bottom w:val="none" w:sz="0" w:space="0" w:color="auto"/>
                        <w:right w:val="none" w:sz="0" w:space="0" w:color="auto"/>
                      </w:divBdr>
                      <w:divsChild>
                        <w:div w:id="21313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92514">
      <w:bodyDiv w:val="1"/>
      <w:marLeft w:val="0"/>
      <w:marRight w:val="0"/>
      <w:marTop w:val="0"/>
      <w:marBottom w:val="0"/>
      <w:divBdr>
        <w:top w:val="none" w:sz="0" w:space="0" w:color="auto"/>
        <w:left w:val="none" w:sz="0" w:space="0" w:color="auto"/>
        <w:bottom w:val="none" w:sz="0" w:space="0" w:color="auto"/>
        <w:right w:val="none" w:sz="0" w:space="0" w:color="auto"/>
      </w:divBdr>
    </w:div>
    <w:div w:id="312173887">
      <w:bodyDiv w:val="1"/>
      <w:marLeft w:val="0"/>
      <w:marRight w:val="0"/>
      <w:marTop w:val="0"/>
      <w:marBottom w:val="0"/>
      <w:divBdr>
        <w:top w:val="none" w:sz="0" w:space="0" w:color="auto"/>
        <w:left w:val="none" w:sz="0" w:space="0" w:color="auto"/>
        <w:bottom w:val="none" w:sz="0" w:space="0" w:color="auto"/>
        <w:right w:val="none" w:sz="0" w:space="0" w:color="auto"/>
      </w:divBdr>
    </w:div>
    <w:div w:id="330837262">
      <w:bodyDiv w:val="1"/>
      <w:marLeft w:val="0"/>
      <w:marRight w:val="0"/>
      <w:marTop w:val="0"/>
      <w:marBottom w:val="0"/>
      <w:divBdr>
        <w:top w:val="none" w:sz="0" w:space="0" w:color="auto"/>
        <w:left w:val="none" w:sz="0" w:space="0" w:color="auto"/>
        <w:bottom w:val="none" w:sz="0" w:space="0" w:color="auto"/>
        <w:right w:val="none" w:sz="0" w:space="0" w:color="auto"/>
      </w:divBdr>
    </w:div>
    <w:div w:id="335494982">
      <w:bodyDiv w:val="1"/>
      <w:marLeft w:val="0"/>
      <w:marRight w:val="0"/>
      <w:marTop w:val="0"/>
      <w:marBottom w:val="0"/>
      <w:divBdr>
        <w:top w:val="none" w:sz="0" w:space="0" w:color="auto"/>
        <w:left w:val="none" w:sz="0" w:space="0" w:color="auto"/>
        <w:bottom w:val="none" w:sz="0" w:space="0" w:color="auto"/>
        <w:right w:val="none" w:sz="0" w:space="0" w:color="auto"/>
      </w:divBdr>
    </w:div>
    <w:div w:id="396516645">
      <w:bodyDiv w:val="1"/>
      <w:marLeft w:val="0"/>
      <w:marRight w:val="0"/>
      <w:marTop w:val="0"/>
      <w:marBottom w:val="0"/>
      <w:divBdr>
        <w:top w:val="none" w:sz="0" w:space="0" w:color="auto"/>
        <w:left w:val="none" w:sz="0" w:space="0" w:color="auto"/>
        <w:bottom w:val="none" w:sz="0" w:space="0" w:color="auto"/>
        <w:right w:val="none" w:sz="0" w:space="0" w:color="auto"/>
      </w:divBdr>
    </w:div>
    <w:div w:id="439494183">
      <w:bodyDiv w:val="1"/>
      <w:marLeft w:val="0"/>
      <w:marRight w:val="0"/>
      <w:marTop w:val="0"/>
      <w:marBottom w:val="0"/>
      <w:divBdr>
        <w:top w:val="none" w:sz="0" w:space="0" w:color="auto"/>
        <w:left w:val="none" w:sz="0" w:space="0" w:color="auto"/>
        <w:bottom w:val="none" w:sz="0" w:space="0" w:color="auto"/>
        <w:right w:val="none" w:sz="0" w:space="0" w:color="auto"/>
      </w:divBdr>
    </w:div>
    <w:div w:id="458113624">
      <w:bodyDiv w:val="1"/>
      <w:marLeft w:val="0"/>
      <w:marRight w:val="0"/>
      <w:marTop w:val="0"/>
      <w:marBottom w:val="0"/>
      <w:divBdr>
        <w:top w:val="none" w:sz="0" w:space="0" w:color="auto"/>
        <w:left w:val="none" w:sz="0" w:space="0" w:color="auto"/>
        <w:bottom w:val="none" w:sz="0" w:space="0" w:color="auto"/>
        <w:right w:val="none" w:sz="0" w:space="0" w:color="auto"/>
      </w:divBdr>
    </w:div>
    <w:div w:id="491534005">
      <w:bodyDiv w:val="1"/>
      <w:marLeft w:val="0"/>
      <w:marRight w:val="0"/>
      <w:marTop w:val="0"/>
      <w:marBottom w:val="0"/>
      <w:divBdr>
        <w:top w:val="none" w:sz="0" w:space="0" w:color="auto"/>
        <w:left w:val="none" w:sz="0" w:space="0" w:color="auto"/>
        <w:bottom w:val="none" w:sz="0" w:space="0" w:color="auto"/>
        <w:right w:val="none" w:sz="0" w:space="0" w:color="auto"/>
      </w:divBdr>
    </w:div>
    <w:div w:id="498889649">
      <w:bodyDiv w:val="1"/>
      <w:marLeft w:val="0"/>
      <w:marRight w:val="0"/>
      <w:marTop w:val="0"/>
      <w:marBottom w:val="0"/>
      <w:divBdr>
        <w:top w:val="none" w:sz="0" w:space="0" w:color="auto"/>
        <w:left w:val="none" w:sz="0" w:space="0" w:color="auto"/>
        <w:bottom w:val="none" w:sz="0" w:space="0" w:color="auto"/>
        <w:right w:val="none" w:sz="0" w:space="0" w:color="auto"/>
      </w:divBdr>
    </w:div>
    <w:div w:id="498890810">
      <w:bodyDiv w:val="1"/>
      <w:marLeft w:val="0"/>
      <w:marRight w:val="0"/>
      <w:marTop w:val="0"/>
      <w:marBottom w:val="0"/>
      <w:divBdr>
        <w:top w:val="none" w:sz="0" w:space="0" w:color="auto"/>
        <w:left w:val="none" w:sz="0" w:space="0" w:color="auto"/>
        <w:bottom w:val="none" w:sz="0" w:space="0" w:color="auto"/>
        <w:right w:val="none" w:sz="0" w:space="0" w:color="auto"/>
      </w:divBdr>
    </w:div>
    <w:div w:id="546648588">
      <w:bodyDiv w:val="1"/>
      <w:marLeft w:val="0"/>
      <w:marRight w:val="0"/>
      <w:marTop w:val="0"/>
      <w:marBottom w:val="0"/>
      <w:divBdr>
        <w:top w:val="none" w:sz="0" w:space="0" w:color="auto"/>
        <w:left w:val="none" w:sz="0" w:space="0" w:color="auto"/>
        <w:bottom w:val="none" w:sz="0" w:space="0" w:color="auto"/>
        <w:right w:val="none" w:sz="0" w:space="0" w:color="auto"/>
      </w:divBdr>
      <w:divsChild>
        <w:div w:id="1667787561">
          <w:marLeft w:val="0"/>
          <w:marRight w:val="0"/>
          <w:marTop w:val="0"/>
          <w:marBottom w:val="0"/>
          <w:divBdr>
            <w:top w:val="none" w:sz="0" w:space="0" w:color="auto"/>
            <w:left w:val="none" w:sz="0" w:space="0" w:color="auto"/>
            <w:bottom w:val="none" w:sz="0" w:space="0" w:color="auto"/>
            <w:right w:val="none" w:sz="0" w:space="0" w:color="auto"/>
          </w:divBdr>
          <w:divsChild>
            <w:div w:id="1853689239">
              <w:marLeft w:val="0"/>
              <w:marRight w:val="0"/>
              <w:marTop w:val="0"/>
              <w:marBottom w:val="0"/>
              <w:divBdr>
                <w:top w:val="none" w:sz="0" w:space="0" w:color="auto"/>
                <w:left w:val="none" w:sz="0" w:space="0" w:color="auto"/>
                <w:bottom w:val="none" w:sz="0" w:space="0" w:color="auto"/>
                <w:right w:val="none" w:sz="0" w:space="0" w:color="auto"/>
              </w:divBdr>
              <w:divsChild>
                <w:div w:id="1231841527">
                  <w:marLeft w:val="2550"/>
                  <w:marRight w:val="45"/>
                  <w:marTop w:val="0"/>
                  <w:marBottom w:val="150"/>
                  <w:divBdr>
                    <w:top w:val="none" w:sz="0" w:space="0" w:color="auto"/>
                    <w:left w:val="none" w:sz="0" w:space="0" w:color="auto"/>
                    <w:bottom w:val="none" w:sz="0" w:space="0" w:color="auto"/>
                    <w:right w:val="none" w:sz="0" w:space="0" w:color="auto"/>
                  </w:divBdr>
                  <w:divsChild>
                    <w:div w:id="326591457">
                      <w:marLeft w:val="0"/>
                      <w:marRight w:val="0"/>
                      <w:marTop w:val="0"/>
                      <w:marBottom w:val="0"/>
                      <w:divBdr>
                        <w:top w:val="none" w:sz="0" w:space="0" w:color="auto"/>
                        <w:left w:val="none" w:sz="0" w:space="0" w:color="auto"/>
                        <w:bottom w:val="none" w:sz="0" w:space="0" w:color="auto"/>
                        <w:right w:val="none" w:sz="0" w:space="0" w:color="auto"/>
                      </w:divBdr>
                      <w:divsChild>
                        <w:div w:id="626013955">
                          <w:marLeft w:val="0"/>
                          <w:marRight w:val="0"/>
                          <w:marTop w:val="0"/>
                          <w:marBottom w:val="0"/>
                          <w:divBdr>
                            <w:top w:val="none" w:sz="0" w:space="0" w:color="auto"/>
                            <w:left w:val="none" w:sz="0" w:space="0" w:color="auto"/>
                            <w:bottom w:val="none" w:sz="0" w:space="0" w:color="auto"/>
                            <w:right w:val="none" w:sz="0" w:space="0" w:color="auto"/>
                          </w:divBdr>
                          <w:divsChild>
                            <w:div w:id="162931526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863760">
      <w:bodyDiv w:val="1"/>
      <w:marLeft w:val="0"/>
      <w:marRight w:val="0"/>
      <w:marTop w:val="0"/>
      <w:marBottom w:val="0"/>
      <w:divBdr>
        <w:top w:val="none" w:sz="0" w:space="0" w:color="auto"/>
        <w:left w:val="none" w:sz="0" w:space="0" w:color="auto"/>
        <w:bottom w:val="none" w:sz="0" w:space="0" w:color="auto"/>
        <w:right w:val="none" w:sz="0" w:space="0" w:color="auto"/>
      </w:divBdr>
    </w:div>
    <w:div w:id="608701189">
      <w:bodyDiv w:val="1"/>
      <w:marLeft w:val="0"/>
      <w:marRight w:val="0"/>
      <w:marTop w:val="0"/>
      <w:marBottom w:val="0"/>
      <w:divBdr>
        <w:top w:val="none" w:sz="0" w:space="0" w:color="auto"/>
        <w:left w:val="none" w:sz="0" w:space="0" w:color="auto"/>
        <w:bottom w:val="none" w:sz="0" w:space="0" w:color="auto"/>
        <w:right w:val="none" w:sz="0" w:space="0" w:color="auto"/>
      </w:divBdr>
    </w:div>
    <w:div w:id="620914944">
      <w:bodyDiv w:val="1"/>
      <w:marLeft w:val="0"/>
      <w:marRight w:val="0"/>
      <w:marTop w:val="0"/>
      <w:marBottom w:val="0"/>
      <w:divBdr>
        <w:top w:val="none" w:sz="0" w:space="0" w:color="auto"/>
        <w:left w:val="none" w:sz="0" w:space="0" w:color="auto"/>
        <w:bottom w:val="none" w:sz="0" w:space="0" w:color="auto"/>
        <w:right w:val="none" w:sz="0" w:space="0" w:color="auto"/>
      </w:divBdr>
    </w:div>
    <w:div w:id="634720385">
      <w:bodyDiv w:val="1"/>
      <w:marLeft w:val="0"/>
      <w:marRight w:val="0"/>
      <w:marTop w:val="0"/>
      <w:marBottom w:val="0"/>
      <w:divBdr>
        <w:top w:val="none" w:sz="0" w:space="0" w:color="auto"/>
        <w:left w:val="none" w:sz="0" w:space="0" w:color="auto"/>
        <w:bottom w:val="none" w:sz="0" w:space="0" w:color="auto"/>
        <w:right w:val="none" w:sz="0" w:space="0" w:color="auto"/>
      </w:divBdr>
    </w:div>
    <w:div w:id="641426285">
      <w:bodyDiv w:val="1"/>
      <w:marLeft w:val="0"/>
      <w:marRight w:val="0"/>
      <w:marTop w:val="0"/>
      <w:marBottom w:val="0"/>
      <w:divBdr>
        <w:top w:val="none" w:sz="0" w:space="0" w:color="auto"/>
        <w:left w:val="none" w:sz="0" w:space="0" w:color="auto"/>
        <w:bottom w:val="none" w:sz="0" w:space="0" w:color="auto"/>
        <w:right w:val="none" w:sz="0" w:space="0" w:color="auto"/>
      </w:divBdr>
      <w:divsChild>
        <w:div w:id="1123575678">
          <w:blockQuote w:val="1"/>
          <w:marLeft w:val="0"/>
          <w:marRight w:val="0"/>
          <w:marTop w:val="120"/>
          <w:marBottom w:val="120"/>
          <w:divBdr>
            <w:top w:val="none" w:sz="0" w:space="0" w:color="auto"/>
            <w:left w:val="none" w:sz="0" w:space="0" w:color="auto"/>
            <w:bottom w:val="none" w:sz="0" w:space="0" w:color="auto"/>
            <w:right w:val="none" w:sz="0" w:space="0" w:color="auto"/>
          </w:divBdr>
        </w:div>
        <w:div w:id="2113744296">
          <w:blockQuote w:val="1"/>
          <w:marLeft w:val="0"/>
          <w:marRight w:val="0"/>
          <w:marTop w:val="120"/>
          <w:marBottom w:val="120"/>
          <w:divBdr>
            <w:top w:val="none" w:sz="0" w:space="0" w:color="auto"/>
            <w:left w:val="none" w:sz="0" w:space="0" w:color="auto"/>
            <w:bottom w:val="none" w:sz="0" w:space="0" w:color="auto"/>
            <w:right w:val="none" w:sz="0" w:space="0" w:color="auto"/>
          </w:divBdr>
          <w:divsChild>
            <w:div w:id="89778825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03705851">
                  <w:blockQuote w:val="1"/>
                  <w:marLeft w:val="0"/>
                  <w:marRight w:val="0"/>
                  <w:marTop w:val="120"/>
                  <w:marBottom w:val="120"/>
                  <w:divBdr>
                    <w:top w:val="none" w:sz="0" w:space="0" w:color="auto"/>
                    <w:left w:val="none" w:sz="0" w:space="0" w:color="auto"/>
                    <w:bottom w:val="none" w:sz="0" w:space="0" w:color="auto"/>
                    <w:right w:val="none" w:sz="0" w:space="0" w:color="auto"/>
                  </w:divBdr>
                </w:div>
                <w:div w:id="150536592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5278893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645401090">
      <w:bodyDiv w:val="1"/>
      <w:marLeft w:val="0"/>
      <w:marRight w:val="0"/>
      <w:marTop w:val="0"/>
      <w:marBottom w:val="0"/>
      <w:divBdr>
        <w:top w:val="none" w:sz="0" w:space="0" w:color="auto"/>
        <w:left w:val="none" w:sz="0" w:space="0" w:color="auto"/>
        <w:bottom w:val="none" w:sz="0" w:space="0" w:color="auto"/>
        <w:right w:val="none" w:sz="0" w:space="0" w:color="auto"/>
      </w:divBdr>
    </w:div>
    <w:div w:id="647902837">
      <w:bodyDiv w:val="1"/>
      <w:marLeft w:val="0"/>
      <w:marRight w:val="0"/>
      <w:marTop w:val="0"/>
      <w:marBottom w:val="0"/>
      <w:divBdr>
        <w:top w:val="none" w:sz="0" w:space="0" w:color="auto"/>
        <w:left w:val="none" w:sz="0" w:space="0" w:color="auto"/>
        <w:bottom w:val="none" w:sz="0" w:space="0" w:color="auto"/>
        <w:right w:val="none" w:sz="0" w:space="0" w:color="auto"/>
      </w:divBdr>
    </w:div>
    <w:div w:id="658532654">
      <w:bodyDiv w:val="1"/>
      <w:marLeft w:val="0"/>
      <w:marRight w:val="0"/>
      <w:marTop w:val="0"/>
      <w:marBottom w:val="0"/>
      <w:divBdr>
        <w:top w:val="none" w:sz="0" w:space="0" w:color="auto"/>
        <w:left w:val="none" w:sz="0" w:space="0" w:color="auto"/>
        <w:bottom w:val="none" w:sz="0" w:space="0" w:color="auto"/>
        <w:right w:val="none" w:sz="0" w:space="0" w:color="auto"/>
      </w:divBdr>
    </w:div>
    <w:div w:id="663973716">
      <w:bodyDiv w:val="1"/>
      <w:marLeft w:val="0"/>
      <w:marRight w:val="0"/>
      <w:marTop w:val="0"/>
      <w:marBottom w:val="0"/>
      <w:divBdr>
        <w:top w:val="none" w:sz="0" w:space="0" w:color="auto"/>
        <w:left w:val="none" w:sz="0" w:space="0" w:color="auto"/>
        <w:bottom w:val="none" w:sz="0" w:space="0" w:color="auto"/>
        <w:right w:val="none" w:sz="0" w:space="0" w:color="auto"/>
      </w:divBdr>
    </w:div>
    <w:div w:id="677393361">
      <w:bodyDiv w:val="1"/>
      <w:marLeft w:val="0"/>
      <w:marRight w:val="0"/>
      <w:marTop w:val="0"/>
      <w:marBottom w:val="0"/>
      <w:divBdr>
        <w:top w:val="none" w:sz="0" w:space="0" w:color="auto"/>
        <w:left w:val="none" w:sz="0" w:space="0" w:color="auto"/>
        <w:bottom w:val="none" w:sz="0" w:space="0" w:color="auto"/>
        <w:right w:val="none" w:sz="0" w:space="0" w:color="auto"/>
      </w:divBdr>
    </w:div>
    <w:div w:id="757021786">
      <w:bodyDiv w:val="1"/>
      <w:marLeft w:val="0"/>
      <w:marRight w:val="0"/>
      <w:marTop w:val="0"/>
      <w:marBottom w:val="0"/>
      <w:divBdr>
        <w:top w:val="none" w:sz="0" w:space="0" w:color="auto"/>
        <w:left w:val="none" w:sz="0" w:space="0" w:color="auto"/>
        <w:bottom w:val="none" w:sz="0" w:space="0" w:color="auto"/>
        <w:right w:val="none" w:sz="0" w:space="0" w:color="auto"/>
      </w:divBdr>
    </w:div>
    <w:div w:id="784038003">
      <w:bodyDiv w:val="1"/>
      <w:marLeft w:val="0"/>
      <w:marRight w:val="0"/>
      <w:marTop w:val="0"/>
      <w:marBottom w:val="0"/>
      <w:divBdr>
        <w:top w:val="none" w:sz="0" w:space="0" w:color="auto"/>
        <w:left w:val="none" w:sz="0" w:space="0" w:color="auto"/>
        <w:bottom w:val="none" w:sz="0" w:space="0" w:color="auto"/>
        <w:right w:val="none" w:sz="0" w:space="0" w:color="auto"/>
      </w:divBdr>
    </w:div>
    <w:div w:id="785390438">
      <w:bodyDiv w:val="1"/>
      <w:marLeft w:val="0"/>
      <w:marRight w:val="0"/>
      <w:marTop w:val="0"/>
      <w:marBottom w:val="0"/>
      <w:divBdr>
        <w:top w:val="none" w:sz="0" w:space="0" w:color="auto"/>
        <w:left w:val="none" w:sz="0" w:space="0" w:color="auto"/>
        <w:bottom w:val="none" w:sz="0" w:space="0" w:color="auto"/>
        <w:right w:val="none" w:sz="0" w:space="0" w:color="auto"/>
      </w:divBdr>
    </w:div>
    <w:div w:id="825585826">
      <w:bodyDiv w:val="1"/>
      <w:marLeft w:val="0"/>
      <w:marRight w:val="0"/>
      <w:marTop w:val="0"/>
      <w:marBottom w:val="0"/>
      <w:divBdr>
        <w:top w:val="none" w:sz="0" w:space="0" w:color="auto"/>
        <w:left w:val="none" w:sz="0" w:space="0" w:color="auto"/>
        <w:bottom w:val="none" w:sz="0" w:space="0" w:color="auto"/>
        <w:right w:val="none" w:sz="0" w:space="0" w:color="auto"/>
      </w:divBdr>
    </w:div>
    <w:div w:id="859050346">
      <w:bodyDiv w:val="1"/>
      <w:marLeft w:val="0"/>
      <w:marRight w:val="0"/>
      <w:marTop w:val="0"/>
      <w:marBottom w:val="0"/>
      <w:divBdr>
        <w:top w:val="none" w:sz="0" w:space="0" w:color="auto"/>
        <w:left w:val="none" w:sz="0" w:space="0" w:color="auto"/>
        <w:bottom w:val="none" w:sz="0" w:space="0" w:color="auto"/>
        <w:right w:val="none" w:sz="0" w:space="0" w:color="auto"/>
      </w:divBdr>
    </w:div>
    <w:div w:id="953287065">
      <w:bodyDiv w:val="1"/>
      <w:marLeft w:val="0"/>
      <w:marRight w:val="0"/>
      <w:marTop w:val="0"/>
      <w:marBottom w:val="0"/>
      <w:divBdr>
        <w:top w:val="none" w:sz="0" w:space="0" w:color="auto"/>
        <w:left w:val="none" w:sz="0" w:space="0" w:color="auto"/>
        <w:bottom w:val="none" w:sz="0" w:space="0" w:color="auto"/>
        <w:right w:val="none" w:sz="0" w:space="0" w:color="auto"/>
      </w:divBdr>
    </w:div>
    <w:div w:id="1024482625">
      <w:bodyDiv w:val="1"/>
      <w:marLeft w:val="0"/>
      <w:marRight w:val="0"/>
      <w:marTop w:val="0"/>
      <w:marBottom w:val="0"/>
      <w:divBdr>
        <w:top w:val="none" w:sz="0" w:space="0" w:color="auto"/>
        <w:left w:val="none" w:sz="0" w:space="0" w:color="auto"/>
        <w:bottom w:val="none" w:sz="0" w:space="0" w:color="auto"/>
        <w:right w:val="none" w:sz="0" w:space="0" w:color="auto"/>
      </w:divBdr>
    </w:div>
    <w:div w:id="1055275666">
      <w:bodyDiv w:val="1"/>
      <w:marLeft w:val="0"/>
      <w:marRight w:val="0"/>
      <w:marTop w:val="0"/>
      <w:marBottom w:val="0"/>
      <w:divBdr>
        <w:top w:val="none" w:sz="0" w:space="0" w:color="auto"/>
        <w:left w:val="none" w:sz="0" w:space="0" w:color="auto"/>
        <w:bottom w:val="none" w:sz="0" w:space="0" w:color="auto"/>
        <w:right w:val="none" w:sz="0" w:space="0" w:color="auto"/>
      </w:divBdr>
      <w:divsChild>
        <w:div w:id="1289894190">
          <w:blockQuote w:val="1"/>
          <w:marLeft w:val="0"/>
          <w:marRight w:val="0"/>
          <w:marTop w:val="120"/>
          <w:marBottom w:val="120"/>
          <w:divBdr>
            <w:top w:val="none" w:sz="0" w:space="0" w:color="auto"/>
            <w:left w:val="none" w:sz="0" w:space="0" w:color="auto"/>
            <w:bottom w:val="none" w:sz="0" w:space="0" w:color="auto"/>
            <w:right w:val="none" w:sz="0" w:space="0" w:color="auto"/>
          </w:divBdr>
        </w:div>
        <w:div w:id="1892107341">
          <w:blockQuote w:val="1"/>
          <w:marLeft w:val="0"/>
          <w:marRight w:val="0"/>
          <w:marTop w:val="120"/>
          <w:marBottom w:val="120"/>
          <w:divBdr>
            <w:top w:val="none" w:sz="0" w:space="0" w:color="auto"/>
            <w:left w:val="none" w:sz="0" w:space="0" w:color="auto"/>
            <w:bottom w:val="none" w:sz="0" w:space="0" w:color="auto"/>
            <w:right w:val="none" w:sz="0" w:space="0" w:color="auto"/>
          </w:divBdr>
          <w:divsChild>
            <w:div w:id="41597867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536235122">
                  <w:blockQuote w:val="1"/>
                  <w:marLeft w:val="0"/>
                  <w:marRight w:val="0"/>
                  <w:marTop w:val="120"/>
                  <w:marBottom w:val="120"/>
                  <w:divBdr>
                    <w:top w:val="none" w:sz="0" w:space="0" w:color="auto"/>
                    <w:left w:val="none" w:sz="0" w:space="0" w:color="auto"/>
                    <w:bottom w:val="none" w:sz="0" w:space="0" w:color="auto"/>
                    <w:right w:val="none" w:sz="0" w:space="0" w:color="auto"/>
                  </w:divBdr>
                </w:div>
                <w:div w:id="137731624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897657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087462528">
      <w:bodyDiv w:val="1"/>
      <w:marLeft w:val="0"/>
      <w:marRight w:val="0"/>
      <w:marTop w:val="0"/>
      <w:marBottom w:val="0"/>
      <w:divBdr>
        <w:top w:val="none" w:sz="0" w:space="0" w:color="auto"/>
        <w:left w:val="none" w:sz="0" w:space="0" w:color="auto"/>
        <w:bottom w:val="none" w:sz="0" w:space="0" w:color="auto"/>
        <w:right w:val="none" w:sz="0" w:space="0" w:color="auto"/>
      </w:divBdr>
    </w:div>
    <w:div w:id="1155217477">
      <w:bodyDiv w:val="1"/>
      <w:marLeft w:val="0"/>
      <w:marRight w:val="0"/>
      <w:marTop w:val="0"/>
      <w:marBottom w:val="0"/>
      <w:divBdr>
        <w:top w:val="none" w:sz="0" w:space="0" w:color="auto"/>
        <w:left w:val="none" w:sz="0" w:space="0" w:color="auto"/>
        <w:bottom w:val="none" w:sz="0" w:space="0" w:color="auto"/>
        <w:right w:val="none" w:sz="0" w:space="0" w:color="auto"/>
      </w:divBdr>
    </w:div>
    <w:div w:id="1157916397">
      <w:bodyDiv w:val="1"/>
      <w:marLeft w:val="0"/>
      <w:marRight w:val="0"/>
      <w:marTop w:val="0"/>
      <w:marBottom w:val="0"/>
      <w:divBdr>
        <w:top w:val="none" w:sz="0" w:space="0" w:color="auto"/>
        <w:left w:val="none" w:sz="0" w:space="0" w:color="auto"/>
        <w:bottom w:val="none" w:sz="0" w:space="0" w:color="auto"/>
        <w:right w:val="none" w:sz="0" w:space="0" w:color="auto"/>
      </w:divBdr>
    </w:div>
    <w:div w:id="1190803612">
      <w:bodyDiv w:val="1"/>
      <w:marLeft w:val="0"/>
      <w:marRight w:val="0"/>
      <w:marTop w:val="0"/>
      <w:marBottom w:val="0"/>
      <w:divBdr>
        <w:top w:val="none" w:sz="0" w:space="0" w:color="auto"/>
        <w:left w:val="none" w:sz="0" w:space="0" w:color="auto"/>
        <w:bottom w:val="none" w:sz="0" w:space="0" w:color="auto"/>
        <w:right w:val="none" w:sz="0" w:space="0" w:color="auto"/>
      </w:divBdr>
    </w:div>
    <w:div w:id="1218974195">
      <w:bodyDiv w:val="1"/>
      <w:marLeft w:val="0"/>
      <w:marRight w:val="0"/>
      <w:marTop w:val="0"/>
      <w:marBottom w:val="0"/>
      <w:divBdr>
        <w:top w:val="none" w:sz="0" w:space="0" w:color="auto"/>
        <w:left w:val="none" w:sz="0" w:space="0" w:color="auto"/>
        <w:bottom w:val="none" w:sz="0" w:space="0" w:color="auto"/>
        <w:right w:val="none" w:sz="0" w:space="0" w:color="auto"/>
      </w:divBdr>
    </w:div>
    <w:div w:id="1229069339">
      <w:bodyDiv w:val="1"/>
      <w:marLeft w:val="0"/>
      <w:marRight w:val="0"/>
      <w:marTop w:val="0"/>
      <w:marBottom w:val="0"/>
      <w:divBdr>
        <w:top w:val="none" w:sz="0" w:space="0" w:color="auto"/>
        <w:left w:val="none" w:sz="0" w:space="0" w:color="auto"/>
        <w:bottom w:val="none" w:sz="0" w:space="0" w:color="auto"/>
        <w:right w:val="none" w:sz="0" w:space="0" w:color="auto"/>
      </w:divBdr>
    </w:div>
    <w:div w:id="1256551864">
      <w:bodyDiv w:val="1"/>
      <w:marLeft w:val="0"/>
      <w:marRight w:val="0"/>
      <w:marTop w:val="0"/>
      <w:marBottom w:val="0"/>
      <w:divBdr>
        <w:top w:val="none" w:sz="0" w:space="0" w:color="auto"/>
        <w:left w:val="none" w:sz="0" w:space="0" w:color="auto"/>
        <w:bottom w:val="none" w:sz="0" w:space="0" w:color="auto"/>
        <w:right w:val="none" w:sz="0" w:space="0" w:color="auto"/>
      </w:divBdr>
    </w:div>
    <w:div w:id="1264873577">
      <w:bodyDiv w:val="1"/>
      <w:marLeft w:val="0"/>
      <w:marRight w:val="0"/>
      <w:marTop w:val="0"/>
      <w:marBottom w:val="0"/>
      <w:divBdr>
        <w:top w:val="none" w:sz="0" w:space="0" w:color="auto"/>
        <w:left w:val="none" w:sz="0" w:space="0" w:color="auto"/>
        <w:bottom w:val="none" w:sz="0" w:space="0" w:color="auto"/>
        <w:right w:val="none" w:sz="0" w:space="0" w:color="auto"/>
      </w:divBdr>
    </w:div>
    <w:div w:id="1320962954">
      <w:bodyDiv w:val="1"/>
      <w:marLeft w:val="0"/>
      <w:marRight w:val="0"/>
      <w:marTop w:val="0"/>
      <w:marBottom w:val="0"/>
      <w:divBdr>
        <w:top w:val="none" w:sz="0" w:space="0" w:color="auto"/>
        <w:left w:val="none" w:sz="0" w:space="0" w:color="auto"/>
        <w:bottom w:val="none" w:sz="0" w:space="0" w:color="auto"/>
        <w:right w:val="none" w:sz="0" w:space="0" w:color="auto"/>
      </w:divBdr>
    </w:div>
    <w:div w:id="1391029147">
      <w:bodyDiv w:val="1"/>
      <w:marLeft w:val="0"/>
      <w:marRight w:val="0"/>
      <w:marTop w:val="0"/>
      <w:marBottom w:val="0"/>
      <w:divBdr>
        <w:top w:val="none" w:sz="0" w:space="0" w:color="auto"/>
        <w:left w:val="none" w:sz="0" w:space="0" w:color="auto"/>
        <w:bottom w:val="none" w:sz="0" w:space="0" w:color="auto"/>
        <w:right w:val="none" w:sz="0" w:space="0" w:color="auto"/>
      </w:divBdr>
    </w:div>
    <w:div w:id="1451972965">
      <w:bodyDiv w:val="1"/>
      <w:marLeft w:val="0"/>
      <w:marRight w:val="0"/>
      <w:marTop w:val="0"/>
      <w:marBottom w:val="0"/>
      <w:divBdr>
        <w:top w:val="none" w:sz="0" w:space="0" w:color="auto"/>
        <w:left w:val="none" w:sz="0" w:space="0" w:color="auto"/>
        <w:bottom w:val="none" w:sz="0" w:space="0" w:color="auto"/>
        <w:right w:val="none" w:sz="0" w:space="0" w:color="auto"/>
      </w:divBdr>
    </w:div>
    <w:div w:id="1529564559">
      <w:bodyDiv w:val="1"/>
      <w:marLeft w:val="0"/>
      <w:marRight w:val="0"/>
      <w:marTop w:val="0"/>
      <w:marBottom w:val="0"/>
      <w:divBdr>
        <w:top w:val="none" w:sz="0" w:space="0" w:color="auto"/>
        <w:left w:val="none" w:sz="0" w:space="0" w:color="auto"/>
        <w:bottom w:val="none" w:sz="0" w:space="0" w:color="auto"/>
        <w:right w:val="none" w:sz="0" w:space="0" w:color="auto"/>
      </w:divBdr>
    </w:div>
    <w:div w:id="1536653967">
      <w:bodyDiv w:val="1"/>
      <w:marLeft w:val="0"/>
      <w:marRight w:val="0"/>
      <w:marTop w:val="0"/>
      <w:marBottom w:val="0"/>
      <w:divBdr>
        <w:top w:val="none" w:sz="0" w:space="0" w:color="auto"/>
        <w:left w:val="none" w:sz="0" w:space="0" w:color="auto"/>
        <w:bottom w:val="none" w:sz="0" w:space="0" w:color="auto"/>
        <w:right w:val="none" w:sz="0" w:space="0" w:color="auto"/>
      </w:divBdr>
    </w:div>
    <w:div w:id="1561089828">
      <w:bodyDiv w:val="1"/>
      <w:marLeft w:val="0"/>
      <w:marRight w:val="0"/>
      <w:marTop w:val="0"/>
      <w:marBottom w:val="0"/>
      <w:divBdr>
        <w:top w:val="none" w:sz="0" w:space="0" w:color="auto"/>
        <w:left w:val="none" w:sz="0" w:space="0" w:color="auto"/>
        <w:bottom w:val="none" w:sz="0" w:space="0" w:color="auto"/>
        <w:right w:val="none" w:sz="0" w:space="0" w:color="auto"/>
      </w:divBdr>
      <w:divsChild>
        <w:div w:id="362099808">
          <w:marLeft w:val="0"/>
          <w:marRight w:val="0"/>
          <w:marTop w:val="0"/>
          <w:marBottom w:val="0"/>
          <w:divBdr>
            <w:top w:val="none" w:sz="0" w:space="0" w:color="auto"/>
            <w:left w:val="none" w:sz="0" w:space="0" w:color="auto"/>
            <w:bottom w:val="none" w:sz="0" w:space="0" w:color="auto"/>
            <w:right w:val="none" w:sz="0" w:space="0" w:color="auto"/>
          </w:divBdr>
          <w:divsChild>
            <w:div w:id="152527326">
              <w:marLeft w:val="0"/>
              <w:marRight w:val="0"/>
              <w:marTop w:val="0"/>
              <w:marBottom w:val="0"/>
              <w:divBdr>
                <w:top w:val="none" w:sz="0" w:space="0" w:color="auto"/>
                <w:left w:val="none" w:sz="0" w:space="0" w:color="auto"/>
                <w:bottom w:val="none" w:sz="0" w:space="0" w:color="auto"/>
                <w:right w:val="none" w:sz="0" w:space="0" w:color="auto"/>
              </w:divBdr>
              <w:divsChild>
                <w:div w:id="1074668750">
                  <w:marLeft w:val="2550"/>
                  <w:marRight w:val="45"/>
                  <w:marTop w:val="0"/>
                  <w:marBottom w:val="150"/>
                  <w:divBdr>
                    <w:top w:val="none" w:sz="0" w:space="0" w:color="auto"/>
                    <w:left w:val="none" w:sz="0" w:space="0" w:color="auto"/>
                    <w:bottom w:val="none" w:sz="0" w:space="0" w:color="auto"/>
                    <w:right w:val="none" w:sz="0" w:space="0" w:color="auto"/>
                  </w:divBdr>
                  <w:divsChild>
                    <w:div w:id="6182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55926">
      <w:bodyDiv w:val="1"/>
      <w:marLeft w:val="0"/>
      <w:marRight w:val="0"/>
      <w:marTop w:val="0"/>
      <w:marBottom w:val="0"/>
      <w:divBdr>
        <w:top w:val="none" w:sz="0" w:space="0" w:color="auto"/>
        <w:left w:val="none" w:sz="0" w:space="0" w:color="auto"/>
        <w:bottom w:val="none" w:sz="0" w:space="0" w:color="auto"/>
        <w:right w:val="none" w:sz="0" w:space="0" w:color="auto"/>
      </w:divBdr>
    </w:div>
    <w:div w:id="1637179477">
      <w:bodyDiv w:val="1"/>
      <w:marLeft w:val="0"/>
      <w:marRight w:val="0"/>
      <w:marTop w:val="0"/>
      <w:marBottom w:val="0"/>
      <w:divBdr>
        <w:top w:val="none" w:sz="0" w:space="0" w:color="auto"/>
        <w:left w:val="none" w:sz="0" w:space="0" w:color="auto"/>
        <w:bottom w:val="none" w:sz="0" w:space="0" w:color="auto"/>
        <w:right w:val="none" w:sz="0" w:space="0" w:color="auto"/>
      </w:divBdr>
    </w:div>
    <w:div w:id="1651013591">
      <w:bodyDiv w:val="1"/>
      <w:marLeft w:val="0"/>
      <w:marRight w:val="0"/>
      <w:marTop w:val="0"/>
      <w:marBottom w:val="0"/>
      <w:divBdr>
        <w:top w:val="none" w:sz="0" w:space="0" w:color="auto"/>
        <w:left w:val="none" w:sz="0" w:space="0" w:color="auto"/>
        <w:bottom w:val="none" w:sz="0" w:space="0" w:color="auto"/>
        <w:right w:val="none" w:sz="0" w:space="0" w:color="auto"/>
      </w:divBdr>
    </w:div>
    <w:div w:id="1667629388">
      <w:bodyDiv w:val="1"/>
      <w:marLeft w:val="0"/>
      <w:marRight w:val="0"/>
      <w:marTop w:val="0"/>
      <w:marBottom w:val="0"/>
      <w:divBdr>
        <w:top w:val="none" w:sz="0" w:space="0" w:color="auto"/>
        <w:left w:val="none" w:sz="0" w:space="0" w:color="auto"/>
        <w:bottom w:val="none" w:sz="0" w:space="0" w:color="auto"/>
        <w:right w:val="none" w:sz="0" w:space="0" w:color="auto"/>
      </w:divBdr>
      <w:divsChild>
        <w:div w:id="934825017">
          <w:blockQuote w:val="1"/>
          <w:marLeft w:val="0"/>
          <w:marRight w:val="0"/>
          <w:marTop w:val="120"/>
          <w:marBottom w:val="120"/>
          <w:divBdr>
            <w:top w:val="none" w:sz="0" w:space="0" w:color="auto"/>
            <w:left w:val="none" w:sz="0" w:space="0" w:color="auto"/>
            <w:bottom w:val="none" w:sz="0" w:space="0" w:color="auto"/>
            <w:right w:val="none" w:sz="0" w:space="0" w:color="auto"/>
          </w:divBdr>
        </w:div>
        <w:div w:id="1624462812">
          <w:blockQuote w:val="1"/>
          <w:marLeft w:val="0"/>
          <w:marRight w:val="0"/>
          <w:marTop w:val="120"/>
          <w:marBottom w:val="120"/>
          <w:divBdr>
            <w:top w:val="none" w:sz="0" w:space="0" w:color="auto"/>
            <w:left w:val="none" w:sz="0" w:space="0" w:color="auto"/>
            <w:bottom w:val="none" w:sz="0" w:space="0" w:color="auto"/>
            <w:right w:val="none" w:sz="0" w:space="0" w:color="auto"/>
          </w:divBdr>
          <w:divsChild>
            <w:div w:id="125640317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318532048">
                  <w:blockQuote w:val="1"/>
                  <w:marLeft w:val="0"/>
                  <w:marRight w:val="0"/>
                  <w:marTop w:val="120"/>
                  <w:marBottom w:val="120"/>
                  <w:divBdr>
                    <w:top w:val="none" w:sz="0" w:space="0" w:color="auto"/>
                    <w:left w:val="none" w:sz="0" w:space="0" w:color="auto"/>
                    <w:bottom w:val="none" w:sz="0" w:space="0" w:color="auto"/>
                    <w:right w:val="none" w:sz="0" w:space="0" w:color="auto"/>
                  </w:divBdr>
                </w:div>
                <w:div w:id="10239441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56418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669405568">
      <w:bodyDiv w:val="1"/>
      <w:marLeft w:val="0"/>
      <w:marRight w:val="0"/>
      <w:marTop w:val="0"/>
      <w:marBottom w:val="0"/>
      <w:divBdr>
        <w:top w:val="none" w:sz="0" w:space="0" w:color="auto"/>
        <w:left w:val="none" w:sz="0" w:space="0" w:color="auto"/>
        <w:bottom w:val="none" w:sz="0" w:space="0" w:color="auto"/>
        <w:right w:val="none" w:sz="0" w:space="0" w:color="auto"/>
      </w:divBdr>
    </w:div>
    <w:div w:id="1674455712">
      <w:bodyDiv w:val="1"/>
      <w:marLeft w:val="0"/>
      <w:marRight w:val="0"/>
      <w:marTop w:val="0"/>
      <w:marBottom w:val="0"/>
      <w:divBdr>
        <w:top w:val="none" w:sz="0" w:space="0" w:color="auto"/>
        <w:left w:val="none" w:sz="0" w:space="0" w:color="auto"/>
        <w:bottom w:val="none" w:sz="0" w:space="0" w:color="auto"/>
        <w:right w:val="none" w:sz="0" w:space="0" w:color="auto"/>
      </w:divBdr>
    </w:div>
    <w:div w:id="1683704622">
      <w:bodyDiv w:val="1"/>
      <w:marLeft w:val="0"/>
      <w:marRight w:val="0"/>
      <w:marTop w:val="0"/>
      <w:marBottom w:val="0"/>
      <w:divBdr>
        <w:top w:val="none" w:sz="0" w:space="0" w:color="auto"/>
        <w:left w:val="none" w:sz="0" w:space="0" w:color="auto"/>
        <w:bottom w:val="none" w:sz="0" w:space="0" w:color="auto"/>
        <w:right w:val="none" w:sz="0" w:space="0" w:color="auto"/>
      </w:divBdr>
    </w:div>
    <w:div w:id="1737971283">
      <w:bodyDiv w:val="1"/>
      <w:marLeft w:val="0"/>
      <w:marRight w:val="0"/>
      <w:marTop w:val="0"/>
      <w:marBottom w:val="0"/>
      <w:divBdr>
        <w:top w:val="none" w:sz="0" w:space="0" w:color="auto"/>
        <w:left w:val="none" w:sz="0" w:space="0" w:color="auto"/>
        <w:bottom w:val="none" w:sz="0" w:space="0" w:color="auto"/>
        <w:right w:val="none" w:sz="0" w:space="0" w:color="auto"/>
      </w:divBdr>
      <w:divsChild>
        <w:div w:id="1894462123">
          <w:marLeft w:val="0"/>
          <w:marRight w:val="0"/>
          <w:marTop w:val="0"/>
          <w:marBottom w:val="0"/>
          <w:divBdr>
            <w:top w:val="none" w:sz="0" w:space="0" w:color="auto"/>
            <w:left w:val="none" w:sz="0" w:space="0" w:color="auto"/>
            <w:bottom w:val="none" w:sz="0" w:space="0" w:color="auto"/>
            <w:right w:val="none" w:sz="0" w:space="0" w:color="auto"/>
          </w:divBdr>
          <w:divsChild>
            <w:div w:id="1787583497">
              <w:marLeft w:val="0"/>
              <w:marRight w:val="0"/>
              <w:marTop w:val="0"/>
              <w:marBottom w:val="0"/>
              <w:divBdr>
                <w:top w:val="none" w:sz="0" w:space="0" w:color="auto"/>
                <w:left w:val="none" w:sz="0" w:space="0" w:color="auto"/>
                <w:bottom w:val="none" w:sz="0" w:space="0" w:color="auto"/>
                <w:right w:val="none" w:sz="0" w:space="0" w:color="auto"/>
              </w:divBdr>
              <w:divsChild>
                <w:div w:id="786967414">
                  <w:marLeft w:val="1958"/>
                  <w:marRight w:val="35"/>
                  <w:marTop w:val="0"/>
                  <w:marBottom w:val="115"/>
                  <w:divBdr>
                    <w:top w:val="none" w:sz="0" w:space="0" w:color="auto"/>
                    <w:left w:val="none" w:sz="0" w:space="0" w:color="auto"/>
                    <w:bottom w:val="none" w:sz="0" w:space="0" w:color="auto"/>
                    <w:right w:val="none" w:sz="0" w:space="0" w:color="auto"/>
                  </w:divBdr>
                  <w:divsChild>
                    <w:div w:id="744760484">
                      <w:marLeft w:val="0"/>
                      <w:marRight w:val="0"/>
                      <w:marTop w:val="0"/>
                      <w:marBottom w:val="0"/>
                      <w:divBdr>
                        <w:top w:val="none" w:sz="0" w:space="0" w:color="auto"/>
                        <w:left w:val="none" w:sz="0" w:space="0" w:color="auto"/>
                        <w:bottom w:val="none" w:sz="0" w:space="0" w:color="auto"/>
                        <w:right w:val="none" w:sz="0" w:space="0" w:color="auto"/>
                      </w:divBdr>
                      <w:divsChild>
                        <w:div w:id="182134529">
                          <w:marLeft w:val="0"/>
                          <w:marRight w:val="0"/>
                          <w:marTop w:val="0"/>
                          <w:marBottom w:val="0"/>
                          <w:divBdr>
                            <w:top w:val="none" w:sz="0" w:space="0" w:color="auto"/>
                            <w:left w:val="none" w:sz="0" w:space="0" w:color="auto"/>
                            <w:bottom w:val="none" w:sz="0" w:space="0" w:color="auto"/>
                            <w:right w:val="none" w:sz="0" w:space="0" w:color="auto"/>
                          </w:divBdr>
                        </w:div>
                        <w:div w:id="350185736">
                          <w:marLeft w:val="0"/>
                          <w:marRight w:val="0"/>
                          <w:marTop w:val="0"/>
                          <w:marBottom w:val="0"/>
                          <w:divBdr>
                            <w:top w:val="none" w:sz="0" w:space="0" w:color="auto"/>
                            <w:left w:val="none" w:sz="0" w:space="0" w:color="auto"/>
                            <w:bottom w:val="none" w:sz="0" w:space="0" w:color="auto"/>
                            <w:right w:val="none" w:sz="0" w:space="0" w:color="auto"/>
                          </w:divBdr>
                        </w:div>
                        <w:div w:id="379060494">
                          <w:marLeft w:val="0"/>
                          <w:marRight w:val="0"/>
                          <w:marTop w:val="0"/>
                          <w:marBottom w:val="0"/>
                          <w:divBdr>
                            <w:top w:val="none" w:sz="0" w:space="0" w:color="auto"/>
                            <w:left w:val="none" w:sz="0" w:space="0" w:color="auto"/>
                            <w:bottom w:val="none" w:sz="0" w:space="0" w:color="auto"/>
                            <w:right w:val="none" w:sz="0" w:space="0" w:color="auto"/>
                          </w:divBdr>
                        </w:div>
                        <w:div w:id="529028398">
                          <w:marLeft w:val="0"/>
                          <w:marRight w:val="0"/>
                          <w:marTop w:val="0"/>
                          <w:marBottom w:val="0"/>
                          <w:divBdr>
                            <w:top w:val="none" w:sz="0" w:space="0" w:color="auto"/>
                            <w:left w:val="none" w:sz="0" w:space="0" w:color="auto"/>
                            <w:bottom w:val="none" w:sz="0" w:space="0" w:color="auto"/>
                            <w:right w:val="none" w:sz="0" w:space="0" w:color="auto"/>
                          </w:divBdr>
                        </w:div>
                        <w:div w:id="1024747915">
                          <w:marLeft w:val="0"/>
                          <w:marRight w:val="0"/>
                          <w:marTop w:val="0"/>
                          <w:marBottom w:val="0"/>
                          <w:divBdr>
                            <w:top w:val="none" w:sz="0" w:space="0" w:color="auto"/>
                            <w:left w:val="none" w:sz="0" w:space="0" w:color="auto"/>
                            <w:bottom w:val="none" w:sz="0" w:space="0" w:color="auto"/>
                            <w:right w:val="none" w:sz="0" w:space="0" w:color="auto"/>
                          </w:divBdr>
                        </w:div>
                        <w:div w:id="1209873919">
                          <w:marLeft w:val="0"/>
                          <w:marRight w:val="0"/>
                          <w:marTop w:val="0"/>
                          <w:marBottom w:val="0"/>
                          <w:divBdr>
                            <w:top w:val="none" w:sz="0" w:space="0" w:color="auto"/>
                            <w:left w:val="none" w:sz="0" w:space="0" w:color="auto"/>
                            <w:bottom w:val="none" w:sz="0" w:space="0" w:color="auto"/>
                            <w:right w:val="none" w:sz="0" w:space="0" w:color="auto"/>
                          </w:divBdr>
                        </w:div>
                        <w:div w:id="1423716886">
                          <w:marLeft w:val="0"/>
                          <w:marRight w:val="0"/>
                          <w:marTop w:val="0"/>
                          <w:marBottom w:val="0"/>
                          <w:divBdr>
                            <w:top w:val="none" w:sz="0" w:space="0" w:color="auto"/>
                            <w:left w:val="none" w:sz="0" w:space="0" w:color="auto"/>
                            <w:bottom w:val="none" w:sz="0" w:space="0" w:color="auto"/>
                            <w:right w:val="none" w:sz="0" w:space="0" w:color="auto"/>
                          </w:divBdr>
                        </w:div>
                        <w:div w:id="1424959948">
                          <w:marLeft w:val="0"/>
                          <w:marRight w:val="0"/>
                          <w:marTop w:val="0"/>
                          <w:marBottom w:val="0"/>
                          <w:divBdr>
                            <w:top w:val="none" w:sz="0" w:space="0" w:color="auto"/>
                            <w:left w:val="none" w:sz="0" w:space="0" w:color="auto"/>
                            <w:bottom w:val="none" w:sz="0" w:space="0" w:color="auto"/>
                            <w:right w:val="none" w:sz="0" w:space="0" w:color="auto"/>
                          </w:divBdr>
                        </w:div>
                        <w:div w:id="1795251925">
                          <w:marLeft w:val="0"/>
                          <w:marRight w:val="0"/>
                          <w:marTop w:val="0"/>
                          <w:marBottom w:val="0"/>
                          <w:divBdr>
                            <w:top w:val="none" w:sz="0" w:space="0" w:color="auto"/>
                            <w:left w:val="none" w:sz="0" w:space="0" w:color="auto"/>
                            <w:bottom w:val="none" w:sz="0" w:space="0" w:color="auto"/>
                            <w:right w:val="none" w:sz="0" w:space="0" w:color="auto"/>
                          </w:divBdr>
                        </w:div>
                        <w:div w:id="1850634643">
                          <w:marLeft w:val="0"/>
                          <w:marRight w:val="0"/>
                          <w:marTop w:val="0"/>
                          <w:marBottom w:val="0"/>
                          <w:divBdr>
                            <w:top w:val="none" w:sz="0" w:space="0" w:color="auto"/>
                            <w:left w:val="none" w:sz="0" w:space="0" w:color="auto"/>
                            <w:bottom w:val="none" w:sz="0" w:space="0" w:color="auto"/>
                            <w:right w:val="none" w:sz="0" w:space="0" w:color="auto"/>
                          </w:divBdr>
                        </w:div>
                        <w:div w:id="19513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35542">
      <w:bodyDiv w:val="1"/>
      <w:marLeft w:val="0"/>
      <w:marRight w:val="0"/>
      <w:marTop w:val="0"/>
      <w:marBottom w:val="0"/>
      <w:divBdr>
        <w:top w:val="none" w:sz="0" w:space="0" w:color="auto"/>
        <w:left w:val="none" w:sz="0" w:space="0" w:color="auto"/>
        <w:bottom w:val="none" w:sz="0" w:space="0" w:color="auto"/>
        <w:right w:val="none" w:sz="0" w:space="0" w:color="auto"/>
      </w:divBdr>
    </w:div>
    <w:div w:id="1774472399">
      <w:bodyDiv w:val="1"/>
      <w:marLeft w:val="0"/>
      <w:marRight w:val="0"/>
      <w:marTop w:val="0"/>
      <w:marBottom w:val="0"/>
      <w:divBdr>
        <w:top w:val="none" w:sz="0" w:space="0" w:color="auto"/>
        <w:left w:val="none" w:sz="0" w:space="0" w:color="auto"/>
        <w:bottom w:val="none" w:sz="0" w:space="0" w:color="auto"/>
        <w:right w:val="none" w:sz="0" w:space="0" w:color="auto"/>
      </w:divBdr>
    </w:div>
    <w:div w:id="1813792973">
      <w:bodyDiv w:val="1"/>
      <w:marLeft w:val="0"/>
      <w:marRight w:val="0"/>
      <w:marTop w:val="0"/>
      <w:marBottom w:val="0"/>
      <w:divBdr>
        <w:top w:val="none" w:sz="0" w:space="0" w:color="auto"/>
        <w:left w:val="none" w:sz="0" w:space="0" w:color="auto"/>
        <w:bottom w:val="none" w:sz="0" w:space="0" w:color="auto"/>
        <w:right w:val="none" w:sz="0" w:space="0" w:color="auto"/>
      </w:divBdr>
    </w:div>
    <w:div w:id="1879853312">
      <w:bodyDiv w:val="1"/>
      <w:marLeft w:val="0"/>
      <w:marRight w:val="0"/>
      <w:marTop w:val="0"/>
      <w:marBottom w:val="0"/>
      <w:divBdr>
        <w:top w:val="none" w:sz="0" w:space="0" w:color="auto"/>
        <w:left w:val="none" w:sz="0" w:space="0" w:color="auto"/>
        <w:bottom w:val="none" w:sz="0" w:space="0" w:color="auto"/>
        <w:right w:val="none" w:sz="0" w:space="0" w:color="auto"/>
      </w:divBdr>
    </w:div>
    <w:div w:id="1890416603">
      <w:bodyDiv w:val="1"/>
      <w:marLeft w:val="0"/>
      <w:marRight w:val="0"/>
      <w:marTop w:val="0"/>
      <w:marBottom w:val="0"/>
      <w:divBdr>
        <w:top w:val="none" w:sz="0" w:space="0" w:color="auto"/>
        <w:left w:val="none" w:sz="0" w:space="0" w:color="auto"/>
        <w:bottom w:val="none" w:sz="0" w:space="0" w:color="auto"/>
        <w:right w:val="none" w:sz="0" w:space="0" w:color="auto"/>
      </w:divBdr>
    </w:div>
    <w:div w:id="1900900873">
      <w:bodyDiv w:val="1"/>
      <w:marLeft w:val="0"/>
      <w:marRight w:val="0"/>
      <w:marTop w:val="0"/>
      <w:marBottom w:val="0"/>
      <w:divBdr>
        <w:top w:val="none" w:sz="0" w:space="0" w:color="auto"/>
        <w:left w:val="none" w:sz="0" w:space="0" w:color="auto"/>
        <w:bottom w:val="none" w:sz="0" w:space="0" w:color="auto"/>
        <w:right w:val="none" w:sz="0" w:space="0" w:color="auto"/>
      </w:divBdr>
    </w:div>
    <w:div w:id="1954436192">
      <w:bodyDiv w:val="1"/>
      <w:marLeft w:val="0"/>
      <w:marRight w:val="0"/>
      <w:marTop w:val="0"/>
      <w:marBottom w:val="0"/>
      <w:divBdr>
        <w:top w:val="none" w:sz="0" w:space="0" w:color="auto"/>
        <w:left w:val="none" w:sz="0" w:space="0" w:color="auto"/>
        <w:bottom w:val="none" w:sz="0" w:space="0" w:color="auto"/>
        <w:right w:val="none" w:sz="0" w:space="0" w:color="auto"/>
      </w:divBdr>
    </w:div>
    <w:div w:id="2022124029">
      <w:bodyDiv w:val="1"/>
      <w:marLeft w:val="0"/>
      <w:marRight w:val="0"/>
      <w:marTop w:val="0"/>
      <w:marBottom w:val="0"/>
      <w:divBdr>
        <w:top w:val="none" w:sz="0" w:space="0" w:color="auto"/>
        <w:left w:val="none" w:sz="0" w:space="0" w:color="auto"/>
        <w:bottom w:val="none" w:sz="0" w:space="0" w:color="auto"/>
        <w:right w:val="none" w:sz="0" w:space="0" w:color="auto"/>
      </w:divBdr>
    </w:div>
    <w:div w:id="2037198938">
      <w:bodyDiv w:val="1"/>
      <w:marLeft w:val="0"/>
      <w:marRight w:val="0"/>
      <w:marTop w:val="0"/>
      <w:marBottom w:val="0"/>
      <w:divBdr>
        <w:top w:val="none" w:sz="0" w:space="0" w:color="auto"/>
        <w:left w:val="none" w:sz="0" w:space="0" w:color="auto"/>
        <w:bottom w:val="none" w:sz="0" w:space="0" w:color="auto"/>
        <w:right w:val="none" w:sz="0" w:space="0" w:color="auto"/>
      </w:divBdr>
    </w:div>
    <w:div w:id="2055276068">
      <w:bodyDiv w:val="1"/>
      <w:marLeft w:val="0"/>
      <w:marRight w:val="0"/>
      <w:marTop w:val="0"/>
      <w:marBottom w:val="0"/>
      <w:divBdr>
        <w:top w:val="none" w:sz="0" w:space="0" w:color="auto"/>
        <w:left w:val="none" w:sz="0" w:space="0" w:color="auto"/>
        <w:bottom w:val="none" w:sz="0" w:space="0" w:color="auto"/>
        <w:right w:val="none" w:sz="0" w:space="0" w:color="auto"/>
      </w:divBdr>
    </w:div>
    <w:div w:id="2073001406">
      <w:bodyDiv w:val="1"/>
      <w:marLeft w:val="0"/>
      <w:marRight w:val="0"/>
      <w:marTop w:val="0"/>
      <w:marBottom w:val="0"/>
      <w:divBdr>
        <w:top w:val="none" w:sz="0" w:space="0" w:color="auto"/>
        <w:left w:val="none" w:sz="0" w:space="0" w:color="auto"/>
        <w:bottom w:val="none" w:sz="0" w:space="0" w:color="auto"/>
        <w:right w:val="none" w:sz="0" w:space="0" w:color="auto"/>
      </w:divBdr>
    </w:div>
    <w:div w:id="2109495012">
      <w:bodyDiv w:val="1"/>
      <w:marLeft w:val="0"/>
      <w:marRight w:val="0"/>
      <w:marTop w:val="0"/>
      <w:marBottom w:val="0"/>
      <w:divBdr>
        <w:top w:val="none" w:sz="0" w:space="0" w:color="auto"/>
        <w:left w:val="none" w:sz="0" w:space="0" w:color="auto"/>
        <w:bottom w:val="none" w:sz="0" w:space="0" w:color="auto"/>
        <w:right w:val="none" w:sz="0" w:space="0" w:color="auto"/>
      </w:divBdr>
    </w:div>
    <w:div w:id="21182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agistratescourt.tas.gov.au/about_us/coroners/coronial_findi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gistratescourt.tas.gov.au/about_us/public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47FF8.111D32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A9E9-51CA-44F3-839B-7491F88A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75E084A7.dotm</Template>
  <TotalTime>1</TotalTime>
  <Pages>55</Pages>
  <Words>15040</Words>
  <Characters>85732</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Magistrates Court Annual Report</vt:lpstr>
    </vt:vector>
  </TitlesOfParts>
  <Company>Department of Justice</Company>
  <LinksUpToDate>false</LinksUpToDate>
  <CharactersWithSpaces>100571</CharactersWithSpaces>
  <SharedDoc>false</SharedDoc>
  <HLinks>
    <vt:vector size="300" baseType="variant">
      <vt:variant>
        <vt:i4>1245238</vt:i4>
      </vt:variant>
      <vt:variant>
        <vt:i4>281</vt:i4>
      </vt:variant>
      <vt:variant>
        <vt:i4>0</vt:i4>
      </vt:variant>
      <vt:variant>
        <vt:i4>5</vt:i4>
      </vt:variant>
      <vt:variant>
        <vt:lpwstr/>
      </vt:variant>
      <vt:variant>
        <vt:lpwstr>_Toc490831141</vt:lpwstr>
      </vt:variant>
      <vt:variant>
        <vt:i4>1245238</vt:i4>
      </vt:variant>
      <vt:variant>
        <vt:i4>275</vt:i4>
      </vt:variant>
      <vt:variant>
        <vt:i4>0</vt:i4>
      </vt:variant>
      <vt:variant>
        <vt:i4>5</vt:i4>
      </vt:variant>
      <vt:variant>
        <vt:lpwstr/>
      </vt:variant>
      <vt:variant>
        <vt:lpwstr>_Toc490831140</vt:lpwstr>
      </vt:variant>
      <vt:variant>
        <vt:i4>1310774</vt:i4>
      </vt:variant>
      <vt:variant>
        <vt:i4>269</vt:i4>
      </vt:variant>
      <vt:variant>
        <vt:i4>0</vt:i4>
      </vt:variant>
      <vt:variant>
        <vt:i4>5</vt:i4>
      </vt:variant>
      <vt:variant>
        <vt:lpwstr/>
      </vt:variant>
      <vt:variant>
        <vt:lpwstr>_Toc490831139</vt:lpwstr>
      </vt:variant>
      <vt:variant>
        <vt:i4>1310774</vt:i4>
      </vt:variant>
      <vt:variant>
        <vt:i4>263</vt:i4>
      </vt:variant>
      <vt:variant>
        <vt:i4>0</vt:i4>
      </vt:variant>
      <vt:variant>
        <vt:i4>5</vt:i4>
      </vt:variant>
      <vt:variant>
        <vt:lpwstr/>
      </vt:variant>
      <vt:variant>
        <vt:lpwstr>_Toc490831138</vt:lpwstr>
      </vt:variant>
      <vt:variant>
        <vt:i4>1310774</vt:i4>
      </vt:variant>
      <vt:variant>
        <vt:i4>257</vt:i4>
      </vt:variant>
      <vt:variant>
        <vt:i4>0</vt:i4>
      </vt:variant>
      <vt:variant>
        <vt:i4>5</vt:i4>
      </vt:variant>
      <vt:variant>
        <vt:lpwstr/>
      </vt:variant>
      <vt:variant>
        <vt:lpwstr>_Toc490831137</vt:lpwstr>
      </vt:variant>
      <vt:variant>
        <vt:i4>1310774</vt:i4>
      </vt:variant>
      <vt:variant>
        <vt:i4>251</vt:i4>
      </vt:variant>
      <vt:variant>
        <vt:i4>0</vt:i4>
      </vt:variant>
      <vt:variant>
        <vt:i4>5</vt:i4>
      </vt:variant>
      <vt:variant>
        <vt:lpwstr/>
      </vt:variant>
      <vt:variant>
        <vt:lpwstr>_Toc490831136</vt:lpwstr>
      </vt:variant>
      <vt:variant>
        <vt:i4>1310774</vt:i4>
      </vt:variant>
      <vt:variant>
        <vt:i4>245</vt:i4>
      </vt:variant>
      <vt:variant>
        <vt:i4>0</vt:i4>
      </vt:variant>
      <vt:variant>
        <vt:i4>5</vt:i4>
      </vt:variant>
      <vt:variant>
        <vt:lpwstr/>
      </vt:variant>
      <vt:variant>
        <vt:lpwstr>_Toc490831135</vt:lpwstr>
      </vt:variant>
      <vt:variant>
        <vt:i4>1310774</vt:i4>
      </vt:variant>
      <vt:variant>
        <vt:i4>239</vt:i4>
      </vt:variant>
      <vt:variant>
        <vt:i4>0</vt:i4>
      </vt:variant>
      <vt:variant>
        <vt:i4>5</vt:i4>
      </vt:variant>
      <vt:variant>
        <vt:lpwstr/>
      </vt:variant>
      <vt:variant>
        <vt:lpwstr>_Toc490831134</vt:lpwstr>
      </vt:variant>
      <vt:variant>
        <vt:i4>1310774</vt:i4>
      </vt:variant>
      <vt:variant>
        <vt:i4>233</vt:i4>
      </vt:variant>
      <vt:variant>
        <vt:i4>0</vt:i4>
      </vt:variant>
      <vt:variant>
        <vt:i4>5</vt:i4>
      </vt:variant>
      <vt:variant>
        <vt:lpwstr/>
      </vt:variant>
      <vt:variant>
        <vt:lpwstr>_Toc490831133</vt:lpwstr>
      </vt:variant>
      <vt:variant>
        <vt:i4>1310774</vt:i4>
      </vt:variant>
      <vt:variant>
        <vt:i4>227</vt:i4>
      </vt:variant>
      <vt:variant>
        <vt:i4>0</vt:i4>
      </vt:variant>
      <vt:variant>
        <vt:i4>5</vt:i4>
      </vt:variant>
      <vt:variant>
        <vt:lpwstr/>
      </vt:variant>
      <vt:variant>
        <vt:lpwstr>_Toc490831132</vt:lpwstr>
      </vt:variant>
      <vt:variant>
        <vt:i4>1310774</vt:i4>
      </vt:variant>
      <vt:variant>
        <vt:i4>221</vt:i4>
      </vt:variant>
      <vt:variant>
        <vt:i4>0</vt:i4>
      </vt:variant>
      <vt:variant>
        <vt:i4>5</vt:i4>
      </vt:variant>
      <vt:variant>
        <vt:lpwstr/>
      </vt:variant>
      <vt:variant>
        <vt:lpwstr>_Toc490831131</vt:lpwstr>
      </vt:variant>
      <vt:variant>
        <vt:i4>1310774</vt:i4>
      </vt:variant>
      <vt:variant>
        <vt:i4>215</vt:i4>
      </vt:variant>
      <vt:variant>
        <vt:i4>0</vt:i4>
      </vt:variant>
      <vt:variant>
        <vt:i4>5</vt:i4>
      </vt:variant>
      <vt:variant>
        <vt:lpwstr/>
      </vt:variant>
      <vt:variant>
        <vt:lpwstr>_Toc490831130</vt:lpwstr>
      </vt:variant>
      <vt:variant>
        <vt:i4>1376310</vt:i4>
      </vt:variant>
      <vt:variant>
        <vt:i4>209</vt:i4>
      </vt:variant>
      <vt:variant>
        <vt:i4>0</vt:i4>
      </vt:variant>
      <vt:variant>
        <vt:i4>5</vt:i4>
      </vt:variant>
      <vt:variant>
        <vt:lpwstr/>
      </vt:variant>
      <vt:variant>
        <vt:lpwstr>_Toc490831129</vt:lpwstr>
      </vt:variant>
      <vt:variant>
        <vt:i4>1376310</vt:i4>
      </vt:variant>
      <vt:variant>
        <vt:i4>203</vt:i4>
      </vt:variant>
      <vt:variant>
        <vt:i4>0</vt:i4>
      </vt:variant>
      <vt:variant>
        <vt:i4>5</vt:i4>
      </vt:variant>
      <vt:variant>
        <vt:lpwstr/>
      </vt:variant>
      <vt:variant>
        <vt:lpwstr>_Toc490831128</vt:lpwstr>
      </vt:variant>
      <vt:variant>
        <vt:i4>1376310</vt:i4>
      </vt:variant>
      <vt:variant>
        <vt:i4>197</vt:i4>
      </vt:variant>
      <vt:variant>
        <vt:i4>0</vt:i4>
      </vt:variant>
      <vt:variant>
        <vt:i4>5</vt:i4>
      </vt:variant>
      <vt:variant>
        <vt:lpwstr/>
      </vt:variant>
      <vt:variant>
        <vt:lpwstr>_Toc490831127</vt:lpwstr>
      </vt:variant>
      <vt:variant>
        <vt:i4>1376310</vt:i4>
      </vt:variant>
      <vt:variant>
        <vt:i4>191</vt:i4>
      </vt:variant>
      <vt:variant>
        <vt:i4>0</vt:i4>
      </vt:variant>
      <vt:variant>
        <vt:i4>5</vt:i4>
      </vt:variant>
      <vt:variant>
        <vt:lpwstr/>
      </vt:variant>
      <vt:variant>
        <vt:lpwstr>_Toc490831126</vt:lpwstr>
      </vt:variant>
      <vt:variant>
        <vt:i4>1376310</vt:i4>
      </vt:variant>
      <vt:variant>
        <vt:i4>185</vt:i4>
      </vt:variant>
      <vt:variant>
        <vt:i4>0</vt:i4>
      </vt:variant>
      <vt:variant>
        <vt:i4>5</vt:i4>
      </vt:variant>
      <vt:variant>
        <vt:lpwstr/>
      </vt:variant>
      <vt:variant>
        <vt:lpwstr>_Toc490831125</vt:lpwstr>
      </vt:variant>
      <vt:variant>
        <vt:i4>1376310</vt:i4>
      </vt:variant>
      <vt:variant>
        <vt:i4>179</vt:i4>
      </vt:variant>
      <vt:variant>
        <vt:i4>0</vt:i4>
      </vt:variant>
      <vt:variant>
        <vt:i4>5</vt:i4>
      </vt:variant>
      <vt:variant>
        <vt:lpwstr/>
      </vt:variant>
      <vt:variant>
        <vt:lpwstr>_Toc490831124</vt:lpwstr>
      </vt:variant>
      <vt:variant>
        <vt:i4>1376310</vt:i4>
      </vt:variant>
      <vt:variant>
        <vt:i4>173</vt:i4>
      </vt:variant>
      <vt:variant>
        <vt:i4>0</vt:i4>
      </vt:variant>
      <vt:variant>
        <vt:i4>5</vt:i4>
      </vt:variant>
      <vt:variant>
        <vt:lpwstr/>
      </vt:variant>
      <vt:variant>
        <vt:lpwstr>_Toc490831123</vt:lpwstr>
      </vt:variant>
      <vt:variant>
        <vt:i4>1376310</vt:i4>
      </vt:variant>
      <vt:variant>
        <vt:i4>167</vt:i4>
      </vt:variant>
      <vt:variant>
        <vt:i4>0</vt:i4>
      </vt:variant>
      <vt:variant>
        <vt:i4>5</vt:i4>
      </vt:variant>
      <vt:variant>
        <vt:lpwstr/>
      </vt:variant>
      <vt:variant>
        <vt:lpwstr>_Toc490831122</vt:lpwstr>
      </vt:variant>
      <vt:variant>
        <vt:i4>524296</vt:i4>
      </vt:variant>
      <vt:variant>
        <vt:i4>162</vt:i4>
      </vt:variant>
      <vt:variant>
        <vt:i4>0</vt:i4>
      </vt:variant>
      <vt:variant>
        <vt:i4>5</vt:i4>
      </vt:variant>
      <vt:variant>
        <vt:lpwstr>http://www.magistratescourt.tas.gov.au/about_us/coroners/coronial_findings</vt:lpwstr>
      </vt:variant>
      <vt:variant>
        <vt:lpwstr/>
      </vt:variant>
      <vt:variant>
        <vt:i4>917565</vt:i4>
      </vt:variant>
      <vt:variant>
        <vt:i4>159</vt:i4>
      </vt:variant>
      <vt:variant>
        <vt:i4>0</vt:i4>
      </vt:variant>
      <vt:variant>
        <vt:i4>5</vt:i4>
      </vt:variant>
      <vt:variant>
        <vt:lpwstr>http://www.magistratescourt.tas.gov.au/about_us/coroners/coronial_practice_handbook</vt:lpwstr>
      </vt:variant>
      <vt:variant>
        <vt:lpwstr/>
      </vt:variant>
      <vt:variant>
        <vt:i4>1966188</vt:i4>
      </vt:variant>
      <vt:variant>
        <vt:i4>156</vt:i4>
      </vt:variant>
      <vt:variant>
        <vt:i4>0</vt:i4>
      </vt:variant>
      <vt:variant>
        <vt:i4>5</vt:i4>
      </vt:variant>
      <vt:variant>
        <vt:lpwstr>http://www.magistratescourt.tas.gov.au/for_lawyers/decisions</vt:lpwstr>
      </vt:variant>
      <vt:variant>
        <vt:lpwstr/>
      </vt:variant>
      <vt:variant>
        <vt:i4>5963784</vt:i4>
      </vt:variant>
      <vt:variant>
        <vt:i4>153</vt:i4>
      </vt:variant>
      <vt:variant>
        <vt:i4>0</vt:i4>
      </vt:variant>
      <vt:variant>
        <vt:i4>5</vt:i4>
      </vt:variant>
      <vt:variant>
        <vt:lpwstr>http://www.courtlists.tas.gov.au/Sentencing/</vt:lpwstr>
      </vt:variant>
      <vt:variant>
        <vt:lpwstr/>
      </vt:variant>
      <vt:variant>
        <vt:i4>7274557</vt:i4>
      </vt:variant>
      <vt:variant>
        <vt:i4>150</vt:i4>
      </vt:variant>
      <vt:variant>
        <vt:i4>0</vt:i4>
      </vt:variant>
      <vt:variant>
        <vt:i4>5</vt:i4>
      </vt:variant>
      <vt:variant>
        <vt:lpwstr>http://www.magistratescourt.tas.gov.au/</vt:lpwstr>
      </vt:variant>
      <vt:variant>
        <vt:lpwstr/>
      </vt:variant>
      <vt:variant>
        <vt:i4>7274557</vt:i4>
      </vt:variant>
      <vt:variant>
        <vt:i4>147</vt:i4>
      </vt:variant>
      <vt:variant>
        <vt:i4>0</vt:i4>
      </vt:variant>
      <vt:variant>
        <vt:i4>5</vt:i4>
      </vt:variant>
      <vt:variant>
        <vt:lpwstr>http://www.magistratescourt.tas.gov.au/</vt:lpwstr>
      </vt:variant>
      <vt:variant>
        <vt:lpwstr/>
      </vt:variant>
      <vt:variant>
        <vt:i4>7274557</vt:i4>
      </vt:variant>
      <vt:variant>
        <vt:i4>144</vt:i4>
      </vt:variant>
      <vt:variant>
        <vt:i4>0</vt:i4>
      </vt:variant>
      <vt:variant>
        <vt:i4>5</vt:i4>
      </vt:variant>
      <vt:variant>
        <vt:lpwstr>http://www.magistratescourt.tas.gov.au/</vt:lpwstr>
      </vt:variant>
      <vt:variant>
        <vt:lpwstr/>
      </vt:variant>
      <vt:variant>
        <vt:i4>1507386</vt:i4>
      </vt:variant>
      <vt:variant>
        <vt:i4>134</vt:i4>
      </vt:variant>
      <vt:variant>
        <vt:i4>0</vt:i4>
      </vt:variant>
      <vt:variant>
        <vt:i4>5</vt:i4>
      </vt:variant>
      <vt:variant>
        <vt:lpwstr/>
      </vt:variant>
      <vt:variant>
        <vt:lpwstr>_Toc465697278</vt:lpwstr>
      </vt:variant>
      <vt:variant>
        <vt:i4>1507386</vt:i4>
      </vt:variant>
      <vt:variant>
        <vt:i4>128</vt:i4>
      </vt:variant>
      <vt:variant>
        <vt:i4>0</vt:i4>
      </vt:variant>
      <vt:variant>
        <vt:i4>5</vt:i4>
      </vt:variant>
      <vt:variant>
        <vt:lpwstr/>
      </vt:variant>
      <vt:variant>
        <vt:lpwstr>_Toc465697277</vt:lpwstr>
      </vt:variant>
      <vt:variant>
        <vt:i4>1507386</vt:i4>
      </vt:variant>
      <vt:variant>
        <vt:i4>122</vt:i4>
      </vt:variant>
      <vt:variant>
        <vt:i4>0</vt:i4>
      </vt:variant>
      <vt:variant>
        <vt:i4>5</vt:i4>
      </vt:variant>
      <vt:variant>
        <vt:lpwstr/>
      </vt:variant>
      <vt:variant>
        <vt:lpwstr>_Toc465697276</vt:lpwstr>
      </vt:variant>
      <vt:variant>
        <vt:i4>1507386</vt:i4>
      </vt:variant>
      <vt:variant>
        <vt:i4>116</vt:i4>
      </vt:variant>
      <vt:variant>
        <vt:i4>0</vt:i4>
      </vt:variant>
      <vt:variant>
        <vt:i4>5</vt:i4>
      </vt:variant>
      <vt:variant>
        <vt:lpwstr/>
      </vt:variant>
      <vt:variant>
        <vt:lpwstr>_Toc465697275</vt:lpwstr>
      </vt:variant>
      <vt:variant>
        <vt:i4>1507386</vt:i4>
      </vt:variant>
      <vt:variant>
        <vt:i4>110</vt:i4>
      </vt:variant>
      <vt:variant>
        <vt:i4>0</vt:i4>
      </vt:variant>
      <vt:variant>
        <vt:i4>5</vt:i4>
      </vt:variant>
      <vt:variant>
        <vt:lpwstr/>
      </vt:variant>
      <vt:variant>
        <vt:lpwstr>_Toc465697274</vt:lpwstr>
      </vt:variant>
      <vt:variant>
        <vt:i4>1507386</vt:i4>
      </vt:variant>
      <vt:variant>
        <vt:i4>104</vt:i4>
      </vt:variant>
      <vt:variant>
        <vt:i4>0</vt:i4>
      </vt:variant>
      <vt:variant>
        <vt:i4>5</vt:i4>
      </vt:variant>
      <vt:variant>
        <vt:lpwstr/>
      </vt:variant>
      <vt:variant>
        <vt:lpwstr>_Toc465697273</vt:lpwstr>
      </vt:variant>
      <vt:variant>
        <vt:i4>1507386</vt:i4>
      </vt:variant>
      <vt:variant>
        <vt:i4>98</vt:i4>
      </vt:variant>
      <vt:variant>
        <vt:i4>0</vt:i4>
      </vt:variant>
      <vt:variant>
        <vt:i4>5</vt:i4>
      </vt:variant>
      <vt:variant>
        <vt:lpwstr/>
      </vt:variant>
      <vt:variant>
        <vt:lpwstr>_Toc465697272</vt:lpwstr>
      </vt:variant>
      <vt:variant>
        <vt:i4>1507386</vt:i4>
      </vt:variant>
      <vt:variant>
        <vt:i4>92</vt:i4>
      </vt:variant>
      <vt:variant>
        <vt:i4>0</vt:i4>
      </vt:variant>
      <vt:variant>
        <vt:i4>5</vt:i4>
      </vt:variant>
      <vt:variant>
        <vt:lpwstr/>
      </vt:variant>
      <vt:variant>
        <vt:lpwstr>_Toc465697271</vt:lpwstr>
      </vt:variant>
      <vt:variant>
        <vt:i4>1507386</vt:i4>
      </vt:variant>
      <vt:variant>
        <vt:i4>86</vt:i4>
      </vt:variant>
      <vt:variant>
        <vt:i4>0</vt:i4>
      </vt:variant>
      <vt:variant>
        <vt:i4>5</vt:i4>
      </vt:variant>
      <vt:variant>
        <vt:lpwstr/>
      </vt:variant>
      <vt:variant>
        <vt:lpwstr>_Toc465697270</vt:lpwstr>
      </vt:variant>
      <vt:variant>
        <vt:i4>1441850</vt:i4>
      </vt:variant>
      <vt:variant>
        <vt:i4>80</vt:i4>
      </vt:variant>
      <vt:variant>
        <vt:i4>0</vt:i4>
      </vt:variant>
      <vt:variant>
        <vt:i4>5</vt:i4>
      </vt:variant>
      <vt:variant>
        <vt:lpwstr/>
      </vt:variant>
      <vt:variant>
        <vt:lpwstr>_Toc465697269</vt:lpwstr>
      </vt:variant>
      <vt:variant>
        <vt:i4>1441850</vt:i4>
      </vt:variant>
      <vt:variant>
        <vt:i4>74</vt:i4>
      </vt:variant>
      <vt:variant>
        <vt:i4>0</vt:i4>
      </vt:variant>
      <vt:variant>
        <vt:i4>5</vt:i4>
      </vt:variant>
      <vt:variant>
        <vt:lpwstr/>
      </vt:variant>
      <vt:variant>
        <vt:lpwstr>_Toc465697268</vt:lpwstr>
      </vt:variant>
      <vt:variant>
        <vt:i4>1441850</vt:i4>
      </vt:variant>
      <vt:variant>
        <vt:i4>68</vt:i4>
      </vt:variant>
      <vt:variant>
        <vt:i4>0</vt:i4>
      </vt:variant>
      <vt:variant>
        <vt:i4>5</vt:i4>
      </vt:variant>
      <vt:variant>
        <vt:lpwstr/>
      </vt:variant>
      <vt:variant>
        <vt:lpwstr>_Toc465697267</vt:lpwstr>
      </vt:variant>
      <vt:variant>
        <vt:i4>1441850</vt:i4>
      </vt:variant>
      <vt:variant>
        <vt:i4>62</vt:i4>
      </vt:variant>
      <vt:variant>
        <vt:i4>0</vt:i4>
      </vt:variant>
      <vt:variant>
        <vt:i4>5</vt:i4>
      </vt:variant>
      <vt:variant>
        <vt:lpwstr/>
      </vt:variant>
      <vt:variant>
        <vt:lpwstr>_Toc465697266</vt:lpwstr>
      </vt:variant>
      <vt:variant>
        <vt:i4>1441850</vt:i4>
      </vt:variant>
      <vt:variant>
        <vt:i4>56</vt:i4>
      </vt:variant>
      <vt:variant>
        <vt:i4>0</vt:i4>
      </vt:variant>
      <vt:variant>
        <vt:i4>5</vt:i4>
      </vt:variant>
      <vt:variant>
        <vt:lpwstr/>
      </vt:variant>
      <vt:variant>
        <vt:lpwstr>_Toc465697265</vt:lpwstr>
      </vt:variant>
      <vt:variant>
        <vt:i4>1441850</vt:i4>
      </vt:variant>
      <vt:variant>
        <vt:i4>50</vt:i4>
      </vt:variant>
      <vt:variant>
        <vt:i4>0</vt:i4>
      </vt:variant>
      <vt:variant>
        <vt:i4>5</vt:i4>
      </vt:variant>
      <vt:variant>
        <vt:lpwstr/>
      </vt:variant>
      <vt:variant>
        <vt:lpwstr>_Toc465697264</vt:lpwstr>
      </vt:variant>
      <vt:variant>
        <vt:i4>1441850</vt:i4>
      </vt:variant>
      <vt:variant>
        <vt:i4>44</vt:i4>
      </vt:variant>
      <vt:variant>
        <vt:i4>0</vt:i4>
      </vt:variant>
      <vt:variant>
        <vt:i4>5</vt:i4>
      </vt:variant>
      <vt:variant>
        <vt:lpwstr/>
      </vt:variant>
      <vt:variant>
        <vt:lpwstr>_Toc465697263</vt:lpwstr>
      </vt:variant>
      <vt:variant>
        <vt:i4>1441850</vt:i4>
      </vt:variant>
      <vt:variant>
        <vt:i4>38</vt:i4>
      </vt:variant>
      <vt:variant>
        <vt:i4>0</vt:i4>
      </vt:variant>
      <vt:variant>
        <vt:i4>5</vt:i4>
      </vt:variant>
      <vt:variant>
        <vt:lpwstr/>
      </vt:variant>
      <vt:variant>
        <vt:lpwstr>_Toc465697262</vt:lpwstr>
      </vt:variant>
      <vt:variant>
        <vt:i4>1441850</vt:i4>
      </vt:variant>
      <vt:variant>
        <vt:i4>32</vt:i4>
      </vt:variant>
      <vt:variant>
        <vt:i4>0</vt:i4>
      </vt:variant>
      <vt:variant>
        <vt:i4>5</vt:i4>
      </vt:variant>
      <vt:variant>
        <vt:lpwstr/>
      </vt:variant>
      <vt:variant>
        <vt:lpwstr>_Toc465697261</vt:lpwstr>
      </vt:variant>
      <vt:variant>
        <vt:i4>1441850</vt:i4>
      </vt:variant>
      <vt:variant>
        <vt:i4>26</vt:i4>
      </vt:variant>
      <vt:variant>
        <vt:i4>0</vt:i4>
      </vt:variant>
      <vt:variant>
        <vt:i4>5</vt:i4>
      </vt:variant>
      <vt:variant>
        <vt:lpwstr/>
      </vt:variant>
      <vt:variant>
        <vt:lpwstr>_Toc465697260</vt:lpwstr>
      </vt:variant>
      <vt:variant>
        <vt:i4>1376314</vt:i4>
      </vt:variant>
      <vt:variant>
        <vt:i4>20</vt:i4>
      </vt:variant>
      <vt:variant>
        <vt:i4>0</vt:i4>
      </vt:variant>
      <vt:variant>
        <vt:i4>5</vt:i4>
      </vt:variant>
      <vt:variant>
        <vt:lpwstr/>
      </vt:variant>
      <vt:variant>
        <vt:lpwstr>_Toc465697259</vt:lpwstr>
      </vt:variant>
      <vt:variant>
        <vt:i4>1376314</vt:i4>
      </vt:variant>
      <vt:variant>
        <vt:i4>14</vt:i4>
      </vt:variant>
      <vt:variant>
        <vt:i4>0</vt:i4>
      </vt:variant>
      <vt:variant>
        <vt:i4>5</vt:i4>
      </vt:variant>
      <vt:variant>
        <vt:lpwstr/>
      </vt:variant>
      <vt:variant>
        <vt:lpwstr>_Toc465697258</vt:lpwstr>
      </vt:variant>
      <vt:variant>
        <vt:i4>1376314</vt:i4>
      </vt:variant>
      <vt:variant>
        <vt:i4>8</vt:i4>
      </vt:variant>
      <vt:variant>
        <vt:i4>0</vt:i4>
      </vt:variant>
      <vt:variant>
        <vt:i4>5</vt:i4>
      </vt:variant>
      <vt:variant>
        <vt:lpwstr/>
      </vt:variant>
      <vt:variant>
        <vt:lpwstr>_Toc465697257</vt:lpwstr>
      </vt:variant>
      <vt:variant>
        <vt:i4>1376314</vt:i4>
      </vt:variant>
      <vt:variant>
        <vt:i4>2</vt:i4>
      </vt:variant>
      <vt:variant>
        <vt:i4>0</vt:i4>
      </vt:variant>
      <vt:variant>
        <vt:i4>5</vt:i4>
      </vt:variant>
      <vt:variant>
        <vt:lpwstr/>
      </vt:variant>
      <vt:variant>
        <vt:lpwstr>_Toc465697256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Annual Report</dc:title>
  <dc:subject/>
  <dc:creator>Stephenm N Mitchell</dc:creator>
  <cp:keywords/>
  <dc:description/>
  <cp:lastModifiedBy>Evans, Susan</cp:lastModifiedBy>
  <cp:revision>2</cp:revision>
  <cp:lastPrinted>2018-11-03T05:29:00Z</cp:lastPrinted>
  <dcterms:created xsi:type="dcterms:W3CDTF">2019-02-20T05:51:00Z</dcterms:created>
  <dcterms:modified xsi:type="dcterms:W3CDTF">2019-02-20T05:51:00Z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